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6C7B" w:rsidRPr="00C73365" w:rsidRDefault="00F46C7B" w:rsidP="00A5021C">
      <w:pPr>
        <w:pStyle w:val="Heading4"/>
        <w:rPr>
          <w:rFonts w:asciiTheme="minorHAnsi" w:hAnsiTheme="minorHAnsi" w:cstheme="minorHAnsi"/>
          <w:lang w:val="fr-FR" w:eastAsia="fr-FR"/>
        </w:rPr>
      </w:pPr>
      <w:r w:rsidRPr="00C73365">
        <w:rPr>
          <w:rFonts w:asciiTheme="minorHAnsi" w:hAnsiTheme="minorHAnsi" w:cstheme="minorHAnsi"/>
          <w:noProof/>
          <w:lang w:val="fr-FR" w:eastAsia="fr-FR"/>
        </w:rPr>
        <w:drawing>
          <wp:anchor distT="0" distB="0" distL="114300" distR="114300" simplePos="0" relativeHeight="251657216" behindDoc="1" locked="0" layoutInCell="1" allowOverlap="1" wp14:anchorId="2CC38AB8" wp14:editId="72B916A9">
            <wp:simplePos x="0" y="0"/>
            <wp:positionH relativeFrom="column">
              <wp:posOffset>-729615</wp:posOffset>
            </wp:positionH>
            <wp:positionV relativeFrom="paragraph">
              <wp:posOffset>-701040</wp:posOffset>
            </wp:positionV>
            <wp:extent cx="7572375" cy="6334125"/>
            <wp:effectExtent l="0" t="0" r="9525" b="9525"/>
            <wp:wrapNone/>
            <wp:docPr id="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572375" cy="6334125"/>
                    </a:xfrm>
                    <a:prstGeom prst="rect">
                      <a:avLst/>
                    </a:prstGeom>
                    <a:noFill/>
                    <a:ln w="9525">
                      <a:noFill/>
                      <a:miter lim="800000"/>
                      <a:headEnd/>
                      <a:tailEnd/>
                    </a:ln>
                  </pic:spPr>
                </pic:pic>
              </a:graphicData>
            </a:graphic>
            <wp14:sizeRelV relativeFrom="margin">
              <wp14:pctHeight>0</wp14:pctHeight>
            </wp14:sizeRelV>
          </wp:anchor>
        </w:drawing>
      </w:r>
    </w:p>
    <w:p w:rsidR="00F46C7B" w:rsidRPr="00C73365" w:rsidRDefault="00F46C7B" w:rsidP="00A96CCA">
      <w:pPr>
        <w:jc w:val="center"/>
        <w:rPr>
          <w:rFonts w:asciiTheme="minorHAnsi" w:eastAsia="MS Mincho" w:hAnsiTheme="minorHAnsi" w:cstheme="minorHAnsi"/>
          <w:sz w:val="96"/>
          <w:szCs w:val="20"/>
          <w:lang w:val="fr-FR" w:eastAsia="fr-FR"/>
        </w:rPr>
      </w:pPr>
    </w:p>
    <w:p w:rsidR="00F46C7B" w:rsidRPr="00C73365" w:rsidRDefault="00F46C7B" w:rsidP="00A96CCA">
      <w:pPr>
        <w:jc w:val="center"/>
        <w:rPr>
          <w:rFonts w:asciiTheme="minorHAnsi" w:eastAsia="MS Mincho" w:hAnsiTheme="minorHAnsi" w:cstheme="minorHAnsi"/>
          <w:sz w:val="96"/>
          <w:szCs w:val="20"/>
          <w:lang w:val="fr-FR" w:eastAsia="fr-FR"/>
        </w:rPr>
      </w:pPr>
    </w:p>
    <w:p w:rsidR="00F46C7B" w:rsidRPr="00C73365" w:rsidRDefault="00F46C7B" w:rsidP="00A96CCA">
      <w:pPr>
        <w:jc w:val="center"/>
        <w:rPr>
          <w:rFonts w:asciiTheme="minorHAnsi" w:eastAsia="MS Mincho" w:hAnsiTheme="minorHAnsi" w:cstheme="minorHAnsi"/>
          <w:color w:val="632280"/>
          <w:sz w:val="56"/>
          <w:szCs w:val="20"/>
          <w:lang w:val="fr-FR" w:eastAsia="fr-FR"/>
        </w:rPr>
      </w:pPr>
    </w:p>
    <w:p w:rsidR="00F46C7B" w:rsidRPr="00C73365" w:rsidRDefault="00F46C7B" w:rsidP="00A96CCA">
      <w:pPr>
        <w:jc w:val="center"/>
        <w:rPr>
          <w:rFonts w:asciiTheme="minorHAnsi" w:eastAsia="MS Mincho" w:hAnsiTheme="minorHAnsi" w:cstheme="minorHAnsi"/>
          <w:b/>
          <w:color w:val="632280"/>
          <w:sz w:val="22"/>
          <w:szCs w:val="62"/>
          <w:lang w:val="fr-FR" w:eastAsia="fr-FR"/>
        </w:rPr>
      </w:pPr>
    </w:p>
    <w:p w:rsidR="00F46C7B" w:rsidRPr="00C73365" w:rsidRDefault="00F46C7B" w:rsidP="00A96CCA">
      <w:pPr>
        <w:tabs>
          <w:tab w:val="left" w:pos="3631"/>
        </w:tabs>
        <w:rPr>
          <w:rFonts w:asciiTheme="minorHAnsi" w:eastAsia="MS Mincho" w:hAnsiTheme="minorHAnsi" w:cstheme="minorHAnsi"/>
          <w:szCs w:val="20"/>
          <w:lang w:val="fr-FR" w:eastAsia="fr-FR"/>
        </w:rPr>
      </w:pPr>
      <w:r w:rsidRPr="00C73365">
        <w:rPr>
          <w:rFonts w:asciiTheme="minorHAnsi" w:eastAsia="MS Mincho" w:hAnsiTheme="minorHAnsi" w:cstheme="minorHAnsi"/>
          <w:szCs w:val="20"/>
          <w:lang w:val="fr-FR" w:eastAsia="fr-FR"/>
        </w:rPr>
        <w:tab/>
      </w:r>
    </w:p>
    <w:p w:rsidR="00F46C7B" w:rsidRPr="00C73365" w:rsidRDefault="00F46C7B" w:rsidP="00A96CCA">
      <w:pPr>
        <w:tabs>
          <w:tab w:val="left" w:pos="1256"/>
        </w:tabs>
        <w:rPr>
          <w:rFonts w:asciiTheme="minorHAnsi" w:eastAsia="MS Mincho" w:hAnsiTheme="minorHAnsi" w:cstheme="minorHAnsi"/>
          <w:szCs w:val="20"/>
          <w:lang w:val="fr-FR" w:eastAsia="fr-FR"/>
        </w:rPr>
      </w:pPr>
      <w:r w:rsidRPr="00C73365">
        <w:rPr>
          <w:rFonts w:asciiTheme="minorHAnsi" w:eastAsia="MS Mincho" w:hAnsiTheme="minorHAnsi" w:cstheme="minorHAnsi"/>
          <w:szCs w:val="20"/>
          <w:lang w:val="fr-FR" w:eastAsia="fr-FR"/>
        </w:rPr>
        <w:tab/>
      </w:r>
    </w:p>
    <w:p w:rsidR="00F46C7B" w:rsidRPr="00C73365" w:rsidRDefault="00F46C7B" w:rsidP="00A96CCA">
      <w:pPr>
        <w:rPr>
          <w:rFonts w:asciiTheme="minorHAnsi" w:hAnsiTheme="minorHAnsi" w:cstheme="minorHAnsi"/>
          <w:b/>
          <w:i/>
          <w:smallCaps/>
          <w:color w:val="7030A0"/>
          <w:sz w:val="32"/>
          <w:szCs w:val="32"/>
          <w:lang w:val="fr-FR"/>
        </w:rPr>
      </w:pPr>
      <w:r w:rsidRPr="00C73365">
        <w:rPr>
          <w:rFonts w:asciiTheme="minorHAnsi" w:eastAsia="MS Mincho" w:hAnsiTheme="minorHAnsi" w:cstheme="minorHAnsi"/>
          <w:szCs w:val="20"/>
          <w:lang w:val="fr-FR" w:eastAsia="fr-FR"/>
        </w:rPr>
        <w:t xml:space="preserve"> </w:t>
      </w:r>
    </w:p>
    <w:p w:rsidR="00F46C7B" w:rsidRPr="00C73365" w:rsidRDefault="00713CB6" w:rsidP="00A96CCA">
      <w:pPr>
        <w:pStyle w:val="BodyText3"/>
        <w:spacing w:after="120"/>
        <w:jc w:val="left"/>
        <w:rPr>
          <w:rFonts w:asciiTheme="minorHAnsi" w:hAnsiTheme="minorHAnsi" w:cstheme="minorHAnsi"/>
          <w:b/>
          <w:i w:val="0"/>
          <w:smallCaps/>
          <w:color w:val="7030A0"/>
          <w:sz w:val="32"/>
          <w:szCs w:val="32"/>
          <w:lang w:val="fr-FR"/>
        </w:rPr>
      </w:pPr>
      <w:r w:rsidRPr="00C73365">
        <w:rPr>
          <w:rFonts w:asciiTheme="minorHAnsi" w:eastAsia="MS Mincho" w:hAnsiTheme="minorHAnsi" w:cstheme="minorHAnsi"/>
          <w:noProof/>
          <w:color w:val="632280"/>
          <w:sz w:val="56"/>
          <w:lang w:val="fr-FR" w:eastAsia="fr-FR"/>
        </w:rPr>
        <mc:AlternateContent>
          <mc:Choice Requires="wps">
            <w:drawing>
              <wp:anchor distT="0" distB="0" distL="114300" distR="114300" simplePos="0" relativeHeight="251659264" behindDoc="0" locked="0" layoutInCell="1" allowOverlap="1" wp14:anchorId="71338226" wp14:editId="03981D95">
                <wp:simplePos x="0" y="0"/>
                <wp:positionH relativeFrom="column">
                  <wp:posOffset>594055</wp:posOffset>
                </wp:positionH>
                <wp:positionV relativeFrom="paragraph">
                  <wp:posOffset>21362</wp:posOffset>
                </wp:positionV>
                <wp:extent cx="4824919" cy="1595336"/>
                <wp:effectExtent l="0" t="0" r="0" b="5080"/>
                <wp:wrapNone/>
                <wp:docPr id="84" name="Zone de texte 84"/>
                <wp:cNvGraphicFramePr/>
                <a:graphic xmlns:a="http://schemas.openxmlformats.org/drawingml/2006/main">
                  <a:graphicData uri="http://schemas.microsoft.com/office/word/2010/wordprocessingShape">
                    <wps:wsp>
                      <wps:cNvSpPr txBox="1"/>
                      <wps:spPr>
                        <a:xfrm>
                          <a:off x="0" y="0"/>
                          <a:ext cx="4824919" cy="15953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55DF" w:rsidRDefault="00C255DF" w:rsidP="00F46C7B">
                            <w:pPr>
                              <w:spacing w:after="160" w:line="259" w:lineRule="auto"/>
                              <w:jc w:val="center"/>
                              <w:rPr>
                                <w:rFonts w:eastAsia="MS Mincho"/>
                                <w:b/>
                                <w:color w:val="632280"/>
                                <w:sz w:val="56"/>
                                <w:szCs w:val="62"/>
                                <w:lang w:val="fr-FR" w:eastAsia="fr-FR"/>
                              </w:rPr>
                            </w:pPr>
                          </w:p>
                          <w:p w:rsidR="00C255DF" w:rsidRPr="00040D1A" w:rsidRDefault="00C255DF" w:rsidP="00F46C7B">
                            <w:pPr>
                              <w:spacing w:after="160" w:line="259" w:lineRule="auto"/>
                              <w:jc w:val="center"/>
                              <w:rPr>
                                <w:rFonts w:eastAsia="MS Mincho"/>
                                <w:b/>
                                <w:color w:val="632280"/>
                                <w:sz w:val="56"/>
                                <w:szCs w:val="62"/>
                                <w:lang w:val="fr-FR" w:eastAsia="fr-FR"/>
                              </w:rPr>
                            </w:pPr>
                            <w:r w:rsidRPr="00040D1A">
                              <w:rPr>
                                <w:rFonts w:eastAsia="MS Mincho"/>
                                <w:b/>
                                <w:color w:val="632280"/>
                                <w:sz w:val="56"/>
                                <w:szCs w:val="62"/>
                                <w:lang w:val="fr-FR" w:eastAsia="fr-FR"/>
                              </w:rPr>
                              <w:t>DOCUMENT DE REFERENCE</w:t>
                            </w:r>
                          </w:p>
                          <w:p w:rsidR="00C255DF" w:rsidRPr="00167946" w:rsidRDefault="00C255DF" w:rsidP="00F46C7B">
                            <w:pPr>
                              <w:spacing w:after="160" w:line="259" w:lineRule="auto"/>
                              <w:jc w:val="center"/>
                              <w:rPr>
                                <w:rFonts w:eastAsia="MS Mincho"/>
                                <w:b/>
                                <w:color w:val="632280"/>
                                <w:sz w:val="56"/>
                                <w:szCs w:val="56"/>
                                <w:lang w:val="fr-FR" w:eastAsia="fr-FR"/>
                              </w:rPr>
                            </w:pPr>
                            <w:r w:rsidRPr="00040D1A">
                              <w:rPr>
                                <w:rFonts w:eastAsia="MS Mincho"/>
                                <w:b/>
                                <w:color w:val="632280"/>
                                <w:sz w:val="56"/>
                                <w:szCs w:val="56"/>
                                <w:lang w:val="fr-FR" w:eastAsia="fr-FR"/>
                              </w:rPr>
                              <w:t>201</w:t>
                            </w:r>
                            <w:r>
                              <w:rPr>
                                <w:rFonts w:eastAsia="MS Mincho"/>
                                <w:b/>
                                <w:color w:val="632280"/>
                                <w:sz w:val="56"/>
                                <w:szCs w:val="56"/>
                                <w:lang w:val="fr-FR" w:eastAsia="fr-FR"/>
                              </w:rPr>
                              <w:t>8</w:t>
                            </w:r>
                          </w:p>
                          <w:p w:rsidR="00C255DF" w:rsidRDefault="00C255DF" w:rsidP="00F46C7B"/>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71338226" id="_x0000_t202" coordsize="21600,21600" o:spt="202" path="m,l,21600r21600,l21600,xe">
                <v:stroke joinstyle="miter"/>
                <v:path gradientshapeok="t" o:connecttype="rect"/>
              </v:shapetype>
              <v:shape id="Zone de texte 84" o:spid="_x0000_s1026" type="#_x0000_t202" style="position:absolute;margin-left:46.8pt;margin-top:1.7pt;width:379.9pt;height:125.6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" filled="f" stroked="f" strokeweight=".5pt">
                <v:textbox>
                  <w:txbxContent>
                    <w:p w:rsidR="00C255DF" w:rsidRDefault="00C255DF" w:rsidP="00F46C7B">
                      <w:pPr>
                        <w:spacing w:after="160" w:line="259" w:lineRule="auto"/>
                        <w:jc w:val="center"/>
                        <w:rPr>
                          <w:rFonts w:eastAsia="MS Mincho"/>
                          <w:b/>
                          <w:color w:val="632280"/>
                          <w:sz w:val="56"/>
                          <w:szCs w:val="62"/>
                          <w:lang w:val="fr-FR" w:eastAsia="fr-FR"/>
                        </w:rPr>
                      </w:pPr>
                    </w:p>
                    <w:p w:rsidR="00C255DF" w:rsidRPr="00040D1A" w:rsidRDefault="00C255DF" w:rsidP="00F46C7B">
                      <w:pPr>
                        <w:spacing w:after="160" w:line="259" w:lineRule="auto"/>
                        <w:jc w:val="center"/>
                        <w:rPr>
                          <w:rFonts w:eastAsia="MS Mincho"/>
                          <w:b/>
                          <w:color w:val="632280"/>
                          <w:sz w:val="56"/>
                          <w:szCs w:val="62"/>
                          <w:lang w:val="fr-FR" w:eastAsia="fr-FR"/>
                        </w:rPr>
                      </w:pPr>
                      <w:r w:rsidRPr="00040D1A">
                        <w:rPr>
                          <w:rFonts w:eastAsia="MS Mincho"/>
                          <w:b/>
                          <w:color w:val="632280"/>
                          <w:sz w:val="56"/>
                          <w:szCs w:val="62"/>
                          <w:lang w:val="fr-FR" w:eastAsia="fr-FR"/>
                        </w:rPr>
                        <w:t>DOCUMENT DE REFERENCE</w:t>
                      </w:r>
                    </w:p>
                    <w:p w:rsidR="00C255DF" w:rsidRPr="00167946" w:rsidRDefault="00C255DF" w:rsidP="00F46C7B">
                      <w:pPr>
                        <w:spacing w:after="160" w:line="259" w:lineRule="auto"/>
                        <w:jc w:val="center"/>
                        <w:rPr>
                          <w:rFonts w:eastAsia="MS Mincho"/>
                          <w:b/>
                          <w:color w:val="632280"/>
                          <w:sz w:val="56"/>
                          <w:szCs w:val="56"/>
                          <w:lang w:val="fr-FR" w:eastAsia="fr-FR"/>
                        </w:rPr>
                      </w:pPr>
                      <w:r w:rsidRPr="00040D1A">
                        <w:rPr>
                          <w:rFonts w:eastAsia="MS Mincho"/>
                          <w:b/>
                          <w:color w:val="632280"/>
                          <w:sz w:val="56"/>
                          <w:szCs w:val="56"/>
                          <w:lang w:val="fr-FR" w:eastAsia="fr-FR"/>
                        </w:rPr>
                        <w:t>201</w:t>
                      </w:r>
                      <w:r>
                        <w:rPr>
                          <w:rFonts w:eastAsia="MS Mincho"/>
                          <w:b/>
                          <w:color w:val="632280"/>
                          <w:sz w:val="56"/>
                          <w:szCs w:val="56"/>
                          <w:lang w:val="fr-FR" w:eastAsia="fr-FR"/>
                        </w:rPr>
                        <w:t>8</w:t>
                      </w:r>
                    </w:p>
                    <w:p w:rsidR="00C255DF" w:rsidRDefault="00C255DF" w:rsidP="00F46C7B"/>
                  </w:txbxContent>
                </v:textbox>
              </v:shape>
            </w:pict>
          </mc:Fallback>
        </mc:AlternateContent>
      </w:r>
    </w:p>
    <w:p w:rsidR="00F46C7B" w:rsidRPr="00C73365" w:rsidRDefault="00F46C7B" w:rsidP="00A96CCA">
      <w:pPr>
        <w:pStyle w:val="BodyText3"/>
        <w:spacing w:after="120"/>
        <w:jc w:val="left"/>
        <w:rPr>
          <w:rFonts w:asciiTheme="minorHAnsi" w:hAnsiTheme="minorHAnsi" w:cstheme="minorHAnsi"/>
          <w:b/>
          <w:i w:val="0"/>
          <w:smallCaps/>
          <w:color w:val="7030A0"/>
          <w:sz w:val="32"/>
          <w:szCs w:val="32"/>
          <w:lang w:val="fr-FR"/>
        </w:rPr>
      </w:pPr>
    </w:p>
    <w:p w:rsidR="00F46C7B" w:rsidRPr="00C73365" w:rsidRDefault="00F46C7B" w:rsidP="00A96CCA">
      <w:pPr>
        <w:pStyle w:val="BodyText3"/>
        <w:spacing w:after="120"/>
        <w:jc w:val="left"/>
        <w:rPr>
          <w:rFonts w:asciiTheme="minorHAnsi" w:hAnsiTheme="minorHAnsi" w:cstheme="minorHAnsi"/>
          <w:b/>
          <w:i w:val="0"/>
          <w:smallCaps/>
          <w:color w:val="7030A0"/>
          <w:sz w:val="32"/>
          <w:szCs w:val="32"/>
          <w:lang w:val="fr-FR"/>
        </w:rPr>
      </w:pPr>
    </w:p>
    <w:p w:rsidR="00F46C7B" w:rsidRPr="00C73365" w:rsidRDefault="00F46C7B" w:rsidP="00A96CCA">
      <w:pPr>
        <w:pStyle w:val="BodyText3"/>
        <w:spacing w:after="120"/>
        <w:jc w:val="left"/>
        <w:rPr>
          <w:rFonts w:asciiTheme="minorHAnsi" w:hAnsiTheme="minorHAnsi" w:cstheme="minorHAnsi"/>
          <w:b/>
          <w:i w:val="0"/>
          <w:smallCaps/>
          <w:color w:val="7030A0"/>
          <w:sz w:val="32"/>
          <w:szCs w:val="32"/>
          <w:lang w:val="fr-FR"/>
        </w:rPr>
      </w:pPr>
    </w:p>
    <w:p w:rsidR="00F46C7B" w:rsidRPr="00C73365" w:rsidRDefault="00F46C7B" w:rsidP="00A96CCA">
      <w:pPr>
        <w:pStyle w:val="BodyText3"/>
        <w:spacing w:after="120"/>
        <w:jc w:val="left"/>
        <w:rPr>
          <w:rFonts w:asciiTheme="minorHAnsi" w:hAnsiTheme="minorHAnsi" w:cstheme="minorHAnsi"/>
          <w:b/>
          <w:i w:val="0"/>
          <w:smallCaps/>
          <w:color w:val="7030A0"/>
          <w:sz w:val="32"/>
          <w:szCs w:val="32"/>
          <w:lang w:val="fr-FR"/>
        </w:rPr>
      </w:pPr>
    </w:p>
    <w:p w:rsidR="00F46C7B" w:rsidRPr="00C73365" w:rsidRDefault="00F46C7B" w:rsidP="00713CB6">
      <w:pPr>
        <w:pStyle w:val="BlockText"/>
        <w:pBdr>
          <w:top w:val="none" w:sz="0" w:space="0" w:color="auto"/>
          <w:left w:val="none" w:sz="0" w:space="0" w:color="auto"/>
          <w:bottom w:val="none" w:sz="0" w:space="0" w:color="auto"/>
          <w:right w:val="none" w:sz="0" w:space="0" w:color="auto"/>
        </w:pBdr>
        <w:spacing w:after="120"/>
        <w:jc w:val="center"/>
        <w:rPr>
          <w:rFonts w:asciiTheme="minorHAnsi" w:hAnsiTheme="minorHAnsi" w:cstheme="minorHAnsi"/>
          <w:lang w:val="fr-FR"/>
        </w:rPr>
      </w:pPr>
    </w:p>
    <w:p w:rsidR="00713CB6" w:rsidRDefault="00713CB6" w:rsidP="00713CB6">
      <w:pPr>
        <w:pStyle w:val="BlockText"/>
        <w:pBdr>
          <w:top w:val="none" w:sz="0" w:space="0" w:color="auto"/>
          <w:left w:val="none" w:sz="0" w:space="0" w:color="auto"/>
          <w:bottom w:val="none" w:sz="0" w:space="0" w:color="auto"/>
          <w:right w:val="none" w:sz="0" w:space="0" w:color="auto"/>
        </w:pBdr>
        <w:spacing w:after="120"/>
        <w:rPr>
          <w:rFonts w:asciiTheme="minorHAnsi" w:hAnsiTheme="minorHAnsi" w:cstheme="minorHAnsi"/>
          <w:lang w:val="fr-FR"/>
        </w:rPr>
      </w:pPr>
    </w:p>
    <w:p w:rsidR="00713CB6" w:rsidRDefault="00713CB6" w:rsidP="00713CB6">
      <w:pPr>
        <w:pStyle w:val="BlockText"/>
        <w:pBdr>
          <w:top w:val="none" w:sz="0" w:space="0" w:color="auto"/>
          <w:left w:val="none" w:sz="0" w:space="0" w:color="auto"/>
          <w:bottom w:val="none" w:sz="0" w:space="0" w:color="auto"/>
          <w:right w:val="none" w:sz="0" w:space="0" w:color="auto"/>
        </w:pBdr>
        <w:spacing w:after="120"/>
        <w:jc w:val="center"/>
        <w:rPr>
          <w:rFonts w:asciiTheme="minorHAnsi" w:hAnsiTheme="minorHAnsi" w:cstheme="minorHAnsi"/>
          <w:noProof/>
          <w:lang w:val="fr-FR" w:eastAsia="fr-FR"/>
        </w:rPr>
      </w:pPr>
    </w:p>
    <w:p w:rsidR="00713CB6" w:rsidRDefault="00713CB6" w:rsidP="00713CB6">
      <w:pPr>
        <w:pStyle w:val="BlockText"/>
        <w:pBdr>
          <w:top w:val="single" w:sz="4" w:space="1" w:color="auto"/>
          <w:left w:val="single" w:sz="4" w:space="4" w:color="auto"/>
          <w:bottom w:val="single" w:sz="4" w:space="1" w:color="auto"/>
          <w:right w:val="single" w:sz="4" w:space="4" w:color="auto"/>
        </w:pBdr>
        <w:spacing w:after="120"/>
        <w:jc w:val="cente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2B985839" wp14:editId="0E7D3FED">
            <wp:extent cx="2777490" cy="477520"/>
            <wp:effectExtent l="19050" t="0" r="381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9"/>
                    <a:srcRect/>
                    <a:stretch>
                      <a:fillRect/>
                    </a:stretch>
                  </pic:blipFill>
                  <pic:spPr bwMode="auto">
                    <a:xfrm>
                      <a:off x="0" y="0"/>
                      <a:ext cx="2777490" cy="477520"/>
                    </a:xfrm>
                    <a:prstGeom prst="rect">
                      <a:avLst/>
                    </a:prstGeom>
                    <a:noFill/>
                    <a:ln w="9525">
                      <a:noFill/>
                      <a:miter lim="800000"/>
                      <a:headEnd/>
                      <a:tailEnd/>
                    </a:ln>
                  </pic:spPr>
                </pic:pic>
              </a:graphicData>
            </a:graphic>
          </wp:inline>
        </w:drawing>
      </w:r>
    </w:p>
    <w:p w:rsidR="00F46C7B" w:rsidRPr="00C73365" w:rsidRDefault="00F46C7B" w:rsidP="00713CB6">
      <w:pPr>
        <w:pStyle w:val="BlockText"/>
        <w:pBdr>
          <w:top w:val="single" w:sz="4" w:space="1" w:color="auto"/>
          <w:left w:val="single" w:sz="4" w:space="4" w:color="auto"/>
          <w:bottom w:val="single" w:sz="4" w:space="1" w:color="auto"/>
          <w:right w:val="single" w:sz="4" w:space="4" w:color="auto"/>
        </w:pBdr>
        <w:spacing w:after="120"/>
        <w:rPr>
          <w:rFonts w:asciiTheme="minorHAnsi" w:hAnsiTheme="minorHAnsi" w:cstheme="minorHAnsi"/>
          <w:lang w:val="fr-FR"/>
        </w:rPr>
      </w:pPr>
      <w:r w:rsidRPr="00C73365">
        <w:rPr>
          <w:rFonts w:asciiTheme="minorHAnsi" w:hAnsiTheme="minorHAnsi" w:cstheme="minorHAnsi"/>
          <w:lang w:val="fr-FR"/>
        </w:rPr>
        <w:t>En application de son règlement général, notamment de l’article 212-</w:t>
      </w:r>
      <w:r w:rsidR="009E2026" w:rsidRPr="00C73365">
        <w:rPr>
          <w:rFonts w:asciiTheme="minorHAnsi" w:hAnsiTheme="minorHAnsi" w:cstheme="minorHAnsi"/>
          <w:lang w:val="fr-FR"/>
        </w:rPr>
        <w:t>13</w:t>
      </w:r>
      <w:r w:rsidRPr="00C73365">
        <w:rPr>
          <w:rFonts w:asciiTheme="minorHAnsi" w:hAnsiTheme="minorHAnsi" w:cstheme="minorHAnsi"/>
          <w:lang w:val="fr-FR"/>
        </w:rPr>
        <w:t>, l’Autorité des marchés financiers (</w:t>
      </w:r>
      <w:bookmarkStart w:id="0" w:name="OLE_LINK1"/>
      <w:bookmarkStart w:id="1" w:name="OLE_LINK2"/>
      <w:r w:rsidRPr="00C73365">
        <w:rPr>
          <w:rFonts w:asciiTheme="minorHAnsi" w:hAnsiTheme="minorHAnsi" w:cstheme="minorHAnsi"/>
          <w:lang w:val="fr-FR"/>
        </w:rPr>
        <w:t>l’« </w:t>
      </w:r>
      <w:bookmarkEnd w:id="0"/>
      <w:bookmarkEnd w:id="1"/>
      <w:r w:rsidRPr="00C73365">
        <w:rPr>
          <w:rFonts w:asciiTheme="minorHAnsi" w:hAnsiTheme="minorHAnsi" w:cstheme="minorHAnsi"/>
          <w:u w:val="single"/>
          <w:lang w:val="fr-FR"/>
        </w:rPr>
        <w:t>AMF</w:t>
      </w:r>
      <w:r w:rsidRPr="00C73365">
        <w:rPr>
          <w:rFonts w:asciiTheme="minorHAnsi" w:hAnsiTheme="minorHAnsi" w:cstheme="minorHAnsi"/>
          <w:lang w:val="fr-FR"/>
        </w:rPr>
        <w:t xml:space="preserve"> ») a enregistré le présent document de </w:t>
      </w:r>
      <w:r w:rsidRPr="00E92A57">
        <w:rPr>
          <w:rFonts w:asciiTheme="minorHAnsi" w:hAnsiTheme="minorHAnsi" w:cstheme="minorHAnsi"/>
          <w:lang w:val="fr-FR"/>
        </w:rPr>
        <w:t>référence le</w:t>
      </w:r>
      <w:r w:rsidR="00BE2F01">
        <w:rPr>
          <w:rFonts w:asciiTheme="minorHAnsi" w:hAnsiTheme="minorHAnsi" w:cstheme="minorHAnsi"/>
          <w:lang w:val="fr-FR"/>
        </w:rPr>
        <w:t xml:space="preserve"> 27 avril </w:t>
      </w:r>
      <w:r w:rsidR="00E92A57">
        <w:rPr>
          <w:rFonts w:asciiTheme="minorHAnsi" w:hAnsiTheme="minorHAnsi" w:cstheme="minorHAnsi"/>
          <w:lang w:val="fr-FR"/>
        </w:rPr>
        <w:t>2018</w:t>
      </w:r>
      <w:r w:rsidR="003C29E7" w:rsidRPr="00C73365">
        <w:rPr>
          <w:rFonts w:asciiTheme="minorHAnsi" w:hAnsiTheme="minorHAnsi" w:cstheme="minorHAnsi"/>
          <w:lang w:val="fr-FR"/>
        </w:rPr>
        <w:t xml:space="preserve"> </w:t>
      </w:r>
      <w:r w:rsidR="00582D8A" w:rsidRPr="00E92A57">
        <w:rPr>
          <w:rFonts w:asciiTheme="minorHAnsi" w:hAnsiTheme="minorHAnsi" w:cstheme="minorHAnsi"/>
          <w:lang w:val="fr-FR"/>
        </w:rPr>
        <w:t>sous le numéro</w:t>
      </w:r>
      <w:r w:rsidR="0018566A">
        <w:rPr>
          <w:rFonts w:asciiTheme="minorHAnsi" w:hAnsiTheme="minorHAnsi" w:cstheme="minorHAnsi"/>
          <w:lang w:val="fr-FR"/>
        </w:rPr>
        <w:t xml:space="preserve"> </w:t>
      </w:r>
      <w:r w:rsidR="0018566A" w:rsidRPr="0018566A">
        <w:rPr>
          <w:rFonts w:asciiTheme="minorHAnsi" w:hAnsiTheme="minorHAnsi" w:cstheme="minorHAnsi"/>
          <w:lang w:val="fr-FR"/>
        </w:rPr>
        <w:t>R.18-038</w:t>
      </w:r>
      <w:r w:rsidR="00F21CAF" w:rsidRPr="00E92A57">
        <w:rPr>
          <w:rFonts w:asciiTheme="minorHAnsi" w:hAnsiTheme="minorHAnsi" w:cstheme="minorHAnsi"/>
          <w:lang w:val="fr-FR"/>
        </w:rPr>
        <w:t>.</w:t>
      </w:r>
      <w:r w:rsidR="00F21CAF" w:rsidRPr="00C73365">
        <w:rPr>
          <w:rFonts w:asciiTheme="minorHAnsi" w:hAnsiTheme="minorHAnsi" w:cstheme="minorHAnsi"/>
          <w:color w:val="1F497D"/>
          <w:sz w:val="18"/>
          <w:szCs w:val="18"/>
          <w:lang w:val="fr-FR"/>
        </w:rPr>
        <w:t xml:space="preserve"> </w:t>
      </w:r>
      <w:r w:rsidRPr="00C73365">
        <w:rPr>
          <w:rFonts w:asciiTheme="minorHAnsi" w:hAnsiTheme="minorHAnsi" w:cstheme="minorHAnsi"/>
          <w:lang w:val="fr-FR"/>
        </w:rPr>
        <w:t>Ce document ne peut être utilisé à l’appui d’une opération financière que s’il est complété par une note d’opération visée par l’AMF. Il a été établi par l’émetteur et engage la responsabilité de ses signataires.</w:t>
      </w:r>
    </w:p>
    <w:p w:rsidR="00713CB6" w:rsidRDefault="00F46C7B" w:rsidP="00713CB6">
      <w:pPr>
        <w:pStyle w:val="BlockText"/>
        <w:pBdr>
          <w:top w:val="single" w:sz="4" w:space="1" w:color="auto"/>
          <w:left w:val="single" w:sz="4" w:space="4" w:color="auto"/>
          <w:bottom w:val="single" w:sz="4" w:space="1" w:color="auto"/>
          <w:right w:val="single" w:sz="4" w:space="4" w:color="auto"/>
        </w:pBdr>
        <w:spacing w:after="120"/>
        <w:rPr>
          <w:rFonts w:asciiTheme="minorHAnsi" w:hAnsiTheme="minorHAnsi" w:cstheme="minorHAnsi"/>
          <w:lang w:val="fr-FR"/>
        </w:rPr>
      </w:pPr>
      <w:r w:rsidRPr="00C73365">
        <w:rPr>
          <w:rFonts w:asciiTheme="minorHAnsi" w:hAnsiTheme="minorHAnsi" w:cstheme="minorHAnsi"/>
          <w:lang w:val="fr-FR"/>
        </w:rPr>
        <w:t xml:space="preserve">L’enregistrement, conformément aux dispositions de l’article L. 621-8-1-I du code monétaire et financier, a été effectué après que l’AMF a vérifié </w:t>
      </w:r>
      <w:r w:rsidRPr="00C73365">
        <w:rPr>
          <w:rFonts w:asciiTheme="minorHAnsi" w:hAnsiTheme="minorHAnsi" w:cstheme="minorHAnsi"/>
          <w:i/>
          <w:lang w:val="fr-FR"/>
        </w:rPr>
        <w:t>« si le document est complet et compréhensible, et si les informations qu’il contient sont cohérentes »</w:t>
      </w:r>
      <w:r w:rsidRPr="00C73365">
        <w:rPr>
          <w:rFonts w:asciiTheme="minorHAnsi" w:hAnsiTheme="minorHAnsi" w:cstheme="minorHAnsi"/>
          <w:lang w:val="fr-FR"/>
        </w:rPr>
        <w:t>. Il n’implique pas l’authentification des éléments comptables et financiers présent</w:t>
      </w:r>
      <w:r w:rsidR="00713CB6">
        <w:rPr>
          <w:rFonts w:asciiTheme="minorHAnsi" w:hAnsiTheme="minorHAnsi" w:cstheme="minorHAnsi"/>
          <w:lang w:val="fr-FR"/>
        </w:rPr>
        <w:t>és par l’AMF.</w:t>
      </w:r>
    </w:p>
    <w:p w:rsidR="00F46C7B" w:rsidRPr="00713CB6" w:rsidRDefault="00F46C7B" w:rsidP="00713CB6">
      <w:pPr>
        <w:pStyle w:val="BlockText"/>
        <w:pBdr>
          <w:top w:val="single" w:sz="4" w:space="1" w:color="auto"/>
          <w:left w:val="single" w:sz="4" w:space="4" w:color="auto"/>
          <w:bottom w:val="single" w:sz="4" w:space="1" w:color="auto"/>
          <w:right w:val="single" w:sz="4" w:space="4" w:color="auto"/>
        </w:pBdr>
        <w:spacing w:after="120"/>
        <w:rPr>
          <w:rFonts w:asciiTheme="minorHAnsi" w:hAnsiTheme="minorHAnsi" w:cstheme="minorHAnsi"/>
          <w:lang w:val="fr-FR"/>
        </w:rPr>
      </w:pPr>
      <w:r w:rsidRPr="00C73365">
        <w:rPr>
          <w:rFonts w:asciiTheme="minorHAnsi" w:hAnsiTheme="minorHAnsi" w:cstheme="minorHAnsi"/>
          <w:lang w:val="fr-FR"/>
        </w:rPr>
        <w:t>Des exemplaires du présent document de référence sont disponibles sans frais auprès de la Société au 5, rue de la Baume, 75008 Paris ainsi qu’en version électronique sur le site Internet de la Société (</w:t>
      </w:r>
      <w:hyperlink r:id="rId10" w:history="1">
        <w:r w:rsidR="004572A0" w:rsidRPr="00C73365">
          <w:rPr>
            <w:rStyle w:val="Hyperlink"/>
            <w:rFonts w:asciiTheme="minorHAnsi" w:hAnsiTheme="minorHAnsi" w:cstheme="minorHAnsi"/>
            <w:lang w:val="fr-FR"/>
          </w:rPr>
          <w:t>www.ABIVAX.com</w:t>
        </w:r>
      </w:hyperlink>
      <w:r w:rsidRPr="00C73365">
        <w:rPr>
          <w:rFonts w:asciiTheme="minorHAnsi" w:hAnsiTheme="minorHAnsi" w:cstheme="minorHAnsi"/>
          <w:lang w:val="fr-FR"/>
        </w:rPr>
        <w:t>) et sur le site Internet de l’Autorité des marchés financiers (</w:t>
      </w:r>
      <w:hyperlink r:id="rId11" w:history="1">
        <w:r w:rsidR="004572A0" w:rsidRPr="00C73365">
          <w:rPr>
            <w:rStyle w:val="Hyperlink"/>
            <w:rFonts w:asciiTheme="minorHAnsi" w:hAnsiTheme="minorHAnsi" w:cstheme="minorHAnsi"/>
            <w:lang w:val="fr-FR"/>
          </w:rPr>
          <w:t>www.amf-france.org</w:t>
        </w:r>
      </w:hyperlink>
      <w:r w:rsidRPr="00C73365">
        <w:rPr>
          <w:rFonts w:asciiTheme="minorHAnsi" w:hAnsiTheme="minorHAnsi" w:cstheme="minorHAnsi"/>
          <w:lang w:val="fr-FR"/>
        </w:rPr>
        <w:t>).</w:t>
      </w:r>
    </w:p>
    <w:p w:rsidR="00F46C7B" w:rsidRPr="00C73365" w:rsidRDefault="00F46C7B" w:rsidP="00A96CCA">
      <w:pPr>
        <w:pStyle w:val="BodyText3"/>
        <w:spacing w:after="120"/>
        <w:jc w:val="left"/>
        <w:rPr>
          <w:rFonts w:asciiTheme="minorHAnsi" w:hAnsiTheme="minorHAnsi" w:cstheme="minorHAnsi"/>
          <w:b/>
          <w:i w:val="0"/>
          <w:smallCaps/>
          <w:color w:val="7030A0"/>
          <w:sz w:val="32"/>
          <w:szCs w:val="32"/>
          <w:lang w:val="fr-FR"/>
        </w:rPr>
      </w:pPr>
    </w:p>
    <w:p w:rsidR="00A96CCA" w:rsidRPr="00C73365" w:rsidRDefault="00A96CCA">
      <w:pPr>
        <w:spacing w:after="160" w:line="259" w:lineRule="auto"/>
        <w:rPr>
          <w:rFonts w:asciiTheme="minorHAnsi" w:hAnsiTheme="minorHAnsi" w:cstheme="minorHAnsi"/>
          <w:b/>
          <w:smallCaps/>
          <w:color w:val="7030A0"/>
          <w:sz w:val="32"/>
          <w:szCs w:val="32"/>
          <w:lang w:val="fr-FR"/>
        </w:rPr>
      </w:pPr>
      <w:r w:rsidRPr="00C73365">
        <w:rPr>
          <w:rFonts w:asciiTheme="minorHAnsi" w:hAnsiTheme="minorHAnsi" w:cstheme="minorHAnsi"/>
          <w:b/>
          <w:i/>
          <w:smallCaps/>
          <w:color w:val="7030A0"/>
          <w:sz w:val="32"/>
          <w:szCs w:val="32"/>
          <w:lang w:val="fr-FR"/>
        </w:rPr>
        <w:br w:type="page"/>
      </w:r>
    </w:p>
    <w:p w:rsidR="00F46C7B" w:rsidRPr="00C73365" w:rsidRDefault="00F46C7B" w:rsidP="00A96CCA">
      <w:pPr>
        <w:pStyle w:val="BodyText3"/>
        <w:spacing w:after="120"/>
        <w:jc w:val="left"/>
        <w:rPr>
          <w:rFonts w:asciiTheme="minorHAnsi" w:hAnsiTheme="minorHAnsi" w:cstheme="minorHAnsi"/>
          <w:b/>
          <w:i w:val="0"/>
          <w:smallCaps/>
          <w:color w:val="7030A0"/>
          <w:sz w:val="32"/>
          <w:szCs w:val="32"/>
          <w:lang w:val="fr-FR"/>
        </w:rPr>
      </w:pPr>
      <w:r w:rsidRPr="00C73365">
        <w:rPr>
          <w:rFonts w:asciiTheme="minorHAnsi" w:hAnsiTheme="minorHAnsi" w:cstheme="minorHAnsi"/>
          <w:b/>
          <w:i w:val="0"/>
          <w:smallCaps/>
          <w:color w:val="7030A0"/>
          <w:sz w:val="32"/>
          <w:szCs w:val="32"/>
          <w:lang w:val="fr-FR"/>
        </w:rPr>
        <w:lastRenderedPageBreak/>
        <w:t>SOMMAIRE</w:t>
      </w:r>
    </w:p>
    <w:p w:rsidR="00F06F79" w:rsidRDefault="00F46C7B">
      <w:pPr>
        <w:pStyle w:val="TOC2"/>
        <w:rPr>
          <w:rFonts w:eastAsiaTheme="minorEastAsia" w:cstheme="minorBidi"/>
          <w:b w:val="0"/>
          <w:color w:val="auto"/>
          <w:sz w:val="22"/>
          <w:szCs w:val="22"/>
          <w:lang w:eastAsia="fr-FR"/>
        </w:rPr>
      </w:pPr>
      <w:r w:rsidRPr="00E92A57">
        <w:rPr>
          <w:rFonts w:cstheme="minorHAnsi"/>
        </w:rPr>
        <w:fldChar w:fldCharType="begin"/>
      </w:r>
      <w:r w:rsidRPr="00E92A57">
        <w:rPr>
          <w:rFonts w:cstheme="minorHAnsi"/>
        </w:rPr>
        <w:instrText xml:space="preserve"> TOC \o "1-2" \u </w:instrText>
      </w:r>
      <w:r w:rsidRPr="00E92A57">
        <w:rPr>
          <w:rFonts w:cstheme="minorHAnsi"/>
        </w:rPr>
        <w:fldChar w:fldCharType="separate"/>
      </w:r>
      <w:r w:rsidR="00F06F79" w:rsidRPr="009D0846">
        <w:rPr>
          <w:rFonts w:ascii="Wingdings" w:hAnsi="Wingdings" w:cstheme="minorHAnsi"/>
          <w:b w:val="0"/>
        </w:rPr>
        <w:t>§</w:t>
      </w:r>
      <w:r w:rsidR="00F06F79">
        <w:rPr>
          <w:rFonts w:eastAsiaTheme="minorEastAsia" w:cstheme="minorBidi"/>
          <w:b w:val="0"/>
          <w:color w:val="auto"/>
          <w:sz w:val="22"/>
          <w:szCs w:val="22"/>
          <w:lang w:eastAsia="fr-FR"/>
        </w:rPr>
        <w:tab/>
      </w:r>
      <w:r w:rsidR="00F06F79" w:rsidRPr="009D0846">
        <w:rPr>
          <w:rFonts w:cstheme="minorHAnsi"/>
        </w:rPr>
        <w:t>REMARQUES GENERALES</w:t>
      </w:r>
      <w:r w:rsidR="00F06F79">
        <w:tab/>
      </w:r>
      <w:r w:rsidR="00F06F79">
        <w:fldChar w:fldCharType="begin"/>
      </w:r>
      <w:r w:rsidR="00F06F79">
        <w:instrText xml:space="preserve"> PAGEREF _Toc512863876 \h </w:instrText>
      </w:r>
      <w:r w:rsidR="00F06F79">
        <w:fldChar w:fldCharType="separate"/>
      </w:r>
      <w:r w:rsidR="00F06F79">
        <w:t>6</w:t>
      </w:r>
      <w:r w:rsidR="00F06F79">
        <w:fldChar w:fldCharType="end"/>
      </w:r>
    </w:p>
    <w:p w:rsidR="00F06F79" w:rsidRDefault="00F06F79">
      <w:pPr>
        <w:pStyle w:val="TOC1"/>
        <w:rPr>
          <w:rFonts w:asciiTheme="minorHAnsi" w:eastAsiaTheme="minorEastAsia" w:hAnsiTheme="minorHAnsi" w:cstheme="minorBidi"/>
          <w:b w:val="0"/>
          <w:sz w:val="22"/>
          <w:szCs w:val="22"/>
          <w:lang w:val="fr-FR" w:eastAsia="fr-FR"/>
        </w:rPr>
      </w:pPr>
      <w:r w:rsidRPr="009D0846">
        <w:rPr>
          <w:rFonts w:asciiTheme="minorHAnsi" w:hAnsiTheme="minorHAnsi"/>
          <w:iCs/>
          <w:lang w:val="fr-FR"/>
        </w:rPr>
        <w:t>1.</w:t>
      </w:r>
      <w:r>
        <w:rPr>
          <w:rFonts w:asciiTheme="minorHAnsi" w:eastAsiaTheme="minorEastAsia" w:hAnsiTheme="minorHAnsi" w:cstheme="minorBidi"/>
          <w:b w:val="0"/>
          <w:sz w:val="22"/>
          <w:szCs w:val="22"/>
          <w:lang w:val="fr-FR" w:eastAsia="fr-FR"/>
        </w:rPr>
        <w:tab/>
      </w:r>
      <w:r w:rsidRPr="009D0846">
        <w:rPr>
          <w:rFonts w:asciiTheme="minorHAnsi" w:hAnsiTheme="minorHAnsi" w:cstheme="minorHAnsi"/>
          <w:lang w:val="fr-FR"/>
        </w:rPr>
        <w:t>PERSONNES RESPONSABLES</w:t>
      </w:r>
      <w:r w:rsidRPr="00F06F79">
        <w:rPr>
          <w:lang w:val="fr-FR"/>
        </w:rPr>
        <w:tab/>
      </w:r>
      <w:r>
        <w:fldChar w:fldCharType="begin"/>
      </w:r>
      <w:r w:rsidRPr="00F06F79">
        <w:rPr>
          <w:lang w:val="fr-FR"/>
        </w:rPr>
        <w:instrText xml:space="preserve"> PAGEREF _Toc512863877 \h </w:instrText>
      </w:r>
      <w:r>
        <w:fldChar w:fldCharType="separate"/>
      </w:r>
      <w:r w:rsidRPr="00F06F79">
        <w:rPr>
          <w:lang w:val="fr-FR"/>
        </w:rPr>
        <w:t>8</w:t>
      </w:r>
      <w:r>
        <w:fldChar w:fldCharType="end"/>
      </w:r>
    </w:p>
    <w:p w:rsidR="00F06F79" w:rsidRDefault="00F06F79">
      <w:pPr>
        <w:pStyle w:val="TOC2"/>
        <w:rPr>
          <w:rFonts w:eastAsiaTheme="minorEastAsia" w:cstheme="minorBidi"/>
          <w:b w:val="0"/>
          <w:color w:val="auto"/>
          <w:sz w:val="22"/>
          <w:szCs w:val="22"/>
          <w:lang w:eastAsia="fr-FR"/>
        </w:rPr>
      </w:pPr>
      <w:r w:rsidRPr="009D0846">
        <w:t>1.1</w:t>
      </w:r>
      <w:r>
        <w:rPr>
          <w:rFonts w:eastAsiaTheme="minorEastAsia" w:cstheme="minorBidi"/>
          <w:b w:val="0"/>
          <w:color w:val="auto"/>
          <w:sz w:val="22"/>
          <w:szCs w:val="22"/>
          <w:lang w:eastAsia="fr-FR"/>
        </w:rPr>
        <w:tab/>
      </w:r>
      <w:r w:rsidRPr="009D0846">
        <w:rPr>
          <w:rFonts w:cstheme="minorHAnsi"/>
        </w:rPr>
        <w:t>Responsable du document de référence</w:t>
      </w:r>
      <w:r>
        <w:tab/>
      </w:r>
      <w:r>
        <w:fldChar w:fldCharType="begin"/>
      </w:r>
      <w:r>
        <w:instrText xml:space="preserve"> PAGEREF _Toc512863878 \h </w:instrText>
      </w:r>
      <w:r>
        <w:fldChar w:fldCharType="separate"/>
      </w:r>
      <w:r>
        <w:t>8</w:t>
      </w:r>
      <w:r>
        <w:fldChar w:fldCharType="end"/>
      </w:r>
    </w:p>
    <w:p w:rsidR="00F06F79" w:rsidRDefault="00F06F79">
      <w:pPr>
        <w:pStyle w:val="TOC2"/>
        <w:rPr>
          <w:rFonts w:eastAsiaTheme="minorEastAsia" w:cstheme="minorBidi"/>
          <w:b w:val="0"/>
          <w:color w:val="auto"/>
          <w:sz w:val="22"/>
          <w:szCs w:val="22"/>
          <w:lang w:eastAsia="fr-FR"/>
        </w:rPr>
      </w:pPr>
      <w:r w:rsidRPr="009D0846">
        <w:t>1.2</w:t>
      </w:r>
      <w:r>
        <w:rPr>
          <w:rFonts w:eastAsiaTheme="minorEastAsia" w:cstheme="minorBidi"/>
          <w:b w:val="0"/>
          <w:color w:val="auto"/>
          <w:sz w:val="22"/>
          <w:szCs w:val="22"/>
          <w:lang w:eastAsia="fr-FR"/>
        </w:rPr>
        <w:tab/>
      </w:r>
      <w:r w:rsidRPr="009D0846">
        <w:rPr>
          <w:rFonts w:cstheme="minorHAnsi"/>
        </w:rPr>
        <w:t>Attestation de la personne responsable</w:t>
      </w:r>
      <w:r>
        <w:tab/>
      </w:r>
      <w:r>
        <w:fldChar w:fldCharType="begin"/>
      </w:r>
      <w:r>
        <w:instrText xml:space="preserve"> PAGEREF _Toc512863879 \h </w:instrText>
      </w:r>
      <w:r>
        <w:fldChar w:fldCharType="separate"/>
      </w:r>
      <w:r>
        <w:t>8</w:t>
      </w:r>
      <w:r>
        <w:fldChar w:fldCharType="end"/>
      </w:r>
    </w:p>
    <w:p w:rsidR="00F06F79" w:rsidRDefault="00F06F79">
      <w:pPr>
        <w:pStyle w:val="TOC2"/>
        <w:rPr>
          <w:rFonts w:eastAsiaTheme="minorEastAsia" w:cstheme="minorBidi"/>
          <w:b w:val="0"/>
          <w:color w:val="auto"/>
          <w:sz w:val="22"/>
          <w:szCs w:val="22"/>
          <w:lang w:eastAsia="fr-FR"/>
        </w:rPr>
      </w:pPr>
      <w:r w:rsidRPr="009D0846">
        <w:t>1.3</w:t>
      </w:r>
      <w:r>
        <w:rPr>
          <w:rFonts w:eastAsiaTheme="minorEastAsia" w:cstheme="minorBidi"/>
          <w:b w:val="0"/>
          <w:color w:val="auto"/>
          <w:sz w:val="22"/>
          <w:szCs w:val="22"/>
          <w:lang w:eastAsia="fr-FR"/>
        </w:rPr>
        <w:tab/>
      </w:r>
      <w:r w:rsidRPr="009D0846">
        <w:rPr>
          <w:rFonts w:cstheme="minorHAnsi"/>
        </w:rPr>
        <w:t>Responsable de l’information financière</w:t>
      </w:r>
      <w:r>
        <w:tab/>
      </w:r>
      <w:r>
        <w:fldChar w:fldCharType="begin"/>
      </w:r>
      <w:r>
        <w:instrText xml:space="preserve"> PAGEREF _Toc512863880 \h </w:instrText>
      </w:r>
      <w:r>
        <w:fldChar w:fldCharType="separate"/>
      </w:r>
      <w:r>
        <w:t>8</w:t>
      </w:r>
      <w:r>
        <w:fldChar w:fldCharType="end"/>
      </w:r>
    </w:p>
    <w:p w:rsidR="00F06F79" w:rsidRDefault="00F06F79">
      <w:pPr>
        <w:pStyle w:val="TOC1"/>
        <w:rPr>
          <w:rFonts w:asciiTheme="minorHAnsi" w:eastAsiaTheme="minorEastAsia" w:hAnsiTheme="minorHAnsi" w:cstheme="minorBidi"/>
          <w:b w:val="0"/>
          <w:sz w:val="22"/>
          <w:szCs w:val="22"/>
          <w:lang w:val="fr-FR" w:eastAsia="fr-FR"/>
        </w:rPr>
      </w:pPr>
      <w:r w:rsidRPr="009D0846">
        <w:rPr>
          <w:rFonts w:asciiTheme="minorHAnsi" w:hAnsiTheme="minorHAnsi"/>
          <w:lang w:val="fr-FR"/>
        </w:rPr>
        <w:t>2.</w:t>
      </w:r>
      <w:r>
        <w:rPr>
          <w:rFonts w:asciiTheme="minorHAnsi" w:eastAsiaTheme="minorEastAsia" w:hAnsiTheme="minorHAnsi" w:cstheme="minorBidi"/>
          <w:b w:val="0"/>
          <w:sz w:val="22"/>
          <w:szCs w:val="22"/>
          <w:lang w:val="fr-FR" w:eastAsia="fr-FR"/>
        </w:rPr>
        <w:tab/>
      </w:r>
      <w:r w:rsidRPr="009D0846">
        <w:rPr>
          <w:rFonts w:asciiTheme="minorHAnsi" w:hAnsiTheme="minorHAnsi" w:cstheme="minorHAnsi"/>
          <w:lang w:val="fr-FR"/>
        </w:rPr>
        <w:t>CONTROLEURS LEGAUX DES COMPTES</w:t>
      </w:r>
      <w:r w:rsidRPr="00F06F79">
        <w:rPr>
          <w:lang w:val="fr-FR"/>
        </w:rPr>
        <w:tab/>
      </w:r>
      <w:r>
        <w:fldChar w:fldCharType="begin"/>
      </w:r>
      <w:r w:rsidRPr="00F06F79">
        <w:rPr>
          <w:lang w:val="fr-FR"/>
        </w:rPr>
        <w:instrText xml:space="preserve"> PAGEREF _Toc512863881 \h </w:instrText>
      </w:r>
      <w:r>
        <w:fldChar w:fldCharType="separate"/>
      </w:r>
      <w:r w:rsidRPr="00F06F79">
        <w:rPr>
          <w:lang w:val="fr-FR"/>
        </w:rPr>
        <w:t>9</w:t>
      </w:r>
      <w:r>
        <w:fldChar w:fldCharType="end"/>
      </w:r>
    </w:p>
    <w:p w:rsidR="00F06F79" w:rsidRDefault="00F06F79">
      <w:pPr>
        <w:pStyle w:val="TOC2"/>
        <w:rPr>
          <w:rFonts w:eastAsiaTheme="minorEastAsia" w:cstheme="minorBidi"/>
          <w:b w:val="0"/>
          <w:color w:val="auto"/>
          <w:sz w:val="22"/>
          <w:szCs w:val="22"/>
          <w:lang w:eastAsia="fr-FR"/>
        </w:rPr>
      </w:pPr>
      <w:r w:rsidRPr="009D0846">
        <w:t>2.1</w:t>
      </w:r>
      <w:r>
        <w:rPr>
          <w:rFonts w:eastAsiaTheme="minorEastAsia" w:cstheme="minorBidi"/>
          <w:b w:val="0"/>
          <w:color w:val="auto"/>
          <w:sz w:val="22"/>
          <w:szCs w:val="22"/>
          <w:lang w:eastAsia="fr-FR"/>
        </w:rPr>
        <w:tab/>
      </w:r>
      <w:r w:rsidRPr="009D0846">
        <w:rPr>
          <w:rFonts w:cstheme="minorHAnsi"/>
        </w:rPr>
        <w:t>Commissaire aux comptes titulaire</w:t>
      </w:r>
      <w:r>
        <w:tab/>
      </w:r>
      <w:r>
        <w:fldChar w:fldCharType="begin"/>
      </w:r>
      <w:r>
        <w:instrText xml:space="preserve"> PAGEREF _Toc512863882 \h </w:instrText>
      </w:r>
      <w:r>
        <w:fldChar w:fldCharType="separate"/>
      </w:r>
      <w:r>
        <w:t>9</w:t>
      </w:r>
      <w:r>
        <w:fldChar w:fldCharType="end"/>
      </w:r>
    </w:p>
    <w:p w:rsidR="00F06F79" w:rsidRDefault="00F06F79">
      <w:pPr>
        <w:pStyle w:val="TOC2"/>
        <w:rPr>
          <w:rFonts w:eastAsiaTheme="minorEastAsia" w:cstheme="minorBidi"/>
          <w:b w:val="0"/>
          <w:color w:val="auto"/>
          <w:sz w:val="22"/>
          <w:szCs w:val="22"/>
          <w:lang w:eastAsia="fr-FR"/>
        </w:rPr>
      </w:pPr>
      <w:r w:rsidRPr="009D0846">
        <w:t>2.2</w:t>
      </w:r>
      <w:r>
        <w:rPr>
          <w:rFonts w:eastAsiaTheme="minorEastAsia" w:cstheme="minorBidi"/>
          <w:b w:val="0"/>
          <w:color w:val="auto"/>
          <w:sz w:val="22"/>
          <w:szCs w:val="22"/>
          <w:lang w:eastAsia="fr-FR"/>
        </w:rPr>
        <w:tab/>
      </w:r>
      <w:r w:rsidRPr="009D0846">
        <w:rPr>
          <w:rFonts w:cstheme="minorHAnsi"/>
        </w:rPr>
        <w:t>Commissaire aux comptes suppléant</w:t>
      </w:r>
      <w:r>
        <w:tab/>
      </w:r>
      <w:r>
        <w:fldChar w:fldCharType="begin"/>
      </w:r>
      <w:r>
        <w:instrText xml:space="preserve"> PAGEREF _Toc512863883 \h </w:instrText>
      </w:r>
      <w:r>
        <w:fldChar w:fldCharType="separate"/>
      </w:r>
      <w:r>
        <w:t>9</w:t>
      </w:r>
      <w:r>
        <w:fldChar w:fldCharType="end"/>
      </w:r>
    </w:p>
    <w:p w:rsidR="00F06F79" w:rsidRDefault="00F06F79">
      <w:pPr>
        <w:pStyle w:val="TOC1"/>
        <w:rPr>
          <w:rFonts w:asciiTheme="minorHAnsi" w:eastAsiaTheme="minorEastAsia" w:hAnsiTheme="minorHAnsi" w:cstheme="minorBidi"/>
          <w:b w:val="0"/>
          <w:sz w:val="22"/>
          <w:szCs w:val="22"/>
          <w:lang w:val="fr-FR" w:eastAsia="fr-FR"/>
        </w:rPr>
      </w:pPr>
      <w:r w:rsidRPr="009D0846">
        <w:rPr>
          <w:rFonts w:asciiTheme="minorHAnsi" w:hAnsiTheme="minorHAnsi"/>
          <w:lang w:val="fr-FR"/>
        </w:rPr>
        <w:t>3.</w:t>
      </w:r>
      <w:r>
        <w:rPr>
          <w:rFonts w:asciiTheme="minorHAnsi" w:eastAsiaTheme="minorEastAsia" w:hAnsiTheme="minorHAnsi" w:cstheme="minorBidi"/>
          <w:b w:val="0"/>
          <w:sz w:val="22"/>
          <w:szCs w:val="22"/>
          <w:lang w:val="fr-FR" w:eastAsia="fr-FR"/>
        </w:rPr>
        <w:tab/>
      </w:r>
      <w:r w:rsidRPr="009D0846">
        <w:rPr>
          <w:rFonts w:asciiTheme="minorHAnsi" w:hAnsiTheme="minorHAnsi" w:cstheme="minorHAnsi"/>
          <w:lang w:val="fr-FR"/>
        </w:rPr>
        <w:t>INFORMATIONS FINANCIERES SELECTIONNEES</w:t>
      </w:r>
      <w:r w:rsidRPr="00F06F79">
        <w:rPr>
          <w:lang w:val="fr-FR"/>
        </w:rPr>
        <w:tab/>
      </w:r>
      <w:r>
        <w:fldChar w:fldCharType="begin"/>
      </w:r>
      <w:r w:rsidRPr="00F06F79">
        <w:rPr>
          <w:lang w:val="fr-FR"/>
        </w:rPr>
        <w:instrText xml:space="preserve"> PAGEREF _Toc512863884 \h </w:instrText>
      </w:r>
      <w:r>
        <w:fldChar w:fldCharType="separate"/>
      </w:r>
      <w:r w:rsidRPr="00F06F79">
        <w:rPr>
          <w:lang w:val="fr-FR"/>
        </w:rPr>
        <w:t>10</w:t>
      </w:r>
      <w:r>
        <w:fldChar w:fldCharType="end"/>
      </w:r>
    </w:p>
    <w:p w:rsidR="00F06F79" w:rsidRDefault="00F06F79">
      <w:pPr>
        <w:pStyle w:val="TOC1"/>
        <w:rPr>
          <w:rFonts w:asciiTheme="minorHAnsi" w:eastAsiaTheme="minorEastAsia" w:hAnsiTheme="minorHAnsi" w:cstheme="minorBidi"/>
          <w:b w:val="0"/>
          <w:sz w:val="22"/>
          <w:szCs w:val="22"/>
          <w:lang w:val="fr-FR" w:eastAsia="fr-FR"/>
        </w:rPr>
      </w:pPr>
      <w:r w:rsidRPr="009D0846">
        <w:rPr>
          <w:rFonts w:asciiTheme="minorHAnsi" w:hAnsiTheme="minorHAnsi"/>
          <w:lang w:val="fr-FR"/>
        </w:rPr>
        <w:t>4.</w:t>
      </w:r>
      <w:r>
        <w:rPr>
          <w:rFonts w:asciiTheme="minorHAnsi" w:eastAsiaTheme="minorEastAsia" w:hAnsiTheme="minorHAnsi" w:cstheme="minorBidi"/>
          <w:b w:val="0"/>
          <w:sz w:val="22"/>
          <w:szCs w:val="22"/>
          <w:lang w:val="fr-FR" w:eastAsia="fr-FR"/>
        </w:rPr>
        <w:tab/>
      </w:r>
      <w:r w:rsidRPr="009D0846">
        <w:rPr>
          <w:rFonts w:asciiTheme="minorHAnsi" w:hAnsiTheme="minorHAnsi" w:cstheme="minorHAnsi"/>
          <w:lang w:val="fr-FR"/>
        </w:rPr>
        <w:t>FACTEURS DE RISQUES</w:t>
      </w:r>
      <w:r w:rsidRPr="00F06F79">
        <w:rPr>
          <w:lang w:val="fr-FR"/>
        </w:rPr>
        <w:tab/>
      </w:r>
      <w:r>
        <w:fldChar w:fldCharType="begin"/>
      </w:r>
      <w:r w:rsidRPr="00F06F79">
        <w:rPr>
          <w:lang w:val="fr-FR"/>
        </w:rPr>
        <w:instrText xml:space="preserve"> PAGEREF _Toc512863885 \h </w:instrText>
      </w:r>
      <w:r>
        <w:fldChar w:fldCharType="separate"/>
      </w:r>
      <w:r w:rsidRPr="00F06F79">
        <w:rPr>
          <w:lang w:val="fr-FR"/>
        </w:rPr>
        <w:t>13</w:t>
      </w:r>
      <w:r>
        <w:fldChar w:fldCharType="end"/>
      </w:r>
    </w:p>
    <w:p w:rsidR="00F06F79" w:rsidRDefault="00F06F79">
      <w:pPr>
        <w:pStyle w:val="TOC2"/>
        <w:rPr>
          <w:rFonts w:eastAsiaTheme="minorEastAsia" w:cstheme="minorBidi"/>
          <w:b w:val="0"/>
          <w:color w:val="auto"/>
          <w:sz w:val="22"/>
          <w:szCs w:val="22"/>
          <w:lang w:eastAsia="fr-FR"/>
        </w:rPr>
      </w:pPr>
      <w:r w:rsidRPr="009D0846">
        <w:t>4.1</w:t>
      </w:r>
      <w:r>
        <w:rPr>
          <w:rFonts w:eastAsiaTheme="minorEastAsia" w:cstheme="minorBidi"/>
          <w:b w:val="0"/>
          <w:color w:val="auto"/>
          <w:sz w:val="22"/>
          <w:szCs w:val="22"/>
          <w:lang w:eastAsia="fr-FR"/>
        </w:rPr>
        <w:tab/>
      </w:r>
      <w:r w:rsidRPr="009D0846">
        <w:rPr>
          <w:rFonts w:cstheme="minorHAnsi"/>
        </w:rPr>
        <w:t>Risques liés à l’activité de la Société</w:t>
      </w:r>
      <w:r>
        <w:tab/>
      </w:r>
      <w:r>
        <w:fldChar w:fldCharType="begin"/>
      </w:r>
      <w:r>
        <w:instrText xml:space="preserve"> PAGEREF _Toc512863886 \h </w:instrText>
      </w:r>
      <w:r>
        <w:fldChar w:fldCharType="separate"/>
      </w:r>
      <w:r>
        <w:t>13</w:t>
      </w:r>
      <w:r>
        <w:fldChar w:fldCharType="end"/>
      </w:r>
    </w:p>
    <w:p w:rsidR="00F06F79" w:rsidRDefault="00F06F79">
      <w:pPr>
        <w:pStyle w:val="TOC2"/>
        <w:rPr>
          <w:rFonts w:eastAsiaTheme="minorEastAsia" w:cstheme="minorBidi"/>
          <w:b w:val="0"/>
          <w:color w:val="auto"/>
          <w:sz w:val="22"/>
          <w:szCs w:val="22"/>
          <w:lang w:eastAsia="fr-FR"/>
        </w:rPr>
      </w:pPr>
      <w:r w:rsidRPr="009D0846">
        <w:t>4.2</w:t>
      </w:r>
      <w:r>
        <w:rPr>
          <w:rFonts w:eastAsiaTheme="minorEastAsia" w:cstheme="minorBidi"/>
          <w:b w:val="0"/>
          <w:color w:val="auto"/>
          <w:sz w:val="22"/>
          <w:szCs w:val="22"/>
          <w:lang w:eastAsia="fr-FR"/>
        </w:rPr>
        <w:tab/>
      </w:r>
      <w:r w:rsidRPr="009D0846">
        <w:rPr>
          <w:rFonts w:cstheme="minorHAnsi"/>
        </w:rPr>
        <w:t>Risques liés à l’organisation de la Société</w:t>
      </w:r>
      <w:r>
        <w:tab/>
      </w:r>
      <w:r>
        <w:fldChar w:fldCharType="begin"/>
      </w:r>
      <w:r>
        <w:instrText xml:space="preserve"> PAGEREF _Toc512863887 \h </w:instrText>
      </w:r>
      <w:r>
        <w:fldChar w:fldCharType="separate"/>
      </w:r>
      <w:r>
        <w:t>17</w:t>
      </w:r>
      <w:r>
        <w:fldChar w:fldCharType="end"/>
      </w:r>
    </w:p>
    <w:p w:rsidR="00F06F79" w:rsidRDefault="00F06F79">
      <w:pPr>
        <w:pStyle w:val="TOC2"/>
        <w:rPr>
          <w:rFonts w:eastAsiaTheme="minorEastAsia" w:cstheme="minorBidi"/>
          <w:b w:val="0"/>
          <w:color w:val="auto"/>
          <w:sz w:val="22"/>
          <w:szCs w:val="22"/>
          <w:lang w:eastAsia="fr-FR"/>
        </w:rPr>
      </w:pPr>
      <w:r w:rsidRPr="009D0846">
        <w:t>4.3</w:t>
      </w:r>
      <w:r>
        <w:rPr>
          <w:rFonts w:eastAsiaTheme="minorEastAsia" w:cstheme="minorBidi"/>
          <w:b w:val="0"/>
          <w:color w:val="auto"/>
          <w:sz w:val="22"/>
          <w:szCs w:val="22"/>
          <w:lang w:eastAsia="fr-FR"/>
        </w:rPr>
        <w:tab/>
      </w:r>
      <w:r w:rsidRPr="009D0846">
        <w:rPr>
          <w:rFonts w:cstheme="minorHAnsi"/>
        </w:rPr>
        <w:t>Risques réglementaires et juridiques</w:t>
      </w:r>
      <w:r>
        <w:tab/>
      </w:r>
      <w:r>
        <w:fldChar w:fldCharType="begin"/>
      </w:r>
      <w:r>
        <w:instrText xml:space="preserve"> PAGEREF _Toc512863888 \h </w:instrText>
      </w:r>
      <w:r>
        <w:fldChar w:fldCharType="separate"/>
      </w:r>
      <w:r>
        <w:t>19</w:t>
      </w:r>
      <w:r>
        <w:fldChar w:fldCharType="end"/>
      </w:r>
    </w:p>
    <w:p w:rsidR="00F06F79" w:rsidRDefault="00F06F79">
      <w:pPr>
        <w:pStyle w:val="TOC2"/>
        <w:rPr>
          <w:rFonts w:eastAsiaTheme="minorEastAsia" w:cstheme="minorBidi"/>
          <w:b w:val="0"/>
          <w:color w:val="auto"/>
          <w:sz w:val="22"/>
          <w:szCs w:val="22"/>
          <w:lang w:eastAsia="fr-FR"/>
        </w:rPr>
      </w:pPr>
      <w:r w:rsidRPr="009D0846">
        <w:t>4.4</w:t>
      </w:r>
      <w:r>
        <w:rPr>
          <w:rFonts w:eastAsiaTheme="minorEastAsia" w:cstheme="minorBidi"/>
          <w:b w:val="0"/>
          <w:color w:val="auto"/>
          <w:sz w:val="22"/>
          <w:szCs w:val="22"/>
          <w:lang w:eastAsia="fr-FR"/>
        </w:rPr>
        <w:tab/>
      </w:r>
      <w:r w:rsidRPr="009D0846">
        <w:rPr>
          <w:rFonts w:cstheme="minorHAnsi"/>
        </w:rPr>
        <w:t>Risques industriels</w:t>
      </w:r>
      <w:r>
        <w:tab/>
      </w:r>
      <w:r>
        <w:fldChar w:fldCharType="begin"/>
      </w:r>
      <w:r>
        <w:instrText xml:space="preserve"> PAGEREF _Toc512863889 \h </w:instrText>
      </w:r>
      <w:r>
        <w:fldChar w:fldCharType="separate"/>
      </w:r>
      <w:r>
        <w:t>25</w:t>
      </w:r>
      <w:r>
        <w:fldChar w:fldCharType="end"/>
      </w:r>
    </w:p>
    <w:p w:rsidR="00F06F79" w:rsidRDefault="00F06F79">
      <w:pPr>
        <w:pStyle w:val="TOC2"/>
        <w:rPr>
          <w:rFonts w:eastAsiaTheme="minorEastAsia" w:cstheme="minorBidi"/>
          <w:b w:val="0"/>
          <w:color w:val="auto"/>
          <w:sz w:val="22"/>
          <w:szCs w:val="22"/>
          <w:lang w:eastAsia="fr-FR"/>
        </w:rPr>
      </w:pPr>
      <w:r w:rsidRPr="009D0846">
        <w:t>4.5</w:t>
      </w:r>
      <w:r>
        <w:rPr>
          <w:rFonts w:eastAsiaTheme="minorEastAsia" w:cstheme="minorBidi"/>
          <w:b w:val="0"/>
          <w:color w:val="auto"/>
          <w:sz w:val="22"/>
          <w:szCs w:val="22"/>
          <w:lang w:eastAsia="fr-FR"/>
        </w:rPr>
        <w:tab/>
      </w:r>
      <w:r w:rsidRPr="009D0846">
        <w:rPr>
          <w:rFonts w:cstheme="minorHAnsi"/>
        </w:rPr>
        <w:t>Risques financiers</w:t>
      </w:r>
      <w:r>
        <w:tab/>
      </w:r>
      <w:r>
        <w:fldChar w:fldCharType="begin"/>
      </w:r>
      <w:r>
        <w:instrText xml:space="preserve"> PAGEREF _Toc512863890 \h </w:instrText>
      </w:r>
      <w:r>
        <w:fldChar w:fldCharType="separate"/>
      </w:r>
      <w:r>
        <w:t>26</w:t>
      </w:r>
      <w:r>
        <w:fldChar w:fldCharType="end"/>
      </w:r>
    </w:p>
    <w:p w:rsidR="00F06F79" w:rsidRDefault="00F06F79">
      <w:pPr>
        <w:pStyle w:val="TOC2"/>
        <w:rPr>
          <w:rFonts w:eastAsiaTheme="minorEastAsia" w:cstheme="minorBidi"/>
          <w:b w:val="0"/>
          <w:color w:val="auto"/>
          <w:sz w:val="22"/>
          <w:szCs w:val="22"/>
          <w:lang w:eastAsia="fr-FR"/>
        </w:rPr>
      </w:pPr>
      <w:r w:rsidRPr="009D0846">
        <w:t>4.6</w:t>
      </w:r>
      <w:r>
        <w:rPr>
          <w:rFonts w:eastAsiaTheme="minorEastAsia" w:cstheme="minorBidi"/>
          <w:b w:val="0"/>
          <w:color w:val="auto"/>
          <w:sz w:val="22"/>
          <w:szCs w:val="22"/>
          <w:lang w:eastAsia="fr-FR"/>
        </w:rPr>
        <w:tab/>
      </w:r>
      <w:r w:rsidRPr="009D0846">
        <w:rPr>
          <w:rFonts w:cstheme="minorHAnsi"/>
        </w:rPr>
        <w:t>Risques de marché</w:t>
      </w:r>
      <w:r>
        <w:tab/>
      </w:r>
      <w:r>
        <w:fldChar w:fldCharType="begin"/>
      </w:r>
      <w:r>
        <w:instrText xml:space="preserve"> PAGEREF _Toc512863891 \h </w:instrText>
      </w:r>
      <w:r>
        <w:fldChar w:fldCharType="separate"/>
      </w:r>
      <w:r>
        <w:t>30</w:t>
      </w:r>
      <w:r>
        <w:fldChar w:fldCharType="end"/>
      </w:r>
    </w:p>
    <w:p w:rsidR="00F06F79" w:rsidRDefault="00F06F79">
      <w:pPr>
        <w:pStyle w:val="TOC2"/>
        <w:rPr>
          <w:rFonts w:eastAsiaTheme="minorEastAsia" w:cstheme="minorBidi"/>
          <w:b w:val="0"/>
          <w:color w:val="auto"/>
          <w:sz w:val="22"/>
          <w:szCs w:val="22"/>
          <w:lang w:eastAsia="fr-FR"/>
        </w:rPr>
      </w:pPr>
      <w:r w:rsidRPr="009D0846">
        <w:t>4.7</w:t>
      </w:r>
      <w:r>
        <w:rPr>
          <w:rFonts w:eastAsiaTheme="minorEastAsia" w:cstheme="minorBidi"/>
          <w:b w:val="0"/>
          <w:color w:val="auto"/>
          <w:sz w:val="22"/>
          <w:szCs w:val="22"/>
          <w:lang w:eastAsia="fr-FR"/>
        </w:rPr>
        <w:tab/>
      </w:r>
      <w:r w:rsidRPr="009D0846">
        <w:rPr>
          <w:rFonts w:cstheme="minorHAnsi"/>
        </w:rPr>
        <w:t>Assurances et couvertures de risques</w:t>
      </w:r>
      <w:r>
        <w:tab/>
      </w:r>
      <w:r>
        <w:fldChar w:fldCharType="begin"/>
      </w:r>
      <w:r>
        <w:instrText xml:space="preserve"> PAGEREF _Toc512863892 \h </w:instrText>
      </w:r>
      <w:r>
        <w:fldChar w:fldCharType="separate"/>
      </w:r>
      <w:r>
        <w:t>32</w:t>
      </w:r>
      <w:r>
        <w:fldChar w:fldCharType="end"/>
      </w:r>
    </w:p>
    <w:p w:rsidR="00F06F79" w:rsidRDefault="00F06F79">
      <w:pPr>
        <w:pStyle w:val="TOC2"/>
        <w:rPr>
          <w:rFonts w:eastAsiaTheme="minorEastAsia" w:cstheme="minorBidi"/>
          <w:b w:val="0"/>
          <w:color w:val="auto"/>
          <w:sz w:val="22"/>
          <w:szCs w:val="22"/>
          <w:lang w:eastAsia="fr-FR"/>
        </w:rPr>
      </w:pPr>
      <w:r w:rsidRPr="009D0846">
        <w:t>4.8</w:t>
      </w:r>
      <w:r>
        <w:rPr>
          <w:rFonts w:eastAsiaTheme="minorEastAsia" w:cstheme="minorBidi"/>
          <w:b w:val="0"/>
          <w:color w:val="auto"/>
          <w:sz w:val="22"/>
          <w:szCs w:val="22"/>
          <w:lang w:eastAsia="fr-FR"/>
        </w:rPr>
        <w:tab/>
      </w:r>
      <w:r w:rsidRPr="009D0846">
        <w:rPr>
          <w:rFonts w:cstheme="minorHAnsi"/>
        </w:rPr>
        <w:t>Faits exceptionnels et litiges</w:t>
      </w:r>
      <w:r>
        <w:tab/>
      </w:r>
      <w:r>
        <w:fldChar w:fldCharType="begin"/>
      </w:r>
      <w:r>
        <w:instrText xml:space="preserve"> PAGEREF _Toc512863893 \h </w:instrText>
      </w:r>
      <w:r>
        <w:fldChar w:fldCharType="separate"/>
      </w:r>
      <w:r>
        <w:t>35</w:t>
      </w:r>
      <w:r>
        <w:fldChar w:fldCharType="end"/>
      </w:r>
    </w:p>
    <w:p w:rsidR="00F06F79" w:rsidRDefault="00F06F79">
      <w:pPr>
        <w:pStyle w:val="TOC1"/>
        <w:rPr>
          <w:rFonts w:asciiTheme="minorHAnsi" w:eastAsiaTheme="minorEastAsia" w:hAnsiTheme="minorHAnsi" w:cstheme="minorBidi"/>
          <w:b w:val="0"/>
          <w:sz w:val="22"/>
          <w:szCs w:val="22"/>
          <w:lang w:val="fr-FR" w:eastAsia="fr-FR"/>
        </w:rPr>
      </w:pPr>
      <w:r w:rsidRPr="009D0846">
        <w:rPr>
          <w:rFonts w:asciiTheme="minorHAnsi" w:hAnsiTheme="minorHAnsi"/>
          <w:lang w:val="fr-FR"/>
        </w:rPr>
        <w:t>5.</w:t>
      </w:r>
      <w:r>
        <w:rPr>
          <w:rFonts w:asciiTheme="minorHAnsi" w:eastAsiaTheme="minorEastAsia" w:hAnsiTheme="minorHAnsi" w:cstheme="minorBidi"/>
          <w:b w:val="0"/>
          <w:sz w:val="22"/>
          <w:szCs w:val="22"/>
          <w:lang w:val="fr-FR" w:eastAsia="fr-FR"/>
        </w:rPr>
        <w:tab/>
      </w:r>
      <w:r w:rsidRPr="009D0846">
        <w:rPr>
          <w:rFonts w:asciiTheme="minorHAnsi" w:hAnsiTheme="minorHAnsi" w:cstheme="minorHAnsi"/>
          <w:lang w:val="fr-FR"/>
        </w:rPr>
        <w:t>INFORMATIONS CONCERNANT LA SOCIETE</w:t>
      </w:r>
      <w:r w:rsidRPr="00F06F79">
        <w:rPr>
          <w:lang w:val="fr-FR"/>
        </w:rPr>
        <w:tab/>
      </w:r>
      <w:r>
        <w:fldChar w:fldCharType="begin"/>
      </w:r>
      <w:r w:rsidRPr="00F06F79">
        <w:rPr>
          <w:lang w:val="fr-FR"/>
        </w:rPr>
        <w:instrText xml:space="preserve"> PAGEREF _Toc512863894 \h </w:instrText>
      </w:r>
      <w:r>
        <w:fldChar w:fldCharType="separate"/>
      </w:r>
      <w:r w:rsidRPr="00F06F79">
        <w:rPr>
          <w:lang w:val="fr-FR"/>
        </w:rPr>
        <w:t>36</w:t>
      </w:r>
      <w:r>
        <w:fldChar w:fldCharType="end"/>
      </w:r>
    </w:p>
    <w:p w:rsidR="00F06F79" w:rsidRDefault="00F06F79">
      <w:pPr>
        <w:pStyle w:val="TOC2"/>
        <w:rPr>
          <w:rFonts w:eastAsiaTheme="minorEastAsia" w:cstheme="minorBidi"/>
          <w:b w:val="0"/>
          <w:color w:val="auto"/>
          <w:sz w:val="22"/>
          <w:szCs w:val="22"/>
          <w:lang w:eastAsia="fr-FR"/>
        </w:rPr>
      </w:pPr>
      <w:r w:rsidRPr="009D0846">
        <w:t>5.1</w:t>
      </w:r>
      <w:r>
        <w:rPr>
          <w:rFonts w:eastAsiaTheme="minorEastAsia" w:cstheme="minorBidi"/>
          <w:b w:val="0"/>
          <w:color w:val="auto"/>
          <w:sz w:val="22"/>
          <w:szCs w:val="22"/>
          <w:lang w:eastAsia="fr-FR"/>
        </w:rPr>
        <w:tab/>
      </w:r>
      <w:r w:rsidRPr="009D0846">
        <w:rPr>
          <w:rFonts w:cstheme="minorHAnsi"/>
        </w:rPr>
        <w:t>Histoire et évolution de la Société</w:t>
      </w:r>
      <w:r>
        <w:tab/>
      </w:r>
      <w:r>
        <w:fldChar w:fldCharType="begin"/>
      </w:r>
      <w:r>
        <w:instrText xml:space="preserve"> PAGEREF _Toc512863895 \h </w:instrText>
      </w:r>
      <w:r>
        <w:fldChar w:fldCharType="separate"/>
      </w:r>
      <w:r>
        <w:t>36</w:t>
      </w:r>
      <w:r>
        <w:fldChar w:fldCharType="end"/>
      </w:r>
    </w:p>
    <w:p w:rsidR="00F06F79" w:rsidRDefault="00F06F79">
      <w:pPr>
        <w:pStyle w:val="TOC2"/>
        <w:rPr>
          <w:rFonts w:eastAsiaTheme="minorEastAsia" w:cstheme="minorBidi"/>
          <w:b w:val="0"/>
          <w:color w:val="auto"/>
          <w:sz w:val="22"/>
          <w:szCs w:val="22"/>
          <w:lang w:eastAsia="fr-FR"/>
        </w:rPr>
      </w:pPr>
      <w:r w:rsidRPr="009D0846">
        <w:t>5.2</w:t>
      </w:r>
      <w:r>
        <w:rPr>
          <w:rFonts w:eastAsiaTheme="minorEastAsia" w:cstheme="minorBidi"/>
          <w:b w:val="0"/>
          <w:color w:val="auto"/>
          <w:sz w:val="22"/>
          <w:szCs w:val="22"/>
          <w:lang w:eastAsia="fr-FR"/>
        </w:rPr>
        <w:tab/>
      </w:r>
      <w:r w:rsidRPr="009D0846">
        <w:rPr>
          <w:rFonts w:cstheme="minorHAnsi"/>
        </w:rPr>
        <w:t>Investissements</w:t>
      </w:r>
      <w:r>
        <w:tab/>
      </w:r>
      <w:r>
        <w:fldChar w:fldCharType="begin"/>
      </w:r>
      <w:r>
        <w:instrText xml:space="preserve"> PAGEREF _Toc512863896 \h </w:instrText>
      </w:r>
      <w:r>
        <w:fldChar w:fldCharType="separate"/>
      </w:r>
      <w:r>
        <w:t>38</w:t>
      </w:r>
      <w:r>
        <w:fldChar w:fldCharType="end"/>
      </w:r>
    </w:p>
    <w:p w:rsidR="00F06F79" w:rsidRDefault="00F06F79">
      <w:pPr>
        <w:pStyle w:val="TOC1"/>
        <w:rPr>
          <w:rFonts w:asciiTheme="minorHAnsi" w:eastAsiaTheme="minorEastAsia" w:hAnsiTheme="minorHAnsi" w:cstheme="minorBidi"/>
          <w:b w:val="0"/>
          <w:sz w:val="22"/>
          <w:szCs w:val="22"/>
          <w:lang w:val="fr-FR" w:eastAsia="fr-FR"/>
        </w:rPr>
      </w:pPr>
      <w:r w:rsidRPr="009D0846">
        <w:rPr>
          <w:rFonts w:asciiTheme="minorHAnsi" w:hAnsiTheme="minorHAnsi"/>
          <w:lang w:val="fr-FR"/>
        </w:rPr>
        <w:t>6.</w:t>
      </w:r>
      <w:r>
        <w:rPr>
          <w:rFonts w:asciiTheme="minorHAnsi" w:eastAsiaTheme="minorEastAsia" w:hAnsiTheme="minorHAnsi" w:cstheme="minorBidi"/>
          <w:b w:val="0"/>
          <w:sz w:val="22"/>
          <w:szCs w:val="22"/>
          <w:lang w:val="fr-FR" w:eastAsia="fr-FR"/>
        </w:rPr>
        <w:tab/>
      </w:r>
      <w:r w:rsidRPr="009D0846">
        <w:rPr>
          <w:rFonts w:asciiTheme="minorHAnsi" w:hAnsiTheme="minorHAnsi" w:cstheme="minorHAnsi"/>
          <w:lang w:val="fr-FR"/>
        </w:rPr>
        <w:t>APERCU DES ACTIVITES</w:t>
      </w:r>
      <w:r w:rsidRPr="00F06F79">
        <w:rPr>
          <w:lang w:val="fr-FR"/>
        </w:rPr>
        <w:tab/>
      </w:r>
      <w:r>
        <w:fldChar w:fldCharType="begin"/>
      </w:r>
      <w:r w:rsidRPr="00F06F79">
        <w:rPr>
          <w:lang w:val="fr-FR"/>
        </w:rPr>
        <w:instrText xml:space="preserve"> PAGEREF _Toc512863897 \h </w:instrText>
      </w:r>
      <w:r>
        <w:fldChar w:fldCharType="separate"/>
      </w:r>
      <w:r w:rsidRPr="00F06F79">
        <w:rPr>
          <w:lang w:val="fr-FR"/>
        </w:rPr>
        <w:t>40</w:t>
      </w:r>
      <w:r>
        <w:fldChar w:fldCharType="end"/>
      </w:r>
    </w:p>
    <w:p w:rsidR="00F06F79" w:rsidRDefault="00F06F79">
      <w:pPr>
        <w:pStyle w:val="TOC2"/>
        <w:rPr>
          <w:rFonts w:eastAsiaTheme="minorEastAsia" w:cstheme="minorBidi"/>
          <w:b w:val="0"/>
          <w:color w:val="auto"/>
          <w:sz w:val="22"/>
          <w:szCs w:val="22"/>
          <w:lang w:eastAsia="fr-FR"/>
        </w:rPr>
      </w:pPr>
      <w:r w:rsidRPr="009D0846">
        <w:t>6.1</w:t>
      </w:r>
      <w:r>
        <w:rPr>
          <w:rFonts w:eastAsiaTheme="minorEastAsia" w:cstheme="minorBidi"/>
          <w:b w:val="0"/>
          <w:color w:val="auto"/>
          <w:sz w:val="22"/>
          <w:szCs w:val="22"/>
          <w:lang w:eastAsia="fr-FR"/>
        </w:rPr>
        <w:tab/>
      </w:r>
      <w:r w:rsidRPr="009D0846">
        <w:rPr>
          <w:rFonts w:cstheme="minorHAnsi"/>
        </w:rPr>
        <w:t>Présentation générale d’ABIVAX, une société de biotechnologie spécialiste des pathologies virales</w:t>
      </w:r>
      <w:r>
        <w:tab/>
      </w:r>
      <w:r>
        <w:fldChar w:fldCharType="begin"/>
      </w:r>
      <w:r>
        <w:instrText xml:space="preserve"> PAGEREF _Toc512863898 \h </w:instrText>
      </w:r>
      <w:r>
        <w:fldChar w:fldCharType="separate"/>
      </w:r>
      <w:r>
        <w:t>40</w:t>
      </w:r>
      <w:r>
        <w:fldChar w:fldCharType="end"/>
      </w:r>
    </w:p>
    <w:p w:rsidR="00F06F79" w:rsidRDefault="00F06F79">
      <w:pPr>
        <w:pStyle w:val="TOC2"/>
        <w:rPr>
          <w:rFonts w:eastAsiaTheme="minorEastAsia" w:cstheme="minorBidi"/>
          <w:b w:val="0"/>
          <w:color w:val="auto"/>
          <w:sz w:val="22"/>
          <w:szCs w:val="22"/>
          <w:lang w:eastAsia="fr-FR"/>
        </w:rPr>
      </w:pPr>
      <w:r w:rsidRPr="009D0846">
        <w:t>6.2</w:t>
      </w:r>
      <w:r>
        <w:rPr>
          <w:rFonts w:eastAsiaTheme="minorEastAsia" w:cstheme="minorBidi"/>
          <w:b w:val="0"/>
          <w:color w:val="auto"/>
          <w:sz w:val="22"/>
          <w:szCs w:val="22"/>
          <w:lang w:eastAsia="fr-FR"/>
        </w:rPr>
        <w:tab/>
      </w:r>
      <w:r w:rsidRPr="009D0846">
        <w:rPr>
          <w:rFonts w:cstheme="minorHAnsi"/>
        </w:rPr>
        <w:t>Panorama des principaux actifs scientifiques d’ABIVAX</w:t>
      </w:r>
      <w:r>
        <w:tab/>
      </w:r>
      <w:r>
        <w:fldChar w:fldCharType="begin"/>
      </w:r>
      <w:r>
        <w:instrText xml:space="preserve"> PAGEREF _Toc512863899 \h </w:instrText>
      </w:r>
      <w:r>
        <w:fldChar w:fldCharType="separate"/>
      </w:r>
      <w:r>
        <w:t>43</w:t>
      </w:r>
      <w:r>
        <w:fldChar w:fldCharType="end"/>
      </w:r>
    </w:p>
    <w:p w:rsidR="00F06F79" w:rsidRDefault="00F06F79">
      <w:pPr>
        <w:pStyle w:val="TOC2"/>
        <w:rPr>
          <w:rFonts w:eastAsiaTheme="minorEastAsia" w:cstheme="minorBidi"/>
          <w:b w:val="0"/>
          <w:color w:val="auto"/>
          <w:sz w:val="22"/>
          <w:szCs w:val="22"/>
          <w:lang w:eastAsia="fr-FR"/>
        </w:rPr>
      </w:pPr>
      <w:r w:rsidRPr="009D0846">
        <w:t>6.3</w:t>
      </w:r>
      <w:r>
        <w:rPr>
          <w:rFonts w:eastAsiaTheme="minorEastAsia" w:cstheme="minorBidi"/>
          <w:b w:val="0"/>
          <w:color w:val="auto"/>
          <w:sz w:val="22"/>
          <w:szCs w:val="22"/>
          <w:lang w:eastAsia="fr-FR"/>
        </w:rPr>
        <w:tab/>
      </w:r>
      <w:r w:rsidRPr="009D0846">
        <w:rPr>
          <w:rFonts w:cstheme="minorHAnsi"/>
        </w:rPr>
        <w:t>Présentation détaillée des principaux produits d’ABIVAX</w:t>
      </w:r>
      <w:r>
        <w:tab/>
      </w:r>
      <w:r>
        <w:fldChar w:fldCharType="begin"/>
      </w:r>
      <w:r>
        <w:instrText xml:space="preserve"> PAGEREF _Toc512863900 \h </w:instrText>
      </w:r>
      <w:r>
        <w:fldChar w:fldCharType="separate"/>
      </w:r>
      <w:r>
        <w:t>50</w:t>
      </w:r>
      <w:r>
        <w:fldChar w:fldCharType="end"/>
      </w:r>
    </w:p>
    <w:p w:rsidR="00F06F79" w:rsidRDefault="00F06F79">
      <w:pPr>
        <w:pStyle w:val="TOC2"/>
        <w:rPr>
          <w:rFonts w:eastAsiaTheme="minorEastAsia" w:cstheme="minorBidi"/>
          <w:b w:val="0"/>
          <w:color w:val="auto"/>
          <w:sz w:val="22"/>
          <w:szCs w:val="22"/>
          <w:lang w:eastAsia="fr-FR"/>
        </w:rPr>
      </w:pPr>
      <w:r w:rsidRPr="009D0846">
        <w:t>6.4</w:t>
      </w:r>
      <w:r>
        <w:rPr>
          <w:rFonts w:eastAsiaTheme="minorEastAsia" w:cstheme="minorBidi"/>
          <w:b w:val="0"/>
          <w:color w:val="auto"/>
          <w:sz w:val="22"/>
          <w:szCs w:val="22"/>
          <w:lang w:eastAsia="fr-FR"/>
        </w:rPr>
        <w:tab/>
      </w:r>
      <w:r w:rsidRPr="009D0846">
        <w:rPr>
          <w:rFonts w:cstheme="minorHAnsi"/>
        </w:rPr>
        <w:t>Organisation d’ABIVAX</w:t>
      </w:r>
      <w:r>
        <w:tab/>
      </w:r>
      <w:r>
        <w:fldChar w:fldCharType="begin"/>
      </w:r>
      <w:r>
        <w:instrText xml:space="preserve"> PAGEREF _Toc512863901 \h </w:instrText>
      </w:r>
      <w:r>
        <w:fldChar w:fldCharType="separate"/>
      </w:r>
      <w:r>
        <w:t>71</w:t>
      </w:r>
      <w:r>
        <w:fldChar w:fldCharType="end"/>
      </w:r>
    </w:p>
    <w:p w:rsidR="00F06F79" w:rsidRDefault="00F06F79">
      <w:pPr>
        <w:pStyle w:val="TOC2"/>
        <w:rPr>
          <w:rFonts w:eastAsiaTheme="minorEastAsia" w:cstheme="minorBidi"/>
          <w:b w:val="0"/>
          <w:color w:val="auto"/>
          <w:sz w:val="22"/>
          <w:szCs w:val="22"/>
          <w:lang w:eastAsia="fr-FR"/>
        </w:rPr>
      </w:pPr>
      <w:r w:rsidRPr="009D0846">
        <w:t>6.5</w:t>
      </w:r>
      <w:r>
        <w:rPr>
          <w:rFonts w:eastAsiaTheme="minorEastAsia" w:cstheme="minorBidi"/>
          <w:b w:val="0"/>
          <w:color w:val="auto"/>
          <w:sz w:val="22"/>
          <w:szCs w:val="22"/>
          <w:lang w:eastAsia="fr-FR"/>
        </w:rPr>
        <w:tab/>
      </w:r>
      <w:r w:rsidRPr="009D0846">
        <w:rPr>
          <w:rFonts w:cstheme="minorHAnsi"/>
        </w:rPr>
        <w:t>Situation juridique de la Société durant l’exercice écoulé</w:t>
      </w:r>
      <w:r>
        <w:tab/>
      </w:r>
      <w:r>
        <w:fldChar w:fldCharType="begin"/>
      </w:r>
      <w:r>
        <w:instrText xml:space="preserve"> PAGEREF _Toc512863902 \h </w:instrText>
      </w:r>
      <w:r>
        <w:fldChar w:fldCharType="separate"/>
      </w:r>
      <w:r>
        <w:t>76</w:t>
      </w:r>
      <w:r>
        <w:fldChar w:fldCharType="end"/>
      </w:r>
    </w:p>
    <w:p w:rsidR="00F06F79" w:rsidRDefault="00F06F79">
      <w:pPr>
        <w:pStyle w:val="TOC2"/>
        <w:rPr>
          <w:rFonts w:eastAsiaTheme="minorEastAsia" w:cstheme="minorBidi"/>
          <w:b w:val="0"/>
          <w:color w:val="auto"/>
          <w:sz w:val="22"/>
          <w:szCs w:val="22"/>
          <w:lang w:eastAsia="fr-FR"/>
        </w:rPr>
      </w:pPr>
      <w:r w:rsidRPr="009D0846">
        <w:t>6.6</w:t>
      </w:r>
      <w:r>
        <w:rPr>
          <w:rFonts w:eastAsiaTheme="minorEastAsia" w:cstheme="minorBidi"/>
          <w:b w:val="0"/>
          <w:color w:val="auto"/>
          <w:sz w:val="22"/>
          <w:szCs w:val="22"/>
          <w:lang w:eastAsia="fr-FR"/>
        </w:rPr>
        <w:tab/>
      </w:r>
      <w:r w:rsidRPr="009D0846">
        <w:rPr>
          <w:rFonts w:cstheme="minorHAnsi"/>
        </w:rPr>
        <w:t>Politique de la Société en matière de responsabilité environnementale, sociale et sociétale</w:t>
      </w:r>
      <w:r>
        <w:tab/>
      </w:r>
      <w:r>
        <w:fldChar w:fldCharType="begin"/>
      </w:r>
      <w:r>
        <w:instrText xml:space="preserve"> PAGEREF _Toc512863903 \h </w:instrText>
      </w:r>
      <w:r>
        <w:fldChar w:fldCharType="separate"/>
      </w:r>
      <w:r>
        <w:t>77</w:t>
      </w:r>
      <w:r>
        <w:fldChar w:fldCharType="end"/>
      </w:r>
    </w:p>
    <w:p w:rsidR="00F06F79" w:rsidRDefault="00F06F79">
      <w:pPr>
        <w:pStyle w:val="TOC1"/>
        <w:rPr>
          <w:rFonts w:asciiTheme="minorHAnsi" w:eastAsiaTheme="minorEastAsia" w:hAnsiTheme="minorHAnsi" w:cstheme="minorBidi"/>
          <w:b w:val="0"/>
          <w:sz w:val="22"/>
          <w:szCs w:val="22"/>
          <w:lang w:val="fr-FR" w:eastAsia="fr-FR"/>
        </w:rPr>
      </w:pPr>
      <w:r w:rsidRPr="009D0846">
        <w:rPr>
          <w:rFonts w:asciiTheme="minorHAnsi" w:hAnsiTheme="minorHAnsi"/>
          <w:lang w:val="fr-FR"/>
        </w:rPr>
        <w:t>7.</w:t>
      </w:r>
      <w:r>
        <w:rPr>
          <w:rFonts w:asciiTheme="minorHAnsi" w:eastAsiaTheme="minorEastAsia" w:hAnsiTheme="minorHAnsi" w:cstheme="minorBidi"/>
          <w:b w:val="0"/>
          <w:sz w:val="22"/>
          <w:szCs w:val="22"/>
          <w:lang w:val="fr-FR" w:eastAsia="fr-FR"/>
        </w:rPr>
        <w:tab/>
      </w:r>
      <w:r w:rsidRPr="009D0846">
        <w:rPr>
          <w:rFonts w:asciiTheme="minorHAnsi" w:hAnsiTheme="minorHAnsi" w:cstheme="minorHAnsi"/>
          <w:lang w:val="fr-FR"/>
        </w:rPr>
        <w:t>ORGANIGRAMME</w:t>
      </w:r>
      <w:r w:rsidRPr="00F06F79">
        <w:rPr>
          <w:lang w:val="fr-FR"/>
        </w:rPr>
        <w:tab/>
      </w:r>
      <w:r>
        <w:fldChar w:fldCharType="begin"/>
      </w:r>
      <w:r w:rsidRPr="00F06F79">
        <w:rPr>
          <w:lang w:val="fr-FR"/>
        </w:rPr>
        <w:instrText xml:space="preserve"> PAGEREF _Toc512863904 \h </w:instrText>
      </w:r>
      <w:r>
        <w:fldChar w:fldCharType="separate"/>
      </w:r>
      <w:r w:rsidRPr="00F06F79">
        <w:rPr>
          <w:lang w:val="fr-FR"/>
        </w:rPr>
        <w:t>89</w:t>
      </w:r>
      <w:r>
        <w:fldChar w:fldCharType="end"/>
      </w:r>
    </w:p>
    <w:p w:rsidR="00F06F79" w:rsidRDefault="00F06F79">
      <w:pPr>
        <w:pStyle w:val="TOC2"/>
        <w:rPr>
          <w:rFonts w:eastAsiaTheme="minorEastAsia" w:cstheme="minorBidi"/>
          <w:b w:val="0"/>
          <w:color w:val="auto"/>
          <w:sz w:val="22"/>
          <w:szCs w:val="22"/>
          <w:lang w:eastAsia="fr-FR"/>
        </w:rPr>
      </w:pPr>
      <w:r w:rsidRPr="009D0846">
        <w:t>7.1</w:t>
      </w:r>
      <w:r>
        <w:rPr>
          <w:rFonts w:eastAsiaTheme="minorEastAsia" w:cstheme="minorBidi"/>
          <w:b w:val="0"/>
          <w:color w:val="auto"/>
          <w:sz w:val="22"/>
          <w:szCs w:val="22"/>
          <w:lang w:eastAsia="fr-FR"/>
        </w:rPr>
        <w:tab/>
      </w:r>
      <w:r w:rsidRPr="009D0846">
        <w:rPr>
          <w:rFonts w:cstheme="minorHAnsi"/>
        </w:rPr>
        <w:t>Organisation de la Société</w:t>
      </w:r>
      <w:r>
        <w:tab/>
      </w:r>
      <w:r>
        <w:fldChar w:fldCharType="begin"/>
      </w:r>
      <w:r>
        <w:instrText xml:space="preserve"> PAGEREF _Toc512863905 \h </w:instrText>
      </w:r>
      <w:r>
        <w:fldChar w:fldCharType="separate"/>
      </w:r>
      <w:r>
        <w:t>89</w:t>
      </w:r>
      <w:r>
        <w:fldChar w:fldCharType="end"/>
      </w:r>
    </w:p>
    <w:p w:rsidR="00F06F79" w:rsidRDefault="00F06F79">
      <w:pPr>
        <w:pStyle w:val="TOC2"/>
        <w:rPr>
          <w:rFonts w:eastAsiaTheme="minorEastAsia" w:cstheme="minorBidi"/>
          <w:b w:val="0"/>
          <w:color w:val="auto"/>
          <w:sz w:val="22"/>
          <w:szCs w:val="22"/>
          <w:lang w:eastAsia="fr-FR"/>
        </w:rPr>
      </w:pPr>
      <w:r w:rsidRPr="009D0846">
        <w:t>7.2</w:t>
      </w:r>
      <w:r>
        <w:rPr>
          <w:rFonts w:eastAsiaTheme="minorEastAsia" w:cstheme="minorBidi"/>
          <w:b w:val="0"/>
          <w:color w:val="auto"/>
          <w:sz w:val="22"/>
          <w:szCs w:val="22"/>
          <w:lang w:eastAsia="fr-FR"/>
        </w:rPr>
        <w:tab/>
      </w:r>
      <w:r w:rsidRPr="009D0846">
        <w:rPr>
          <w:rFonts w:cstheme="minorHAnsi"/>
        </w:rPr>
        <w:t>Liste des filiales, succursales et établissements secondaires</w:t>
      </w:r>
      <w:r>
        <w:tab/>
      </w:r>
      <w:r>
        <w:fldChar w:fldCharType="begin"/>
      </w:r>
      <w:r>
        <w:instrText xml:space="preserve"> PAGEREF _Toc512863906 \h </w:instrText>
      </w:r>
      <w:r>
        <w:fldChar w:fldCharType="separate"/>
      </w:r>
      <w:r>
        <w:t>89</w:t>
      </w:r>
      <w:r>
        <w:fldChar w:fldCharType="end"/>
      </w:r>
    </w:p>
    <w:p w:rsidR="00F06F79" w:rsidRDefault="00F06F79">
      <w:pPr>
        <w:pStyle w:val="TOC1"/>
        <w:rPr>
          <w:rFonts w:asciiTheme="minorHAnsi" w:eastAsiaTheme="minorEastAsia" w:hAnsiTheme="minorHAnsi" w:cstheme="minorBidi"/>
          <w:b w:val="0"/>
          <w:sz w:val="22"/>
          <w:szCs w:val="22"/>
          <w:lang w:val="fr-FR" w:eastAsia="fr-FR"/>
        </w:rPr>
      </w:pPr>
      <w:r w:rsidRPr="009D0846">
        <w:rPr>
          <w:rFonts w:asciiTheme="minorHAnsi" w:hAnsiTheme="minorHAnsi"/>
          <w:lang w:val="fr-FR"/>
        </w:rPr>
        <w:t>8.</w:t>
      </w:r>
      <w:r>
        <w:rPr>
          <w:rFonts w:asciiTheme="minorHAnsi" w:eastAsiaTheme="minorEastAsia" w:hAnsiTheme="minorHAnsi" w:cstheme="minorBidi"/>
          <w:b w:val="0"/>
          <w:sz w:val="22"/>
          <w:szCs w:val="22"/>
          <w:lang w:val="fr-FR" w:eastAsia="fr-FR"/>
        </w:rPr>
        <w:tab/>
      </w:r>
      <w:r w:rsidRPr="009D0846">
        <w:rPr>
          <w:rFonts w:asciiTheme="minorHAnsi" w:hAnsiTheme="minorHAnsi" w:cstheme="minorHAnsi"/>
          <w:lang w:val="fr-FR"/>
        </w:rPr>
        <w:t>PROPRIETES IMMOBILIERES, USINES ET EQUIPEMENT</w:t>
      </w:r>
      <w:r w:rsidRPr="00F06F79">
        <w:rPr>
          <w:lang w:val="fr-FR"/>
        </w:rPr>
        <w:tab/>
      </w:r>
      <w:r>
        <w:fldChar w:fldCharType="begin"/>
      </w:r>
      <w:r w:rsidRPr="00F06F79">
        <w:rPr>
          <w:lang w:val="fr-FR"/>
        </w:rPr>
        <w:instrText xml:space="preserve"> PAGEREF _Toc512863907 \h </w:instrText>
      </w:r>
      <w:r>
        <w:fldChar w:fldCharType="separate"/>
      </w:r>
      <w:r w:rsidRPr="00F06F79">
        <w:rPr>
          <w:lang w:val="fr-FR"/>
        </w:rPr>
        <w:t>90</w:t>
      </w:r>
      <w:r>
        <w:fldChar w:fldCharType="end"/>
      </w:r>
    </w:p>
    <w:p w:rsidR="00F06F79" w:rsidRDefault="00F06F79">
      <w:pPr>
        <w:pStyle w:val="TOC2"/>
        <w:rPr>
          <w:rFonts w:eastAsiaTheme="minorEastAsia" w:cstheme="minorBidi"/>
          <w:b w:val="0"/>
          <w:color w:val="auto"/>
          <w:sz w:val="22"/>
          <w:szCs w:val="22"/>
          <w:lang w:eastAsia="fr-FR"/>
        </w:rPr>
      </w:pPr>
      <w:r w:rsidRPr="009D0846">
        <w:t>8.1</w:t>
      </w:r>
      <w:r>
        <w:rPr>
          <w:rFonts w:eastAsiaTheme="minorEastAsia" w:cstheme="minorBidi"/>
          <w:b w:val="0"/>
          <w:color w:val="auto"/>
          <w:sz w:val="22"/>
          <w:szCs w:val="22"/>
          <w:lang w:eastAsia="fr-FR"/>
        </w:rPr>
        <w:tab/>
      </w:r>
      <w:r w:rsidRPr="009D0846">
        <w:rPr>
          <w:rFonts w:cstheme="minorHAnsi"/>
        </w:rPr>
        <w:t>Descriptif des propriétés immobilières</w:t>
      </w:r>
      <w:r>
        <w:tab/>
      </w:r>
      <w:r>
        <w:fldChar w:fldCharType="begin"/>
      </w:r>
      <w:r>
        <w:instrText xml:space="preserve"> PAGEREF _Toc512863908 \h </w:instrText>
      </w:r>
      <w:r>
        <w:fldChar w:fldCharType="separate"/>
      </w:r>
      <w:r>
        <w:t>90</w:t>
      </w:r>
      <w:r>
        <w:fldChar w:fldCharType="end"/>
      </w:r>
    </w:p>
    <w:p w:rsidR="00F06F79" w:rsidRDefault="00F06F79">
      <w:pPr>
        <w:pStyle w:val="TOC2"/>
        <w:rPr>
          <w:rFonts w:eastAsiaTheme="minorEastAsia" w:cstheme="minorBidi"/>
          <w:b w:val="0"/>
          <w:color w:val="auto"/>
          <w:sz w:val="22"/>
          <w:szCs w:val="22"/>
          <w:lang w:eastAsia="fr-FR"/>
        </w:rPr>
      </w:pPr>
      <w:r w:rsidRPr="009D0846">
        <w:t>8.2</w:t>
      </w:r>
      <w:r>
        <w:rPr>
          <w:rFonts w:eastAsiaTheme="minorEastAsia" w:cstheme="minorBidi"/>
          <w:b w:val="0"/>
          <w:color w:val="auto"/>
          <w:sz w:val="22"/>
          <w:szCs w:val="22"/>
          <w:lang w:eastAsia="fr-FR"/>
        </w:rPr>
        <w:tab/>
      </w:r>
      <w:r w:rsidRPr="009D0846">
        <w:rPr>
          <w:rFonts w:cstheme="minorHAnsi"/>
        </w:rPr>
        <w:t>Questions environnementales</w:t>
      </w:r>
      <w:r>
        <w:tab/>
      </w:r>
      <w:r>
        <w:fldChar w:fldCharType="begin"/>
      </w:r>
      <w:r>
        <w:instrText xml:space="preserve"> PAGEREF _Toc512863909 \h </w:instrText>
      </w:r>
      <w:r>
        <w:fldChar w:fldCharType="separate"/>
      </w:r>
      <w:r>
        <w:t>90</w:t>
      </w:r>
      <w:r>
        <w:fldChar w:fldCharType="end"/>
      </w:r>
    </w:p>
    <w:p w:rsidR="00F06F79" w:rsidRDefault="00F06F79">
      <w:pPr>
        <w:pStyle w:val="TOC1"/>
        <w:rPr>
          <w:rFonts w:asciiTheme="minorHAnsi" w:eastAsiaTheme="minorEastAsia" w:hAnsiTheme="minorHAnsi" w:cstheme="minorBidi"/>
          <w:b w:val="0"/>
          <w:sz w:val="22"/>
          <w:szCs w:val="22"/>
          <w:lang w:val="fr-FR" w:eastAsia="fr-FR"/>
        </w:rPr>
      </w:pPr>
      <w:r w:rsidRPr="009D0846">
        <w:rPr>
          <w:rFonts w:asciiTheme="minorHAnsi" w:hAnsiTheme="minorHAnsi"/>
          <w:lang w:val="fr-FR"/>
        </w:rPr>
        <w:t>9.</w:t>
      </w:r>
      <w:r>
        <w:rPr>
          <w:rFonts w:asciiTheme="minorHAnsi" w:eastAsiaTheme="minorEastAsia" w:hAnsiTheme="minorHAnsi" w:cstheme="minorBidi"/>
          <w:b w:val="0"/>
          <w:sz w:val="22"/>
          <w:szCs w:val="22"/>
          <w:lang w:val="fr-FR" w:eastAsia="fr-FR"/>
        </w:rPr>
        <w:tab/>
      </w:r>
      <w:r w:rsidRPr="009D0846">
        <w:rPr>
          <w:rFonts w:asciiTheme="minorHAnsi" w:hAnsiTheme="minorHAnsi" w:cstheme="minorHAnsi"/>
          <w:lang w:val="fr-FR"/>
        </w:rPr>
        <w:t>EXAMEN DU RESULTAT ET DE LA SITUATION FINANCIERE</w:t>
      </w:r>
      <w:r w:rsidRPr="00F06F79">
        <w:rPr>
          <w:lang w:val="fr-FR"/>
        </w:rPr>
        <w:tab/>
      </w:r>
      <w:r>
        <w:fldChar w:fldCharType="begin"/>
      </w:r>
      <w:r w:rsidRPr="00F06F79">
        <w:rPr>
          <w:lang w:val="fr-FR"/>
        </w:rPr>
        <w:instrText xml:space="preserve"> PAGEREF _Toc512863910 \h </w:instrText>
      </w:r>
      <w:r>
        <w:fldChar w:fldCharType="separate"/>
      </w:r>
      <w:r w:rsidRPr="00F06F79">
        <w:rPr>
          <w:lang w:val="fr-FR"/>
        </w:rPr>
        <w:t>91</w:t>
      </w:r>
      <w:r>
        <w:fldChar w:fldCharType="end"/>
      </w:r>
    </w:p>
    <w:p w:rsidR="00F06F79" w:rsidRDefault="00F06F79">
      <w:pPr>
        <w:pStyle w:val="TOC2"/>
        <w:rPr>
          <w:rFonts w:eastAsiaTheme="minorEastAsia" w:cstheme="minorBidi"/>
          <w:b w:val="0"/>
          <w:color w:val="auto"/>
          <w:sz w:val="22"/>
          <w:szCs w:val="22"/>
          <w:lang w:eastAsia="fr-FR"/>
        </w:rPr>
      </w:pPr>
      <w:r w:rsidRPr="009D0846">
        <w:t>9.1</w:t>
      </w:r>
      <w:r>
        <w:rPr>
          <w:rFonts w:eastAsiaTheme="minorEastAsia" w:cstheme="minorBidi"/>
          <w:b w:val="0"/>
          <w:color w:val="auto"/>
          <w:sz w:val="22"/>
          <w:szCs w:val="22"/>
          <w:lang w:eastAsia="fr-FR"/>
        </w:rPr>
        <w:tab/>
      </w:r>
      <w:r w:rsidRPr="009D0846">
        <w:rPr>
          <w:rFonts w:cstheme="minorHAnsi"/>
        </w:rPr>
        <w:t>Présentation générale</w:t>
      </w:r>
      <w:r>
        <w:tab/>
      </w:r>
      <w:r>
        <w:fldChar w:fldCharType="begin"/>
      </w:r>
      <w:r>
        <w:instrText xml:space="preserve"> PAGEREF _Toc512863911 \h </w:instrText>
      </w:r>
      <w:r>
        <w:fldChar w:fldCharType="separate"/>
      </w:r>
      <w:r>
        <w:t>91</w:t>
      </w:r>
      <w:r>
        <w:fldChar w:fldCharType="end"/>
      </w:r>
    </w:p>
    <w:p w:rsidR="00F06F79" w:rsidRDefault="00F06F79">
      <w:pPr>
        <w:pStyle w:val="TOC2"/>
        <w:rPr>
          <w:rFonts w:eastAsiaTheme="minorEastAsia" w:cstheme="minorBidi"/>
          <w:b w:val="0"/>
          <w:color w:val="auto"/>
          <w:sz w:val="22"/>
          <w:szCs w:val="22"/>
          <w:lang w:eastAsia="fr-FR"/>
        </w:rPr>
      </w:pPr>
      <w:r w:rsidRPr="009D0846">
        <w:t>9.2</w:t>
      </w:r>
      <w:r>
        <w:rPr>
          <w:rFonts w:eastAsiaTheme="minorEastAsia" w:cstheme="minorBidi"/>
          <w:b w:val="0"/>
          <w:color w:val="auto"/>
          <w:sz w:val="22"/>
          <w:szCs w:val="22"/>
          <w:lang w:eastAsia="fr-FR"/>
        </w:rPr>
        <w:tab/>
      </w:r>
      <w:r w:rsidRPr="009D0846">
        <w:rPr>
          <w:rFonts w:cstheme="minorHAnsi"/>
        </w:rPr>
        <w:t>Examen de la situation financière au 31 décembre 2017</w:t>
      </w:r>
      <w:r>
        <w:tab/>
      </w:r>
      <w:r>
        <w:fldChar w:fldCharType="begin"/>
      </w:r>
      <w:r>
        <w:instrText xml:space="preserve"> PAGEREF _Toc512863912 \h </w:instrText>
      </w:r>
      <w:r>
        <w:fldChar w:fldCharType="separate"/>
      </w:r>
      <w:r>
        <w:t>91</w:t>
      </w:r>
      <w:r>
        <w:fldChar w:fldCharType="end"/>
      </w:r>
    </w:p>
    <w:p w:rsidR="00F06F79" w:rsidRDefault="00F06F79">
      <w:pPr>
        <w:pStyle w:val="TOC1"/>
        <w:rPr>
          <w:rFonts w:asciiTheme="minorHAnsi" w:eastAsiaTheme="minorEastAsia" w:hAnsiTheme="minorHAnsi" w:cstheme="minorBidi"/>
          <w:b w:val="0"/>
          <w:sz w:val="22"/>
          <w:szCs w:val="22"/>
          <w:lang w:val="fr-FR" w:eastAsia="fr-FR"/>
        </w:rPr>
      </w:pPr>
      <w:r w:rsidRPr="009D0846">
        <w:rPr>
          <w:rFonts w:asciiTheme="minorHAnsi" w:hAnsiTheme="minorHAnsi"/>
          <w:lang w:val="fr-FR"/>
        </w:rPr>
        <w:lastRenderedPageBreak/>
        <w:t>10.</w:t>
      </w:r>
      <w:r>
        <w:rPr>
          <w:rFonts w:asciiTheme="minorHAnsi" w:eastAsiaTheme="minorEastAsia" w:hAnsiTheme="minorHAnsi" w:cstheme="minorBidi"/>
          <w:b w:val="0"/>
          <w:sz w:val="22"/>
          <w:szCs w:val="22"/>
          <w:lang w:val="fr-FR" w:eastAsia="fr-FR"/>
        </w:rPr>
        <w:tab/>
      </w:r>
      <w:r w:rsidRPr="009D0846">
        <w:rPr>
          <w:rFonts w:asciiTheme="minorHAnsi" w:hAnsiTheme="minorHAnsi" w:cstheme="minorHAnsi"/>
          <w:lang w:val="fr-FR"/>
        </w:rPr>
        <w:t>TRESORERIE ET CAPITAUX</w:t>
      </w:r>
      <w:r w:rsidRPr="00F06F79">
        <w:rPr>
          <w:lang w:val="fr-FR"/>
        </w:rPr>
        <w:tab/>
      </w:r>
      <w:r>
        <w:fldChar w:fldCharType="begin"/>
      </w:r>
      <w:r w:rsidRPr="00F06F79">
        <w:rPr>
          <w:lang w:val="fr-FR"/>
        </w:rPr>
        <w:instrText xml:space="preserve"> PAGEREF _Toc512863913 \h </w:instrText>
      </w:r>
      <w:r>
        <w:fldChar w:fldCharType="separate"/>
      </w:r>
      <w:r w:rsidRPr="00F06F79">
        <w:rPr>
          <w:lang w:val="fr-FR"/>
        </w:rPr>
        <w:t>99</w:t>
      </w:r>
      <w:r>
        <w:fldChar w:fldCharType="end"/>
      </w:r>
    </w:p>
    <w:p w:rsidR="00F06F79" w:rsidRDefault="00F06F79">
      <w:pPr>
        <w:pStyle w:val="TOC2"/>
        <w:rPr>
          <w:rFonts w:eastAsiaTheme="minorEastAsia" w:cstheme="minorBidi"/>
          <w:b w:val="0"/>
          <w:color w:val="auto"/>
          <w:sz w:val="22"/>
          <w:szCs w:val="22"/>
          <w:lang w:eastAsia="fr-FR"/>
        </w:rPr>
      </w:pPr>
      <w:r w:rsidRPr="009D0846">
        <w:t>10.1</w:t>
      </w:r>
      <w:r>
        <w:rPr>
          <w:rFonts w:eastAsiaTheme="minorEastAsia" w:cstheme="minorBidi"/>
          <w:b w:val="0"/>
          <w:color w:val="auto"/>
          <w:sz w:val="22"/>
          <w:szCs w:val="22"/>
          <w:lang w:eastAsia="fr-FR"/>
        </w:rPr>
        <w:tab/>
      </w:r>
      <w:r w:rsidRPr="009D0846">
        <w:rPr>
          <w:rFonts w:cstheme="minorHAnsi"/>
        </w:rPr>
        <w:t>Informations sur les capitaux de la Société</w:t>
      </w:r>
      <w:r>
        <w:tab/>
      </w:r>
      <w:r>
        <w:fldChar w:fldCharType="begin"/>
      </w:r>
      <w:r>
        <w:instrText xml:space="preserve"> PAGEREF _Toc512863914 \h </w:instrText>
      </w:r>
      <w:r>
        <w:fldChar w:fldCharType="separate"/>
      </w:r>
      <w:r>
        <w:t>99</w:t>
      </w:r>
      <w:r>
        <w:fldChar w:fldCharType="end"/>
      </w:r>
    </w:p>
    <w:p w:rsidR="00F06F79" w:rsidRDefault="00F06F79">
      <w:pPr>
        <w:pStyle w:val="TOC2"/>
        <w:rPr>
          <w:rFonts w:eastAsiaTheme="minorEastAsia" w:cstheme="minorBidi"/>
          <w:b w:val="0"/>
          <w:color w:val="auto"/>
          <w:sz w:val="22"/>
          <w:szCs w:val="22"/>
          <w:lang w:eastAsia="fr-FR"/>
        </w:rPr>
      </w:pPr>
      <w:r w:rsidRPr="009D0846">
        <w:t>10.2</w:t>
      </w:r>
      <w:r>
        <w:rPr>
          <w:rFonts w:eastAsiaTheme="minorEastAsia" w:cstheme="minorBidi"/>
          <w:b w:val="0"/>
          <w:color w:val="auto"/>
          <w:sz w:val="22"/>
          <w:szCs w:val="22"/>
          <w:lang w:eastAsia="fr-FR"/>
        </w:rPr>
        <w:tab/>
      </w:r>
      <w:r w:rsidRPr="009D0846">
        <w:rPr>
          <w:rFonts w:cstheme="minorHAnsi"/>
        </w:rPr>
        <w:t>Flux de trésorerie</w:t>
      </w:r>
      <w:r>
        <w:tab/>
      </w:r>
      <w:r>
        <w:fldChar w:fldCharType="begin"/>
      </w:r>
      <w:r>
        <w:instrText xml:space="preserve"> PAGEREF _Toc512863915 \h </w:instrText>
      </w:r>
      <w:r>
        <w:fldChar w:fldCharType="separate"/>
      </w:r>
      <w:r>
        <w:t>101</w:t>
      </w:r>
      <w:r>
        <w:fldChar w:fldCharType="end"/>
      </w:r>
    </w:p>
    <w:p w:rsidR="00F06F79" w:rsidRDefault="00F06F79">
      <w:pPr>
        <w:pStyle w:val="TOC2"/>
        <w:rPr>
          <w:rFonts w:eastAsiaTheme="minorEastAsia" w:cstheme="minorBidi"/>
          <w:b w:val="0"/>
          <w:color w:val="auto"/>
          <w:sz w:val="22"/>
          <w:szCs w:val="22"/>
          <w:lang w:eastAsia="fr-FR"/>
        </w:rPr>
      </w:pPr>
      <w:r w:rsidRPr="009D0846">
        <w:t>10.3</w:t>
      </w:r>
      <w:r>
        <w:rPr>
          <w:rFonts w:eastAsiaTheme="minorEastAsia" w:cstheme="minorBidi"/>
          <w:b w:val="0"/>
          <w:color w:val="auto"/>
          <w:sz w:val="22"/>
          <w:szCs w:val="22"/>
          <w:lang w:eastAsia="fr-FR"/>
        </w:rPr>
        <w:tab/>
      </w:r>
      <w:r w:rsidRPr="009D0846">
        <w:rPr>
          <w:rFonts w:cstheme="minorHAnsi"/>
        </w:rPr>
        <w:t>Conditions d’emprunt et structure de financement</w:t>
      </w:r>
      <w:r>
        <w:tab/>
      </w:r>
      <w:r>
        <w:fldChar w:fldCharType="begin"/>
      </w:r>
      <w:r>
        <w:instrText xml:space="preserve"> PAGEREF _Toc512863916 \h </w:instrText>
      </w:r>
      <w:r>
        <w:fldChar w:fldCharType="separate"/>
      </w:r>
      <w:r>
        <w:t>102</w:t>
      </w:r>
      <w:r>
        <w:fldChar w:fldCharType="end"/>
      </w:r>
    </w:p>
    <w:p w:rsidR="00F06F79" w:rsidRDefault="00F06F79">
      <w:pPr>
        <w:pStyle w:val="TOC2"/>
        <w:rPr>
          <w:rFonts w:eastAsiaTheme="minorEastAsia" w:cstheme="minorBidi"/>
          <w:b w:val="0"/>
          <w:color w:val="auto"/>
          <w:sz w:val="22"/>
          <w:szCs w:val="22"/>
          <w:lang w:eastAsia="fr-FR"/>
        </w:rPr>
      </w:pPr>
      <w:r w:rsidRPr="009D0846">
        <w:t>10.4</w:t>
      </w:r>
      <w:r>
        <w:rPr>
          <w:rFonts w:eastAsiaTheme="minorEastAsia" w:cstheme="minorBidi"/>
          <w:b w:val="0"/>
          <w:color w:val="auto"/>
          <w:sz w:val="22"/>
          <w:szCs w:val="22"/>
          <w:lang w:eastAsia="fr-FR"/>
        </w:rPr>
        <w:tab/>
      </w:r>
      <w:r w:rsidRPr="009D0846">
        <w:rPr>
          <w:rFonts w:cstheme="minorHAnsi"/>
        </w:rPr>
        <w:t>Restrictions à l’utilisation des capitaux ayant influé sensiblement ou pouvant influer sensiblement, de manière directe ou indirecte sur les opérations de la Société</w:t>
      </w:r>
      <w:r>
        <w:tab/>
      </w:r>
      <w:r>
        <w:fldChar w:fldCharType="begin"/>
      </w:r>
      <w:r>
        <w:instrText xml:space="preserve"> PAGEREF _Toc512863917 \h </w:instrText>
      </w:r>
      <w:r>
        <w:fldChar w:fldCharType="separate"/>
      </w:r>
      <w:r>
        <w:t>103</w:t>
      </w:r>
      <w:r>
        <w:fldChar w:fldCharType="end"/>
      </w:r>
    </w:p>
    <w:p w:rsidR="00F06F79" w:rsidRDefault="00F06F79">
      <w:pPr>
        <w:pStyle w:val="TOC2"/>
        <w:rPr>
          <w:rFonts w:eastAsiaTheme="minorEastAsia" w:cstheme="minorBidi"/>
          <w:b w:val="0"/>
          <w:color w:val="auto"/>
          <w:sz w:val="22"/>
          <w:szCs w:val="22"/>
          <w:lang w:eastAsia="fr-FR"/>
        </w:rPr>
      </w:pPr>
      <w:r w:rsidRPr="009D0846">
        <w:t>10.5</w:t>
      </w:r>
      <w:r>
        <w:rPr>
          <w:rFonts w:eastAsiaTheme="minorEastAsia" w:cstheme="minorBidi"/>
          <w:b w:val="0"/>
          <w:color w:val="auto"/>
          <w:sz w:val="22"/>
          <w:szCs w:val="22"/>
          <w:lang w:eastAsia="fr-FR"/>
        </w:rPr>
        <w:tab/>
      </w:r>
      <w:r w:rsidRPr="009D0846">
        <w:rPr>
          <w:rFonts w:cstheme="minorHAnsi"/>
        </w:rPr>
        <w:t>Sources de financement attendues</w:t>
      </w:r>
      <w:r>
        <w:tab/>
      </w:r>
      <w:r>
        <w:fldChar w:fldCharType="begin"/>
      </w:r>
      <w:r>
        <w:instrText xml:space="preserve"> PAGEREF _Toc512863918 \h </w:instrText>
      </w:r>
      <w:r>
        <w:fldChar w:fldCharType="separate"/>
      </w:r>
      <w:r>
        <w:t>103</w:t>
      </w:r>
      <w:r>
        <w:fldChar w:fldCharType="end"/>
      </w:r>
    </w:p>
    <w:p w:rsidR="00F06F79" w:rsidRDefault="00F06F79">
      <w:pPr>
        <w:pStyle w:val="TOC1"/>
        <w:rPr>
          <w:rFonts w:asciiTheme="minorHAnsi" w:eastAsiaTheme="minorEastAsia" w:hAnsiTheme="minorHAnsi" w:cstheme="minorBidi"/>
          <w:b w:val="0"/>
          <w:sz w:val="22"/>
          <w:szCs w:val="22"/>
          <w:lang w:val="fr-FR" w:eastAsia="fr-FR"/>
        </w:rPr>
      </w:pPr>
      <w:r w:rsidRPr="009D0846">
        <w:rPr>
          <w:rFonts w:asciiTheme="minorHAnsi" w:hAnsiTheme="minorHAnsi"/>
          <w:lang w:val="fr-FR"/>
        </w:rPr>
        <w:t>11.</w:t>
      </w:r>
      <w:r>
        <w:rPr>
          <w:rFonts w:asciiTheme="minorHAnsi" w:eastAsiaTheme="minorEastAsia" w:hAnsiTheme="minorHAnsi" w:cstheme="minorBidi"/>
          <w:b w:val="0"/>
          <w:sz w:val="22"/>
          <w:szCs w:val="22"/>
          <w:lang w:val="fr-FR" w:eastAsia="fr-FR"/>
        </w:rPr>
        <w:tab/>
      </w:r>
      <w:r w:rsidRPr="009D0846">
        <w:rPr>
          <w:rFonts w:asciiTheme="minorHAnsi" w:hAnsiTheme="minorHAnsi" w:cstheme="minorHAnsi"/>
          <w:lang w:val="fr-FR"/>
        </w:rPr>
        <w:t>INVENTIONS, BREVETS, LICENCES, MARQUES ET NOMS DE DOMAINE</w:t>
      </w:r>
      <w:r w:rsidRPr="00F06F79">
        <w:rPr>
          <w:lang w:val="fr-FR"/>
        </w:rPr>
        <w:tab/>
      </w:r>
      <w:r>
        <w:fldChar w:fldCharType="begin"/>
      </w:r>
      <w:r w:rsidRPr="00F06F79">
        <w:rPr>
          <w:lang w:val="fr-FR"/>
        </w:rPr>
        <w:instrText xml:space="preserve"> PAGEREF _Toc512863919 \h </w:instrText>
      </w:r>
      <w:r>
        <w:fldChar w:fldCharType="separate"/>
      </w:r>
      <w:r w:rsidRPr="00F06F79">
        <w:rPr>
          <w:lang w:val="fr-FR"/>
        </w:rPr>
        <w:t>105</w:t>
      </w:r>
      <w:r>
        <w:fldChar w:fldCharType="end"/>
      </w:r>
    </w:p>
    <w:p w:rsidR="00F06F79" w:rsidRDefault="00F06F79">
      <w:pPr>
        <w:pStyle w:val="TOC2"/>
        <w:rPr>
          <w:rFonts w:eastAsiaTheme="minorEastAsia" w:cstheme="minorBidi"/>
          <w:b w:val="0"/>
          <w:color w:val="auto"/>
          <w:sz w:val="22"/>
          <w:szCs w:val="22"/>
          <w:lang w:eastAsia="fr-FR"/>
        </w:rPr>
      </w:pPr>
      <w:r w:rsidRPr="009D0846">
        <w:rPr>
          <w:rFonts w:cstheme="minorHAnsi"/>
        </w:rPr>
        <w:t>11.1</w:t>
      </w:r>
      <w:r>
        <w:rPr>
          <w:rFonts w:eastAsiaTheme="minorEastAsia" w:cstheme="minorBidi"/>
          <w:b w:val="0"/>
          <w:color w:val="auto"/>
          <w:sz w:val="22"/>
          <w:szCs w:val="22"/>
          <w:lang w:eastAsia="fr-FR"/>
        </w:rPr>
        <w:tab/>
      </w:r>
      <w:r w:rsidRPr="009D0846">
        <w:rPr>
          <w:rFonts w:cstheme="minorHAnsi"/>
        </w:rPr>
        <w:t>Politique d’innovation</w:t>
      </w:r>
      <w:r>
        <w:tab/>
      </w:r>
      <w:r>
        <w:fldChar w:fldCharType="begin"/>
      </w:r>
      <w:r>
        <w:instrText xml:space="preserve"> PAGEREF _Toc512863920 \h </w:instrText>
      </w:r>
      <w:r>
        <w:fldChar w:fldCharType="separate"/>
      </w:r>
      <w:r>
        <w:t>105</w:t>
      </w:r>
      <w:r>
        <w:fldChar w:fldCharType="end"/>
      </w:r>
    </w:p>
    <w:p w:rsidR="00F06F79" w:rsidRDefault="00F06F79">
      <w:pPr>
        <w:pStyle w:val="TOC2"/>
        <w:rPr>
          <w:rFonts w:eastAsiaTheme="minorEastAsia" w:cstheme="minorBidi"/>
          <w:b w:val="0"/>
          <w:color w:val="auto"/>
          <w:sz w:val="22"/>
          <w:szCs w:val="22"/>
          <w:lang w:eastAsia="fr-FR"/>
        </w:rPr>
      </w:pPr>
      <w:r w:rsidRPr="009D0846">
        <w:rPr>
          <w:rFonts w:cstheme="minorHAnsi"/>
        </w:rPr>
        <w:t>11.2</w:t>
      </w:r>
      <w:r>
        <w:rPr>
          <w:rFonts w:eastAsiaTheme="minorEastAsia" w:cstheme="minorBidi"/>
          <w:b w:val="0"/>
          <w:color w:val="auto"/>
          <w:sz w:val="22"/>
          <w:szCs w:val="22"/>
          <w:lang w:eastAsia="fr-FR"/>
        </w:rPr>
        <w:tab/>
      </w:r>
      <w:r w:rsidRPr="009D0846">
        <w:rPr>
          <w:rFonts w:cstheme="minorHAnsi"/>
        </w:rPr>
        <w:t>Brevets et demandes de brevets</w:t>
      </w:r>
      <w:r>
        <w:tab/>
      </w:r>
      <w:r>
        <w:fldChar w:fldCharType="begin"/>
      </w:r>
      <w:r>
        <w:instrText xml:space="preserve"> PAGEREF _Toc512863921 \h </w:instrText>
      </w:r>
      <w:r>
        <w:fldChar w:fldCharType="separate"/>
      </w:r>
      <w:r>
        <w:t>106</w:t>
      </w:r>
      <w:r>
        <w:fldChar w:fldCharType="end"/>
      </w:r>
    </w:p>
    <w:p w:rsidR="00F06F79" w:rsidRDefault="00F06F79">
      <w:pPr>
        <w:pStyle w:val="TOC2"/>
        <w:rPr>
          <w:rFonts w:eastAsiaTheme="minorEastAsia" w:cstheme="minorBidi"/>
          <w:b w:val="0"/>
          <w:color w:val="auto"/>
          <w:sz w:val="22"/>
          <w:szCs w:val="22"/>
          <w:lang w:eastAsia="fr-FR"/>
        </w:rPr>
      </w:pPr>
      <w:r w:rsidRPr="009D0846">
        <w:rPr>
          <w:rFonts w:cstheme="minorHAnsi"/>
        </w:rPr>
        <w:t>11.3</w:t>
      </w:r>
      <w:r>
        <w:rPr>
          <w:rFonts w:eastAsiaTheme="minorEastAsia" w:cstheme="minorBidi"/>
          <w:b w:val="0"/>
          <w:color w:val="auto"/>
          <w:sz w:val="22"/>
          <w:szCs w:val="22"/>
          <w:lang w:eastAsia="fr-FR"/>
        </w:rPr>
        <w:tab/>
      </w:r>
      <w:r w:rsidRPr="009D0846">
        <w:rPr>
          <w:rFonts w:cstheme="minorHAnsi"/>
        </w:rPr>
        <w:t>Contrats de collaboration, de recherches, de prestations de service et de licences accordés par la Société ou concédés à cette dernière</w:t>
      </w:r>
      <w:r>
        <w:tab/>
      </w:r>
      <w:r>
        <w:fldChar w:fldCharType="begin"/>
      </w:r>
      <w:r>
        <w:instrText xml:space="preserve"> PAGEREF _Toc512863922 \h </w:instrText>
      </w:r>
      <w:r>
        <w:fldChar w:fldCharType="separate"/>
      </w:r>
      <w:r>
        <w:t>118</w:t>
      </w:r>
      <w:r>
        <w:fldChar w:fldCharType="end"/>
      </w:r>
    </w:p>
    <w:p w:rsidR="00F06F79" w:rsidRDefault="00F06F79">
      <w:pPr>
        <w:pStyle w:val="TOC2"/>
        <w:rPr>
          <w:rFonts w:eastAsiaTheme="minorEastAsia" w:cstheme="minorBidi"/>
          <w:b w:val="0"/>
          <w:color w:val="auto"/>
          <w:sz w:val="22"/>
          <w:szCs w:val="22"/>
          <w:lang w:eastAsia="fr-FR"/>
        </w:rPr>
      </w:pPr>
      <w:r w:rsidRPr="009D0846">
        <w:rPr>
          <w:rFonts w:cstheme="minorHAnsi"/>
        </w:rPr>
        <w:t>11.4</w:t>
      </w:r>
      <w:r>
        <w:rPr>
          <w:rFonts w:eastAsiaTheme="minorEastAsia" w:cstheme="minorBidi"/>
          <w:b w:val="0"/>
          <w:color w:val="auto"/>
          <w:sz w:val="22"/>
          <w:szCs w:val="22"/>
          <w:lang w:eastAsia="fr-FR"/>
        </w:rPr>
        <w:tab/>
      </w:r>
      <w:r w:rsidRPr="009D0846">
        <w:rPr>
          <w:rFonts w:cstheme="minorHAnsi"/>
        </w:rPr>
        <w:t>Marques, demandes de marque et noms de domaine</w:t>
      </w:r>
      <w:r>
        <w:tab/>
      </w:r>
      <w:r>
        <w:fldChar w:fldCharType="begin"/>
      </w:r>
      <w:r>
        <w:instrText xml:space="preserve"> PAGEREF _Toc512863923 \h </w:instrText>
      </w:r>
      <w:r>
        <w:fldChar w:fldCharType="separate"/>
      </w:r>
      <w:r>
        <w:t>120</w:t>
      </w:r>
      <w:r>
        <w:fldChar w:fldCharType="end"/>
      </w:r>
    </w:p>
    <w:p w:rsidR="00F06F79" w:rsidRDefault="00F06F79">
      <w:pPr>
        <w:pStyle w:val="TOC1"/>
        <w:rPr>
          <w:rFonts w:asciiTheme="minorHAnsi" w:eastAsiaTheme="minorEastAsia" w:hAnsiTheme="minorHAnsi" w:cstheme="minorBidi"/>
          <w:b w:val="0"/>
          <w:sz w:val="22"/>
          <w:szCs w:val="22"/>
          <w:lang w:val="fr-FR" w:eastAsia="fr-FR"/>
        </w:rPr>
      </w:pPr>
      <w:r w:rsidRPr="009D0846">
        <w:rPr>
          <w:rFonts w:asciiTheme="minorHAnsi" w:hAnsiTheme="minorHAnsi"/>
          <w:lang w:val="fr-FR"/>
        </w:rPr>
        <w:t>12.</w:t>
      </w:r>
      <w:r>
        <w:rPr>
          <w:rFonts w:asciiTheme="minorHAnsi" w:eastAsiaTheme="minorEastAsia" w:hAnsiTheme="minorHAnsi" w:cstheme="minorBidi"/>
          <w:b w:val="0"/>
          <w:sz w:val="22"/>
          <w:szCs w:val="22"/>
          <w:lang w:val="fr-FR" w:eastAsia="fr-FR"/>
        </w:rPr>
        <w:tab/>
      </w:r>
      <w:r w:rsidRPr="009D0846">
        <w:rPr>
          <w:rFonts w:asciiTheme="minorHAnsi" w:hAnsiTheme="minorHAnsi" w:cstheme="minorHAnsi"/>
          <w:lang w:val="fr-FR"/>
        </w:rPr>
        <w:t>TENDANCES</w:t>
      </w:r>
      <w:r w:rsidRPr="00F06F79">
        <w:rPr>
          <w:lang w:val="fr-FR"/>
        </w:rPr>
        <w:tab/>
      </w:r>
      <w:r>
        <w:fldChar w:fldCharType="begin"/>
      </w:r>
      <w:r w:rsidRPr="00F06F79">
        <w:rPr>
          <w:lang w:val="fr-FR"/>
        </w:rPr>
        <w:instrText xml:space="preserve"> PAGEREF _Toc512863924 \h </w:instrText>
      </w:r>
      <w:r>
        <w:fldChar w:fldCharType="separate"/>
      </w:r>
      <w:r w:rsidRPr="00F06F79">
        <w:rPr>
          <w:lang w:val="fr-FR"/>
        </w:rPr>
        <w:t>122</w:t>
      </w:r>
      <w:r>
        <w:fldChar w:fldCharType="end"/>
      </w:r>
    </w:p>
    <w:p w:rsidR="00F06F79" w:rsidRDefault="00F06F79">
      <w:pPr>
        <w:pStyle w:val="TOC2"/>
        <w:rPr>
          <w:rFonts w:eastAsiaTheme="minorEastAsia" w:cstheme="minorBidi"/>
          <w:b w:val="0"/>
          <w:color w:val="auto"/>
          <w:sz w:val="22"/>
          <w:szCs w:val="22"/>
          <w:lang w:eastAsia="fr-FR"/>
        </w:rPr>
      </w:pPr>
      <w:r w:rsidRPr="009D0846">
        <w:t>12.1</w:t>
      </w:r>
      <w:r>
        <w:rPr>
          <w:rFonts w:eastAsiaTheme="minorEastAsia" w:cstheme="minorBidi"/>
          <w:b w:val="0"/>
          <w:color w:val="auto"/>
          <w:sz w:val="22"/>
          <w:szCs w:val="22"/>
          <w:lang w:eastAsia="fr-FR"/>
        </w:rPr>
        <w:tab/>
      </w:r>
      <w:r w:rsidRPr="009D0846">
        <w:rPr>
          <w:rFonts w:cstheme="minorHAnsi"/>
        </w:rPr>
        <w:t>Perspectives 2018</w:t>
      </w:r>
      <w:r>
        <w:tab/>
      </w:r>
      <w:r>
        <w:fldChar w:fldCharType="begin"/>
      </w:r>
      <w:r>
        <w:instrText xml:space="preserve"> PAGEREF _Toc512863925 \h </w:instrText>
      </w:r>
      <w:r>
        <w:fldChar w:fldCharType="separate"/>
      </w:r>
      <w:r>
        <w:t>122</w:t>
      </w:r>
      <w:r>
        <w:fldChar w:fldCharType="end"/>
      </w:r>
    </w:p>
    <w:p w:rsidR="00F06F79" w:rsidRDefault="00F06F79">
      <w:pPr>
        <w:pStyle w:val="TOC2"/>
        <w:rPr>
          <w:rFonts w:eastAsiaTheme="minorEastAsia" w:cstheme="minorBidi"/>
          <w:b w:val="0"/>
          <w:color w:val="auto"/>
          <w:sz w:val="22"/>
          <w:szCs w:val="22"/>
          <w:lang w:eastAsia="fr-FR"/>
        </w:rPr>
      </w:pPr>
      <w:r w:rsidRPr="009D0846">
        <w:t>12.2</w:t>
      </w:r>
      <w:r>
        <w:rPr>
          <w:rFonts w:eastAsiaTheme="minorEastAsia" w:cstheme="minorBidi"/>
          <w:b w:val="0"/>
          <w:color w:val="auto"/>
          <w:sz w:val="22"/>
          <w:szCs w:val="22"/>
          <w:lang w:eastAsia="fr-FR"/>
        </w:rPr>
        <w:tab/>
      </w:r>
      <w:r w:rsidRPr="009D0846">
        <w:rPr>
          <w:rFonts w:cstheme="minorHAnsi"/>
        </w:rPr>
        <w:t>Tendance connue, incertitude, demande d’engagement ou évènement raisonnablement susceptible d’influer sur les perspectives de la Société</w:t>
      </w:r>
      <w:r>
        <w:tab/>
      </w:r>
      <w:r>
        <w:fldChar w:fldCharType="begin"/>
      </w:r>
      <w:r>
        <w:instrText xml:space="preserve"> PAGEREF _Toc512863926 \h </w:instrText>
      </w:r>
      <w:r>
        <w:fldChar w:fldCharType="separate"/>
      </w:r>
      <w:r>
        <w:t>122</w:t>
      </w:r>
      <w:r>
        <w:fldChar w:fldCharType="end"/>
      </w:r>
    </w:p>
    <w:p w:rsidR="00F06F79" w:rsidRDefault="00F06F79">
      <w:pPr>
        <w:pStyle w:val="TOC1"/>
        <w:rPr>
          <w:rFonts w:asciiTheme="minorHAnsi" w:eastAsiaTheme="minorEastAsia" w:hAnsiTheme="minorHAnsi" w:cstheme="minorBidi"/>
          <w:b w:val="0"/>
          <w:sz w:val="22"/>
          <w:szCs w:val="22"/>
          <w:lang w:val="fr-FR" w:eastAsia="fr-FR"/>
        </w:rPr>
      </w:pPr>
      <w:r w:rsidRPr="009D0846">
        <w:rPr>
          <w:rFonts w:asciiTheme="minorHAnsi" w:hAnsiTheme="minorHAnsi"/>
          <w:lang w:val="fr-FR"/>
        </w:rPr>
        <w:t>13.</w:t>
      </w:r>
      <w:r>
        <w:rPr>
          <w:rFonts w:asciiTheme="minorHAnsi" w:eastAsiaTheme="minorEastAsia" w:hAnsiTheme="minorHAnsi" w:cstheme="minorBidi"/>
          <w:b w:val="0"/>
          <w:sz w:val="22"/>
          <w:szCs w:val="22"/>
          <w:lang w:val="fr-FR" w:eastAsia="fr-FR"/>
        </w:rPr>
        <w:tab/>
      </w:r>
      <w:r w:rsidRPr="009D0846">
        <w:rPr>
          <w:rFonts w:asciiTheme="minorHAnsi" w:hAnsiTheme="minorHAnsi" w:cstheme="minorHAnsi"/>
          <w:lang w:val="fr-FR"/>
        </w:rPr>
        <w:t>PREVISIONS OU ESTIMATIONS DU BENEFICE</w:t>
      </w:r>
      <w:r w:rsidRPr="00F06F79">
        <w:rPr>
          <w:lang w:val="fr-FR"/>
        </w:rPr>
        <w:tab/>
      </w:r>
      <w:r>
        <w:fldChar w:fldCharType="begin"/>
      </w:r>
      <w:r w:rsidRPr="00F06F79">
        <w:rPr>
          <w:lang w:val="fr-FR"/>
        </w:rPr>
        <w:instrText xml:space="preserve"> PAGEREF _Toc512863927 \h </w:instrText>
      </w:r>
      <w:r>
        <w:fldChar w:fldCharType="separate"/>
      </w:r>
      <w:r w:rsidRPr="00F06F79">
        <w:rPr>
          <w:lang w:val="fr-FR"/>
        </w:rPr>
        <w:t>123</w:t>
      </w:r>
      <w:r>
        <w:fldChar w:fldCharType="end"/>
      </w:r>
    </w:p>
    <w:p w:rsidR="00F06F79" w:rsidRDefault="00F06F79">
      <w:pPr>
        <w:pStyle w:val="TOC1"/>
        <w:rPr>
          <w:rFonts w:asciiTheme="minorHAnsi" w:eastAsiaTheme="minorEastAsia" w:hAnsiTheme="minorHAnsi" w:cstheme="minorBidi"/>
          <w:b w:val="0"/>
          <w:sz w:val="22"/>
          <w:szCs w:val="22"/>
          <w:lang w:val="fr-FR" w:eastAsia="fr-FR"/>
        </w:rPr>
      </w:pPr>
      <w:r w:rsidRPr="009D0846">
        <w:rPr>
          <w:rFonts w:asciiTheme="minorHAnsi" w:hAnsiTheme="minorHAnsi"/>
          <w:lang w:val="fr-FR"/>
        </w:rPr>
        <w:t>14.</w:t>
      </w:r>
      <w:r>
        <w:rPr>
          <w:rFonts w:asciiTheme="minorHAnsi" w:eastAsiaTheme="minorEastAsia" w:hAnsiTheme="minorHAnsi" w:cstheme="minorBidi"/>
          <w:b w:val="0"/>
          <w:sz w:val="22"/>
          <w:szCs w:val="22"/>
          <w:lang w:val="fr-FR" w:eastAsia="fr-FR"/>
        </w:rPr>
        <w:tab/>
      </w:r>
      <w:r w:rsidRPr="009D0846">
        <w:rPr>
          <w:rFonts w:asciiTheme="minorHAnsi" w:hAnsiTheme="minorHAnsi" w:cstheme="minorHAnsi"/>
          <w:lang w:val="fr-FR"/>
        </w:rPr>
        <w:t>ORGANES D’ADMINISTRATION, DE DIRECTION, DE SURVEILLANCE ET DE DIRECTION GENERALE</w:t>
      </w:r>
      <w:r w:rsidRPr="00F06F79">
        <w:rPr>
          <w:lang w:val="fr-FR"/>
        </w:rPr>
        <w:tab/>
      </w:r>
      <w:r>
        <w:fldChar w:fldCharType="begin"/>
      </w:r>
      <w:r w:rsidRPr="00F06F79">
        <w:rPr>
          <w:lang w:val="fr-FR"/>
        </w:rPr>
        <w:instrText xml:space="preserve"> PAGEREF _Toc512863928 \h </w:instrText>
      </w:r>
      <w:r>
        <w:fldChar w:fldCharType="separate"/>
      </w:r>
      <w:r w:rsidRPr="00F06F79">
        <w:rPr>
          <w:lang w:val="fr-FR"/>
        </w:rPr>
        <w:t>124</w:t>
      </w:r>
      <w:r>
        <w:fldChar w:fldCharType="end"/>
      </w:r>
    </w:p>
    <w:p w:rsidR="00F06F79" w:rsidRDefault="00F06F79">
      <w:pPr>
        <w:pStyle w:val="TOC2"/>
        <w:rPr>
          <w:rFonts w:eastAsiaTheme="minorEastAsia" w:cstheme="minorBidi"/>
          <w:b w:val="0"/>
          <w:color w:val="auto"/>
          <w:sz w:val="22"/>
          <w:szCs w:val="22"/>
          <w:lang w:eastAsia="fr-FR"/>
        </w:rPr>
      </w:pPr>
      <w:r w:rsidRPr="009D0846">
        <w:t>14.1</w:t>
      </w:r>
      <w:r>
        <w:rPr>
          <w:rFonts w:eastAsiaTheme="minorEastAsia" w:cstheme="minorBidi"/>
          <w:b w:val="0"/>
          <w:color w:val="auto"/>
          <w:sz w:val="22"/>
          <w:szCs w:val="22"/>
          <w:lang w:eastAsia="fr-FR"/>
        </w:rPr>
        <w:tab/>
      </w:r>
      <w:r w:rsidRPr="009D0846">
        <w:rPr>
          <w:rFonts w:cstheme="minorHAnsi"/>
        </w:rPr>
        <w:t>Dirigeants, administrateurs et censeurs</w:t>
      </w:r>
      <w:r>
        <w:tab/>
      </w:r>
      <w:r>
        <w:fldChar w:fldCharType="begin"/>
      </w:r>
      <w:r>
        <w:instrText xml:space="preserve"> PAGEREF _Toc512863929 \h </w:instrText>
      </w:r>
      <w:r>
        <w:fldChar w:fldCharType="separate"/>
      </w:r>
      <w:r>
        <w:t>124</w:t>
      </w:r>
      <w:r>
        <w:fldChar w:fldCharType="end"/>
      </w:r>
    </w:p>
    <w:p w:rsidR="00F06F79" w:rsidRDefault="00F06F79">
      <w:pPr>
        <w:pStyle w:val="TOC2"/>
        <w:rPr>
          <w:rFonts w:eastAsiaTheme="minorEastAsia" w:cstheme="minorBidi"/>
          <w:b w:val="0"/>
          <w:color w:val="auto"/>
          <w:sz w:val="22"/>
          <w:szCs w:val="22"/>
          <w:lang w:eastAsia="fr-FR"/>
        </w:rPr>
      </w:pPr>
      <w:r w:rsidRPr="009D0846">
        <w:t>14.2</w:t>
      </w:r>
      <w:r>
        <w:rPr>
          <w:rFonts w:eastAsiaTheme="minorEastAsia" w:cstheme="minorBidi"/>
          <w:b w:val="0"/>
          <w:color w:val="auto"/>
          <w:sz w:val="22"/>
          <w:szCs w:val="22"/>
          <w:lang w:eastAsia="fr-FR"/>
        </w:rPr>
        <w:tab/>
      </w:r>
      <w:r w:rsidRPr="009D0846">
        <w:rPr>
          <w:rFonts w:cstheme="minorHAnsi"/>
        </w:rPr>
        <w:t>Censeurs</w:t>
      </w:r>
      <w:r>
        <w:tab/>
      </w:r>
      <w:r>
        <w:fldChar w:fldCharType="begin"/>
      </w:r>
      <w:r>
        <w:instrText xml:space="preserve"> PAGEREF _Toc512863930 \h </w:instrText>
      </w:r>
      <w:r>
        <w:fldChar w:fldCharType="separate"/>
      </w:r>
      <w:r>
        <w:t>133</w:t>
      </w:r>
      <w:r>
        <w:fldChar w:fldCharType="end"/>
      </w:r>
    </w:p>
    <w:p w:rsidR="00F06F79" w:rsidRDefault="00F06F79">
      <w:pPr>
        <w:pStyle w:val="TOC2"/>
        <w:rPr>
          <w:rFonts w:eastAsiaTheme="minorEastAsia" w:cstheme="minorBidi"/>
          <w:b w:val="0"/>
          <w:color w:val="auto"/>
          <w:sz w:val="22"/>
          <w:szCs w:val="22"/>
          <w:lang w:eastAsia="fr-FR"/>
        </w:rPr>
      </w:pPr>
      <w:r w:rsidRPr="009D0846">
        <w:t>14.3</w:t>
      </w:r>
      <w:r>
        <w:rPr>
          <w:rFonts w:eastAsiaTheme="minorEastAsia" w:cstheme="minorBidi"/>
          <w:b w:val="0"/>
          <w:color w:val="auto"/>
          <w:sz w:val="22"/>
          <w:szCs w:val="22"/>
          <w:lang w:eastAsia="fr-FR"/>
        </w:rPr>
        <w:tab/>
      </w:r>
      <w:r w:rsidRPr="009D0846">
        <w:rPr>
          <w:rFonts w:cstheme="minorHAnsi"/>
        </w:rPr>
        <w:t>Conflits d’intérêts au niveau des organes d’administration et de direction générale</w:t>
      </w:r>
      <w:r>
        <w:tab/>
      </w:r>
      <w:r>
        <w:fldChar w:fldCharType="begin"/>
      </w:r>
      <w:r>
        <w:instrText xml:space="preserve"> PAGEREF _Toc512863931 \h </w:instrText>
      </w:r>
      <w:r>
        <w:fldChar w:fldCharType="separate"/>
      </w:r>
      <w:r>
        <w:t>133</w:t>
      </w:r>
      <w:r>
        <w:fldChar w:fldCharType="end"/>
      </w:r>
    </w:p>
    <w:p w:rsidR="00F06F79" w:rsidRDefault="00F06F79">
      <w:pPr>
        <w:pStyle w:val="TOC1"/>
        <w:rPr>
          <w:rFonts w:asciiTheme="minorHAnsi" w:eastAsiaTheme="minorEastAsia" w:hAnsiTheme="minorHAnsi" w:cstheme="minorBidi"/>
          <w:b w:val="0"/>
          <w:sz w:val="22"/>
          <w:szCs w:val="22"/>
          <w:lang w:val="fr-FR" w:eastAsia="fr-FR"/>
        </w:rPr>
      </w:pPr>
      <w:r w:rsidRPr="009D0846">
        <w:rPr>
          <w:rFonts w:asciiTheme="minorHAnsi" w:hAnsiTheme="minorHAnsi"/>
          <w:lang w:val="fr-FR"/>
        </w:rPr>
        <w:t>15.</w:t>
      </w:r>
      <w:r>
        <w:rPr>
          <w:rFonts w:asciiTheme="minorHAnsi" w:eastAsiaTheme="minorEastAsia" w:hAnsiTheme="minorHAnsi" w:cstheme="minorBidi"/>
          <w:b w:val="0"/>
          <w:sz w:val="22"/>
          <w:szCs w:val="22"/>
          <w:lang w:val="fr-FR" w:eastAsia="fr-FR"/>
        </w:rPr>
        <w:tab/>
      </w:r>
      <w:r w:rsidRPr="009D0846">
        <w:rPr>
          <w:rFonts w:asciiTheme="minorHAnsi" w:hAnsiTheme="minorHAnsi" w:cstheme="minorHAnsi"/>
          <w:lang w:val="fr-FR"/>
        </w:rPr>
        <w:t>REMUNERATIONS ET AVANTAGES</w:t>
      </w:r>
      <w:r w:rsidRPr="00F06F79">
        <w:rPr>
          <w:lang w:val="fr-FR"/>
        </w:rPr>
        <w:tab/>
      </w:r>
      <w:r>
        <w:fldChar w:fldCharType="begin"/>
      </w:r>
      <w:r w:rsidRPr="00F06F79">
        <w:rPr>
          <w:lang w:val="fr-FR"/>
        </w:rPr>
        <w:instrText xml:space="preserve"> PAGEREF _Toc512863932 \h </w:instrText>
      </w:r>
      <w:r>
        <w:fldChar w:fldCharType="separate"/>
      </w:r>
      <w:r w:rsidRPr="00F06F79">
        <w:rPr>
          <w:lang w:val="fr-FR"/>
        </w:rPr>
        <w:t>134</w:t>
      </w:r>
      <w:r>
        <w:fldChar w:fldCharType="end"/>
      </w:r>
    </w:p>
    <w:p w:rsidR="00F06F79" w:rsidRDefault="00F06F79">
      <w:pPr>
        <w:pStyle w:val="TOC2"/>
        <w:rPr>
          <w:rFonts w:eastAsiaTheme="minorEastAsia" w:cstheme="minorBidi"/>
          <w:b w:val="0"/>
          <w:color w:val="auto"/>
          <w:sz w:val="22"/>
          <w:szCs w:val="22"/>
          <w:lang w:eastAsia="fr-FR"/>
        </w:rPr>
      </w:pPr>
      <w:r w:rsidRPr="009D0846">
        <w:t>15.1</w:t>
      </w:r>
      <w:r>
        <w:rPr>
          <w:rFonts w:eastAsiaTheme="minorEastAsia" w:cstheme="minorBidi"/>
          <w:b w:val="0"/>
          <w:color w:val="auto"/>
          <w:sz w:val="22"/>
          <w:szCs w:val="22"/>
          <w:lang w:eastAsia="fr-FR"/>
        </w:rPr>
        <w:tab/>
      </w:r>
      <w:r w:rsidRPr="009D0846">
        <w:rPr>
          <w:rFonts w:cstheme="minorHAnsi"/>
        </w:rPr>
        <w:t>Rémunérations des mandataires sociaux</w:t>
      </w:r>
      <w:r>
        <w:tab/>
      </w:r>
      <w:r>
        <w:fldChar w:fldCharType="begin"/>
      </w:r>
      <w:r>
        <w:instrText xml:space="preserve"> PAGEREF _Toc512863933 \h </w:instrText>
      </w:r>
      <w:r>
        <w:fldChar w:fldCharType="separate"/>
      </w:r>
      <w:r>
        <w:t>134</w:t>
      </w:r>
      <w:r>
        <w:fldChar w:fldCharType="end"/>
      </w:r>
    </w:p>
    <w:p w:rsidR="00F06F79" w:rsidRDefault="00F06F79">
      <w:pPr>
        <w:pStyle w:val="TOC2"/>
        <w:rPr>
          <w:rFonts w:eastAsiaTheme="minorEastAsia" w:cstheme="minorBidi"/>
          <w:b w:val="0"/>
          <w:color w:val="auto"/>
          <w:sz w:val="22"/>
          <w:szCs w:val="22"/>
          <w:lang w:eastAsia="fr-FR"/>
        </w:rPr>
      </w:pPr>
      <w:r w:rsidRPr="009D0846">
        <w:t>15.2</w:t>
      </w:r>
      <w:r>
        <w:rPr>
          <w:rFonts w:eastAsiaTheme="minorEastAsia" w:cstheme="minorBidi"/>
          <w:b w:val="0"/>
          <w:color w:val="auto"/>
          <w:sz w:val="22"/>
          <w:szCs w:val="22"/>
          <w:lang w:eastAsia="fr-FR"/>
        </w:rPr>
        <w:tab/>
      </w:r>
      <w:r w:rsidRPr="009D0846">
        <w:rPr>
          <w:rFonts w:cstheme="minorHAnsi"/>
        </w:rPr>
        <w:t>Sommes provisionnées par la Société aux fins de versement de pensions, retraites et autres avantages au profit des mandataires sociaux</w:t>
      </w:r>
      <w:r>
        <w:tab/>
      </w:r>
      <w:r>
        <w:fldChar w:fldCharType="begin"/>
      </w:r>
      <w:r>
        <w:instrText xml:space="preserve"> PAGEREF _Toc512863934 \h </w:instrText>
      </w:r>
      <w:r>
        <w:fldChar w:fldCharType="separate"/>
      </w:r>
      <w:r>
        <w:t>139</w:t>
      </w:r>
      <w:r>
        <w:fldChar w:fldCharType="end"/>
      </w:r>
    </w:p>
    <w:p w:rsidR="00F06F79" w:rsidRDefault="00F06F79">
      <w:pPr>
        <w:pStyle w:val="TOC2"/>
        <w:rPr>
          <w:rFonts w:eastAsiaTheme="minorEastAsia" w:cstheme="minorBidi"/>
          <w:b w:val="0"/>
          <w:color w:val="auto"/>
          <w:sz w:val="22"/>
          <w:szCs w:val="22"/>
          <w:lang w:eastAsia="fr-FR"/>
        </w:rPr>
      </w:pPr>
      <w:r w:rsidRPr="009D0846">
        <w:t>15.3</w:t>
      </w:r>
      <w:r>
        <w:rPr>
          <w:rFonts w:eastAsiaTheme="minorEastAsia" w:cstheme="minorBidi"/>
          <w:b w:val="0"/>
          <w:color w:val="auto"/>
          <w:sz w:val="22"/>
          <w:szCs w:val="22"/>
          <w:lang w:eastAsia="fr-FR"/>
        </w:rPr>
        <w:tab/>
      </w:r>
      <w:r w:rsidRPr="009D0846">
        <w:rPr>
          <w:rFonts w:cstheme="minorHAnsi"/>
        </w:rPr>
        <w:t>Actions attribuées gratuitement, bons de souscription d’actions et options de souscription d’actions attribuées aux mandataires sociaux</w:t>
      </w:r>
      <w:r>
        <w:tab/>
      </w:r>
      <w:r>
        <w:fldChar w:fldCharType="begin"/>
      </w:r>
      <w:r>
        <w:instrText xml:space="preserve"> PAGEREF _Toc512863935 \h </w:instrText>
      </w:r>
      <w:r>
        <w:fldChar w:fldCharType="separate"/>
      </w:r>
      <w:r>
        <w:t>139</w:t>
      </w:r>
      <w:r>
        <w:fldChar w:fldCharType="end"/>
      </w:r>
    </w:p>
    <w:p w:rsidR="00F06F79" w:rsidRDefault="00F06F79">
      <w:pPr>
        <w:pStyle w:val="TOC2"/>
        <w:rPr>
          <w:rFonts w:eastAsiaTheme="minorEastAsia" w:cstheme="minorBidi"/>
          <w:b w:val="0"/>
          <w:color w:val="auto"/>
          <w:sz w:val="22"/>
          <w:szCs w:val="22"/>
          <w:lang w:eastAsia="fr-FR"/>
        </w:rPr>
      </w:pPr>
      <w:r w:rsidRPr="009D0846">
        <w:t>15.4</w:t>
      </w:r>
      <w:r>
        <w:rPr>
          <w:rFonts w:eastAsiaTheme="minorEastAsia" w:cstheme="minorBidi"/>
          <w:b w:val="0"/>
          <w:color w:val="auto"/>
          <w:sz w:val="22"/>
          <w:szCs w:val="22"/>
          <w:lang w:eastAsia="fr-FR"/>
        </w:rPr>
        <w:tab/>
      </w:r>
      <w:r w:rsidRPr="009D0846">
        <w:rPr>
          <w:rFonts w:cstheme="minorHAnsi"/>
        </w:rPr>
        <w:t>Eléments de rémunérations et avantages dus ou susceptibles d’être dus à raison ou postérieurement à la cessation des fonctions de dirigeants de la Société</w:t>
      </w:r>
      <w:r>
        <w:tab/>
      </w:r>
      <w:r>
        <w:fldChar w:fldCharType="begin"/>
      </w:r>
      <w:r>
        <w:instrText xml:space="preserve"> PAGEREF _Toc512863936 \h </w:instrText>
      </w:r>
      <w:r>
        <w:fldChar w:fldCharType="separate"/>
      </w:r>
      <w:r>
        <w:t>139</w:t>
      </w:r>
      <w:r>
        <w:fldChar w:fldCharType="end"/>
      </w:r>
    </w:p>
    <w:p w:rsidR="00F06F79" w:rsidRDefault="00F06F79">
      <w:pPr>
        <w:pStyle w:val="TOC2"/>
        <w:rPr>
          <w:rFonts w:eastAsiaTheme="minorEastAsia" w:cstheme="minorBidi"/>
          <w:b w:val="0"/>
          <w:color w:val="auto"/>
          <w:sz w:val="22"/>
          <w:szCs w:val="22"/>
          <w:lang w:eastAsia="fr-FR"/>
        </w:rPr>
      </w:pPr>
      <w:r w:rsidRPr="009D0846">
        <w:t>15.5</w:t>
      </w:r>
      <w:r>
        <w:rPr>
          <w:rFonts w:eastAsiaTheme="minorEastAsia" w:cstheme="minorBidi"/>
          <w:b w:val="0"/>
          <w:color w:val="auto"/>
          <w:sz w:val="22"/>
          <w:szCs w:val="22"/>
          <w:lang w:eastAsia="fr-FR"/>
        </w:rPr>
        <w:tab/>
      </w:r>
      <w:r w:rsidRPr="009D0846">
        <w:rPr>
          <w:rFonts w:cstheme="minorHAnsi"/>
        </w:rPr>
        <w:t>Prêts et garanties accordés aux dirigeants</w:t>
      </w:r>
      <w:r>
        <w:tab/>
      </w:r>
      <w:r>
        <w:fldChar w:fldCharType="begin"/>
      </w:r>
      <w:r>
        <w:instrText xml:space="preserve"> PAGEREF _Toc512863937 \h </w:instrText>
      </w:r>
      <w:r>
        <w:fldChar w:fldCharType="separate"/>
      </w:r>
      <w:r>
        <w:t>140</w:t>
      </w:r>
      <w:r>
        <w:fldChar w:fldCharType="end"/>
      </w:r>
    </w:p>
    <w:p w:rsidR="00F06F79" w:rsidRDefault="00F06F79">
      <w:pPr>
        <w:pStyle w:val="TOC2"/>
        <w:rPr>
          <w:rFonts w:eastAsiaTheme="minorEastAsia" w:cstheme="minorBidi"/>
          <w:b w:val="0"/>
          <w:color w:val="auto"/>
          <w:sz w:val="22"/>
          <w:szCs w:val="22"/>
          <w:lang w:eastAsia="fr-FR"/>
        </w:rPr>
      </w:pPr>
      <w:r w:rsidRPr="009D0846">
        <w:t>15.6</w:t>
      </w:r>
      <w:r>
        <w:rPr>
          <w:rFonts w:eastAsiaTheme="minorEastAsia" w:cstheme="minorBidi"/>
          <w:b w:val="0"/>
          <w:color w:val="auto"/>
          <w:sz w:val="22"/>
          <w:szCs w:val="22"/>
          <w:lang w:eastAsia="fr-FR"/>
        </w:rPr>
        <w:tab/>
      </w:r>
      <w:r w:rsidRPr="009D0846">
        <w:rPr>
          <w:rFonts w:cstheme="minorHAnsi"/>
        </w:rPr>
        <w:t>Rémunérations et avantages des dirigeants mandataires sociaux exécutifs au titre de l’exercice 2018</w:t>
      </w:r>
      <w:r>
        <w:tab/>
      </w:r>
      <w:r>
        <w:fldChar w:fldCharType="begin"/>
      </w:r>
      <w:r>
        <w:instrText xml:space="preserve"> PAGEREF _Toc512863938 \h </w:instrText>
      </w:r>
      <w:r>
        <w:fldChar w:fldCharType="separate"/>
      </w:r>
      <w:r>
        <w:t>140</w:t>
      </w:r>
      <w:r>
        <w:fldChar w:fldCharType="end"/>
      </w:r>
    </w:p>
    <w:p w:rsidR="00F06F79" w:rsidRDefault="00F06F79">
      <w:pPr>
        <w:pStyle w:val="TOC1"/>
        <w:rPr>
          <w:rFonts w:asciiTheme="minorHAnsi" w:eastAsiaTheme="minorEastAsia" w:hAnsiTheme="minorHAnsi" w:cstheme="minorBidi"/>
          <w:b w:val="0"/>
          <w:sz w:val="22"/>
          <w:szCs w:val="22"/>
          <w:lang w:val="fr-FR" w:eastAsia="fr-FR"/>
        </w:rPr>
      </w:pPr>
      <w:r w:rsidRPr="009D0846">
        <w:rPr>
          <w:rFonts w:asciiTheme="minorHAnsi" w:hAnsiTheme="minorHAnsi"/>
          <w:lang w:val="fr-FR"/>
        </w:rPr>
        <w:t>16.</w:t>
      </w:r>
      <w:r>
        <w:rPr>
          <w:rFonts w:asciiTheme="minorHAnsi" w:eastAsiaTheme="minorEastAsia" w:hAnsiTheme="minorHAnsi" w:cstheme="minorBidi"/>
          <w:b w:val="0"/>
          <w:sz w:val="22"/>
          <w:szCs w:val="22"/>
          <w:lang w:val="fr-FR" w:eastAsia="fr-FR"/>
        </w:rPr>
        <w:tab/>
      </w:r>
      <w:r w:rsidRPr="009D0846">
        <w:rPr>
          <w:rFonts w:asciiTheme="minorHAnsi" w:hAnsiTheme="minorHAnsi" w:cstheme="minorHAnsi"/>
          <w:lang w:val="fr-FR"/>
        </w:rPr>
        <w:t>FONCTIONNEMENT DES ORGANES D’ADMINISTRATION ET DE DIRECTION</w:t>
      </w:r>
      <w:r w:rsidRPr="00F06F79">
        <w:rPr>
          <w:lang w:val="fr-FR"/>
        </w:rPr>
        <w:tab/>
      </w:r>
      <w:r>
        <w:fldChar w:fldCharType="begin"/>
      </w:r>
      <w:r w:rsidRPr="00F06F79">
        <w:rPr>
          <w:lang w:val="fr-FR"/>
        </w:rPr>
        <w:instrText xml:space="preserve"> PAGEREF _Toc512863939 \h </w:instrText>
      </w:r>
      <w:r>
        <w:fldChar w:fldCharType="separate"/>
      </w:r>
      <w:r w:rsidRPr="00F06F79">
        <w:rPr>
          <w:lang w:val="fr-FR"/>
        </w:rPr>
        <w:t>143</w:t>
      </w:r>
      <w:r>
        <w:fldChar w:fldCharType="end"/>
      </w:r>
    </w:p>
    <w:p w:rsidR="00F06F79" w:rsidRDefault="00F06F79">
      <w:pPr>
        <w:pStyle w:val="TOC2"/>
        <w:rPr>
          <w:rFonts w:eastAsiaTheme="minorEastAsia" w:cstheme="minorBidi"/>
          <w:b w:val="0"/>
          <w:color w:val="auto"/>
          <w:sz w:val="22"/>
          <w:szCs w:val="22"/>
          <w:lang w:eastAsia="fr-FR"/>
        </w:rPr>
      </w:pPr>
      <w:r w:rsidRPr="009D0846">
        <w:t>16.1</w:t>
      </w:r>
      <w:r>
        <w:rPr>
          <w:rFonts w:eastAsiaTheme="minorEastAsia" w:cstheme="minorBidi"/>
          <w:b w:val="0"/>
          <w:color w:val="auto"/>
          <w:sz w:val="22"/>
          <w:szCs w:val="22"/>
          <w:lang w:eastAsia="fr-FR"/>
        </w:rPr>
        <w:tab/>
      </w:r>
      <w:r w:rsidRPr="009D0846">
        <w:rPr>
          <w:rFonts w:cstheme="minorHAnsi"/>
        </w:rPr>
        <w:t>Direction de la Société</w:t>
      </w:r>
      <w:r>
        <w:tab/>
      </w:r>
      <w:r>
        <w:fldChar w:fldCharType="begin"/>
      </w:r>
      <w:r>
        <w:instrText xml:space="preserve"> PAGEREF _Toc512863940 \h </w:instrText>
      </w:r>
      <w:r>
        <w:fldChar w:fldCharType="separate"/>
      </w:r>
      <w:r>
        <w:t>143</w:t>
      </w:r>
      <w:r>
        <w:fldChar w:fldCharType="end"/>
      </w:r>
    </w:p>
    <w:p w:rsidR="00F06F79" w:rsidRDefault="00F06F79">
      <w:pPr>
        <w:pStyle w:val="TOC2"/>
        <w:rPr>
          <w:rFonts w:eastAsiaTheme="minorEastAsia" w:cstheme="minorBidi"/>
          <w:b w:val="0"/>
          <w:color w:val="auto"/>
          <w:sz w:val="22"/>
          <w:szCs w:val="22"/>
          <w:lang w:eastAsia="fr-FR"/>
        </w:rPr>
      </w:pPr>
      <w:r w:rsidRPr="009D0846">
        <w:t>16.2</w:t>
      </w:r>
      <w:r>
        <w:rPr>
          <w:rFonts w:eastAsiaTheme="minorEastAsia" w:cstheme="minorBidi"/>
          <w:b w:val="0"/>
          <w:color w:val="auto"/>
          <w:sz w:val="22"/>
          <w:szCs w:val="22"/>
          <w:lang w:eastAsia="fr-FR"/>
        </w:rPr>
        <w:tab/>
      </w:r>
      <w:r w:rsidRPr="009D0846">
        <w:rPr>
          <w:rFonts w:cstheme="minorHAnsi"/>
        </w:rPr>
        <w:t>Informations sur les contrats liant les dirigeants et/ou les administrateurs et la Société</w:t>
      </w:r>
      <w:r>
        <w:tab/>
      </w:r>
      <w:r>
        <w:fldChar w:fldCharType="begin"/>
      </w:r>
      <w:r>
        <w:instrText xml:space="preserve"> PAGEREF _Toc512863941 \h </w:instrText>
      </w:r>
      <w:r>
        <w:fldChar w:fldCharType="separate"/>
      </w:r>
      <w:r>
        <w:t>143</w:t>
      </w:r>
      <w:r>
        <w:fldChar w:fldCharType="end"/>
      </w:r>
    </w:p>
    <w:p w:rsidR="00F06F79" w:rsidRDefault="00F06F79">
      <w:pPr>
        <w:pStyle w:val="TOC2"/>
        <w:rPr>
          <w:rFonts w:eastAsiaTheme="minorEastAsia" w:cstheme="minorBidi"/>
          <w:b w:val="0"/>
          <w:color w:val="auto"/>
          <w:sz w:val="22"/>
          <w:szCs w:val="22"/>
          <w:lang w:eastAsia="fr-FR"/>
        </w:rPr>
      </w:pPr>
      <w:r w:rsidRPr="009D0846">
        <w:t>16.3</w:t>
      </w:r>
      <w:r>
        <w:rPr>
          <w:rFonts w:eastAsiaTheme="minorEastAsia" w:cstheme="minorBidi"/>
          <w:b w:val="0"/>
          <w:color w:val="auto"/>
          <w:sz w:val="22"/>
          <w:szCs w:val="22"/>
          <w:lang w:eastAsia="fr-FR"/>
        </w:rPr>
        <w:tab/>
      </w:r>
      <w:r w:rsidRPr="009D0846">
        <w:rPr>
          <w:rFonts w:cstheme="minorHAnsi"/>
        </w:rPr>
        <w:t>Conseil d’administration et comités spécialisés – Gouvernement d’entreprise</w:t>
      </w:r>
      <w:r>
        <w:tab/>
      </w:r>
      <w:r>
        <w:fldChar w:fldCharType="begin"/>
      </w:r>
      <w:r>
        <w:instrText xml:space="preserve"> PAGEREF _Toc512863942 \h </w:instrText>
      </w:r>
      <w:r>
        <w:fldChar w:fldCharType="separate"/>
      </w:r>
      <w:r>
        <w:t>143</w:t>
      </w:r>
      <w:r>
        <w:fldChar w:fldCharType="end"/>
      </w:r>
    </w:p>
    <w:p w:rsidR="00F06F79" w:rsidRDefault="00F06F79">
      <w:pPr>
        <w:pStyle w:val="TOC2"/>
        <w:rPr>
          <w:rFonts w:eastAsiaTheme="minorEastAsia" w:cstheme="minorBidi"/>
          <w:b w:val="0"/>
          <w:color w:val="auto"/>
          <w:sz w:val="22"/>
          <w:szCs w:val="22"/>
          <w:lang w:eastAsia="fr-FR"/>
        </w:rPr>
      </w:pPr>
      <w:r w:rsidRPr="009D0846">
        <w:t>16.4</w:t>
      </w:r>
      <w:r>
        <w:rPr>
          <w:rFonts w:eastAsiaTheme="minorEastAsia" w:cstheme="minorBidi"/>
          <w:b w:val="0"/>
          <w:color w:val="auto"/>
          <w:sz w:val="22"/>
          <w:szCs w:val="22"/>
          <w:lang w:eastAsia="fr-FR"/>
        </w:rPr>
        <w:tab/>
      </w:r>
      <w:r w:rsidRPr="009D0846">
        <w:rPr>
          <w:rFonts w:cstheme="minorHAnsi"/>
        </w:rPr>
        <w:t>Déclaration relative au gouvernement d’entreprise</w:t>
      </w:r>
      <w:r>
        <w:tab/>
      </w:r>
      <w:r>
        <w:fldChar w:fldCharType="begin"/>
      </w:r>
      <w:r>
        <w:instrText xml:space="preserve"> PAGEREF _Toc512863943 \h </w:instrText>
      </w:r>
      <w:r>
        <w:fldChar w:fldCharType="separate"/>
      </w:r>
      <w:r>
        <w:t>146</w:t>
      </w:r>
      <w:r>
        <w:fldChar w:fldCharType="end"/>
      </w:r>
    </w:p>
    <w:p w:rsidR="00F06F79" w:rsidRDefault="00F06F79">
      <w:pPr>
        <w:pStyle w:val="TOC2"/>
        <w:rPr>
          <w:rFonts w:eastAsiaTheme="minorEastAsia" w:cstheme="minorBidi"/>
          <w:b w:val="0"/>
          <w:color w:val="auto"/>
          <w:sz w:val="22"/>
          <w:szCs w:val="22"/>
          <w:lang w:eastAsia="fr-FR"/>
        </w:rPr>
      </w:pPr>
      <w:r w:rsidRPr="009D0846">
        <w:t>16.5</w:t>
      </w:r>
      <w:r>
        <w:rPr>
          <w:rFonts w:eastAsiaTheme="minorEastAsia" w:cstheme="minorBidi"/>
          <w:b w:val="0"/>
          <w:color w:val="auto"/>
          <w:sz w:val="22"/>
          <w:szCs w:val="22"/>
          <w:lang w:eastAsia="fr-FR"/>
        </w:rPr>
        <w:tab/>
      </w:r>
      <w:r w:rsidRPr="009D0846">
        <w:rPr>
          <w:rFonts w:cstheme="minorHAnsi"/>
        </w:rPr>
        <w:t>Rapport du conseil d’administration sur le gouvernement d’entreprise</w:t>
      </w:r>
      <w:r>
        <w:tab/>
      </w:r>
      <w:r>
        <w:fldChar w:fldCharType="begin"/>
      </w:r>
      <w:r>
        <w:instrText xml:space="preserve"> PAGEREF _Toc512863944 \h </w:instrText>
      </w:r>
      <w:r>
        <w:fldChar w:fldCharType="separate"/>
      </w:r>
      <w:r>
        <w:t>149</w:t>
      </w:r>
      <w:r>
        <w:fldChar w:fldCharType="end"/>
      </w:r>
    </w:p>
    <w:p w:rsidR="00F06F79" w:rsidRDefault="00F06F79">
      <w:pPr>
        <w:pStyle w:val="TOC2"/>
        <w:rPr>
          <w:rFonts w:eastAsiaTheme="minorEastAsia" w:cstheme="minorBidi"/>
          <w:b w:val="0"/>
          <w:color w:val="auto"/>
          <w:sz w:val="22"/>
          <w:szCs w:val="22"/>
          <w:lang w:eastAsia="fr-FR"/>
        </w:rPr>
      </w:pPr>
      <w:r w:rsidRPr="009D0846">
        <w:t>16.6</w:t>
      </w:r>
      <w:r>
        <w:rPr>
          <w:rFonts w:eastAsiaTheme="minorEastAsia" w:cstheme="minorBidi"/>
          <w:b w:val="0"/>
          <w:color w:val="auto"/>
          <w:sz w:val="22"/>
          <w:szCs w:val="22"/>
          <w:lang w:eastAsia="fr-FR"/>
        </w:rPr>
        <w:tab/>
      </w:r>
      <w:r w:rsidRPr="009D0846">
        <w:rPr>
          <w:rFonts w:cstheme="minorHAnsi"/>
        </w:rPr>
        <w:t>Rapport du commissaire aux comptes sur le rapport du conseil d’administration sur le gouvernement d’entreprise</w:t>
      </w:r>
      <w:r>
        <w:tab/>
      </w:r>
      <w:r>
        <w:fldChar w:fldCharType="begin"/>
      </w:r>
      <w:r>
        <w:instrText xml:space="preserve"> PAGEREF _Toc512863945 \h </w:instrText>
      </w:r>
      <w:r>
        <w:fldChar w:fldCharType="separate"/>
      </w:r>
      <w:r>
        <w:t>150</w:t>
      </w:r>
      <w:r>
        <w:fldChar w:fldCharType="end"/>
      </w:r>
    </w:p>
    <w:p w:rsidR="00F06F79" w:rsidRDefault="00F06F79">
      <w:pPr>
        <w:pStyle w:val="TOC1"/>
        <w:rPr>
          <w:rFonts w:asciiTheme="minorHAnsi" w:eastAsiaTheme="minorEastAsia" w:hAnsiTheme="minorHAnsi" w:cstheme="minorBidi"/>
          <w:b w:val="0"/>
          <w:sz w:val="22"/>
          <w:szCs w:val="22"/>
          <w:lang w:val="fr-FR" w:eastAsia="fr-FR"/>
        </w:rPr>
      </w:pPr>
      <w:r w:rsidRPr="009D0846">
        <w:rPr>
          <w:rFonts w:asciiTheme="minorHAnsi" w:hAnsiTheme="minorHAnsi"/>
          <w:lang w:val="fr-FR"/>
        </w:rPr>
        <w:t>17.</w:t>
      </w:r>
      <w:r>
        <w:rPr>
          <w:rFonts w:asciiTheme="minorHAnsi" w:eastAsiaTheme="minorEastAsia" w:hAnsiTheme="minorHAnsi" w:cstheme="minorBidi"/>
          <w:b w:val="0"/>
          <w:sz w:val="22"/>
          <w:szCs w:val="22"/>
          <w:lang w:val="fr-FR" w:eastAsia="fr-FR"/>
        </w:rPr>
        <w:tab/>
      </w:r>
      <w:r w:rsidRPr="009D0846">
        <w:rPr>
          <w:rFonts w:asciiTheme="minorHAnsi" w:hAnsiTheme="minorHAnsi" w:cstheme="minorHAnsi"/>
          <w:lang w:val="fr-FR"/>
        </w:rPr>
        <w:t>SALARIES</w:t>
      </w:r>
      <w:r w:rsidRPr="00F06F79">
        <w:rPr>
          <w:lang w:val="fr-FR"/>
        </w:rPr>
        <w:tab/>
      </w:r>
      <w:r>
        <w:fldChar w:fldCharType="begin"/>
      </w:r>
      <w:r w:rsidRPr="00F06F79">
        <w:rPr>
          <w:lang w:val="fr-FR"/>
        </w:rPr>
        <w:instrText xml:space="preserve"> PAGEREF _Toc512863946 \h </w:instrText>
      </w:r>
      <w:r>
        <w:fldChar w:fldCharType="separate"/>
      </w:r>
      <w:r w:rsidRPr="00F06F79">
        <w:rPr>
          <w:lang w:val="fr-FR"/>
        </w:rPr>
        <w:t>151</w:t>
      </w:r>
      <w:r>
        <w:fldChar w:fldCharType="end"/>
      </w:r>
    </w:p>
    <w:p w:rsidR="00F06F79" w:rsidRDefault="00F06F79">
      <w:pPr>
        <w:pStyle w:val="TOC2"/>
        <w:rPr>
          <w:rFonts w:eastAsiaTheme="minorEastAsia" w:cstheme="minorBidi"/>
          <w:b w:val="0"/>
          <w:color w:val="auto"/>
          <w:sz w:val="22"/>
          <w:szCs w:val="22"/>
          <w:lang w:eastAsia="fr-FR"/>
        </w:rPr>
      </w:pPr>
      <w:r w:rsidRPr="009D0846">
        <w:t>17.1</w:t>
      </w:r>
      <w:r>
        <w:rPr>
          <w:rFonts w:eastAsiaTheme="minorEastAsia" w:cstheme="minorBidi"/>
          <w:b w:val="0"/>
          <w:color w:val="auto"/>
          <w:sz w:val="22"/>
          <w:szCs w:val="22"/>
          <w:lang w:eastAsia="fr-FR"/>
        </w:rPr>
        <w:tab/>
      </w:r>
      <w:r w:rsidRPr="009D0846">
        <w:rPr>
          <w:rFonts w:cstheme="minorHAnsi"/>
        </w:rPr>
        <w:t>Ressources humaines</w:t>
      </w:r>
      <w:r>
        <w:tab/>
      </w:r>
      <w:r>
        <w:fldChar w:fldCharType="begin"/>
      </w:r>
      <w:r>
        <w:instrText xml:space="preserve"> PAGEREF _Toc512863947 \h </w:instrText>
      </w:r>
      <w:r>
        <w:fldChar w:fldCharType="separate"/>
      </w:r>
      <w:r>
        <w:t>151</w:t>
      </w:r>
      <w:r>
        <w:fldChar w:fldCharType="end"/>
      </w:r>
    </w:p>
    <w:p w:rsidR="00F06F79" w:rsidRDefault="00F06F79">
      <w:pPr>
        <w:pStyle w:val="TOC2"/>
        <w:rPr>
          <w:rFonts w:eastAsiaTheme="minorEastAsia" w:cstheme="minorBidi"/>
          <w:b w:val="0"/>
          <w:color w:val="auto"/>
          <w:sz w:val="22"/>
          <w:szCs w:val="22"/>
          <w:lang w:eastAsia="fr-FR"/>
        </w:rPr>
      </w:pPr>
      <w:r w:rsidRPr="009D0846">
        <w:lastRenderedPageBreak/>
        <w:t>17.2</w:t>
      </w:r>
      <w:r>
        <w:rPr>
          <w:rFonts w:eastAsiaTheme="minorEastAsia" w:cstheme="minorBidi"/>
          <w:b w:val="0"/>
          <w:color w:val="auto"/>
          <w:sz w:val="22"/>
          <w:szCs w:val="22"/>
          <w:lang w:eastAsia="fr-FR"/>
        </w:rPr>
        <w:tab/>
      </w:r>
      <w:r w:rsidRPr="009D0846">
        <w:rPr>
          <w:rFonts w:cstheme="minorHAnsi"/>
        </w:rPr>
        <w:t>Participations et stock-options des mandataires sociaux</w:t>
      </w:r>
      <w:r>
        <w:tab/>
      </w:r>
      <w:r>
        <w:fldChar w:fldCharType="begin"/>
      </w:r>
      <w:r>
        <w:instrText xml:space="preserve"> PAGEREF _Toc512863948 \h </w:instrText>
      </w:r>
      <w:r>
        <w:fldChar w:fldCharType="separate"/>
      </w:r>
      <w:r>
        <w:t>152</w:t>
      </w:r>
      <w:r>
        <w:fldChar w:fldCharType="end"/>
      </w:r>
    </w:p>
    <w:p w:rsidR="00F06F79" w:rsidRDefault="00F06F79">
      <w:pPr>
        <w:pStyle w:val="TOC2"/>
        <w:rPr>
          <w:rFonts w:eastAsiaTheme="minorEastAsia" w:cstheme="minorBidi"/>
          <w:b w:val="0"/>
          <w:color w:val="auto"/>
          <w:sz w:val="22"/>
          <w:szCs w:val="22"/>
          <w:lang w:eastAsia="fr-FR"/>
        </w:rPr>
      </w:pPr>
      <w:r w:rsidRPr="009D0846">
        <w:t>17.3</w:t>
      </w:r>
      <w:r>
        <w:rPr>
          <w:rFonts w:eastAsiaTheme="minorEastAsia" w:cstheme="minorBidi"/>
          <w:b w:val="0"/>
          <w:color w:val="auto"/>
          <w:sz w:val="22"/>
          <w:szCs w:val="22"/>
          <w:lang w:eastAsia="fr-FR"/>
        </w:rPr>
        <w:tab/>
      </w:r>
      <w:r w:rsidRPr="009D0846">
        <w:rPr>
          <w:rFonts w:cstheme="minorHAnsi"/>
        </w:rPr>
        <w:t>Participation des salariés dans le capital de la Société</w:t>
      </w:r>
      <w:r>
        <w:tab/>
      </w:r>
      <w:r>
        <w:fldChar w:fldCharType="begin"/>
      </w:r>
      <w:r>
        <w:instrText xml:space="preserve"> PAGEREF _Toc512863949 \h </w:instrText>
      </w:r>
      <w:r>
        <w:fldChar w:fldCharType="separate"/>
      </w:r>
      <w:r>
        <w:t>152</w:t>
      </w:r>
      <w:r>
        <w:fldChar w:fldCharType="end"/>
      </w:r>
    </w:p>
    <w:p w:rsidR="00F06F79" w:rsidRDefault="00F06F79">
      <w:pPr>
        <w:pStyle w:val="TOC2"/>
        <w:rPr>
          <w:rFonts w:eastAsiaTheme="minorEastAsia" w:cstheme="minorBidi"/>
          <w:b w:val="0"/>
          <w:color w:val="auto"/>
          <w:sz w:val="22"/>
          <w:szCs w:val="22"/>
          <w:lang w:eastAsia="fr-FR"/>
        </w:rPr>
      </w:pPr>
      <w:r w:rsidRPr="009D0846">
        <w:t>17.4</w:t>
      </w:r>
      <w:r>
        <w:rPr>
          <w:rFonts w:eastAsiaTheme="minorEastAsia" w:cstheme="minorBidi"/>
          <w:b w:val="0"/>
          <w:color w:val="auto"/>
          <w:sz w:val="22"/>
          <w:szCs w:val="22"/>
          <w:lang w:eastAsia="fr-FR"/>
        </w:rPr>
        <w:tab/>
      </w:r>
      <w:r w:rsidRPr="009D0846">
        <w:rPr>
          <w:rFonts w:cstheme="minorHAnsi"/>
        </w:rPr>
        <w:t>Contrats d’intéressement et de participation</w:t>
      </w:r>
      <w:r>
        <w:tab/>
      </w:r>
      <w:r>
        <w:fldChar w:fldCharType="begin"/>
      </w:r>
      <w:r>
        <w:instrText xml:space="preserve"> PAGEREF _Toc512863950 \h </w:instrText>
      </w:r>
      <w:r>
        <w:fldChar w:fldCharType="separate"/>
      </w:r>
      <w:r>
        <w:t>152</w:t>
      </w:r>
      <w:r>
        <w:fldChar w:fldCharType="end"/>
      </w:r>
    </w:p>
    <w:p w:rsidR="00F06F79" w:rsidRDefault="00F06F79">
      <w:pPr>
        <w:pStyle w:val="TOC1"/>
        <w:rPr>
          <w:rFonts w:asciiTheme="minorHAnsi" w:eastAsiaTheme="minorEastAsia" w:hAnsiTheme="minorHAnsi" w:cstheme="minorBidi"/>
          <w:b w:val="0"/>
          <w:sz w:val="22"/>
          <w:szCs w:val="22"/>
          <w:lang w:val="fr-FR" w:eastAsia="fr-FR"/>
        </w:rPr>
      </w:pPr>
      <w:r w:rsidRPr="009D0846">
        <w:rPr>
          <w:rFonts w:asciiTheme="minorHAnsi" w:hAnsiTheme="minorHAnsi"/>
          <w:lang w:val="fr-FR"/>
        </w:rPr>
        <w:t>18.</w:t>
      </w:r>
      <w:r>
        <w:rPr>
          <w:rFonts w:asciiTheme="minorHAnsi" w:eastAsiaTheme="minorEastAsia" w:hAnsiTheme="minorHAnsi" w:cstheme="minorBidi"/>
          <w:b w:val="0"/>
          <w:sz w:val="22"/>
          <w:szCs w:val="22"/>
          <w:lang w:val="fr-FR" w:eastAsia="fr-FR"/>
        </w:rPr>
        <w:tab/>
      </w:r>
      <w:r w:rsidRPr="009D0846">
        <w:rPr>
          <w:rFonts w:asciiTheme="minorHAnsi" w:hAnsiTheme="minorHAnsi" w:cstheme="minorHAnsi"/>
          <w:lang w:val="fr-FR"/>
        </w:rPr>
        <w:t>PRINCIPAUX ACTIONNAIRES</w:t>
      </w:r>
      <w:r w:rsidRPr="00F06F79">
        <w:rPr>
          <w:lang w:val="fr-FR"/>
        </w:rPr>
        <w:tab/>
      </w:r>
      <w:r>
        <w:fldChar w:fldCharType="begin"/>
      </w:r>
      <w:r w:rsidRPr="00F06F79">
        <w:rPr>
          <w:lang w:val="fr-FR"/>
        </w:rPr>
        <w:instrText xml:space="preserve"> PAGEREF _Toc512863951 \h </w:instrText>
      </w:r>
      <w:r>
        <w:fldChar w:fldCharType="separate"/>
      </w:r>
      <w:r w:rsidRPr="00F06F79">
        <w:rPr>
          <w:lang w:val="fr-FR"/>
        </w:rPr>
        <w:t>153</w:t>
      </w:r>
      <w:r>
        <w:fldChar w:fldCharType="end"/>
      </w:r>
    </w:p>
    <w:p w:rsidR="00F06F79" w:rsidRDefault="00F06F79">
      <w:pPr>
        <w:pStyle w:val="TOC2"/>
        <w:rPr>
          <w:rFonts w:eastAsiaTheme="minorEastAsia" w:cstheme="minorBidi"/>
          <w:b w:val="0"/>
          <w:color w:val="auto"/>
          <w:sz w:val="22"/>
          <w:szCs w:val="22"/>
          <w:lang w:eastAsia="fr-FR"/>
        </w:rPr>
      </w:pPr>
      <w:r w:rsidRPr="009D0846">
        <w:t>18.1</w:t>
      </w:r>
      <w:r>
        <w:rPr>
          <w:rFonts w:eastAsiaTheme="minorEastAsia" w:cstheme="minorBidi"/>
          <w:b w:val="0"/>
          <w:color w:val="auto"/>
          <w:sz w:val="22"/>
          <w:szCs w:val="22"/>
          <w:lang w:eastAsia="fr-FR"/>
        </w:rPr>
        <w:tab/>
      </w:r>
      <w:r w:rsidRPr="009D0846">
        <w:rPr>
          <w:rFonts w:cstheme="minorHAnsi"/>
          <w:spacing w:val="-2"/>
        </w:rPr>
        <w:t>Répartition du capital et des droits de vote</w:t>
      </w:r>
      <w:r>
        <w:tab/>
      </w:r>
      <w:r>
        <w:fldChar w:fldCharType="begin"/>
      </w:r>
      <w:r>
        <w:instrText xml:space="preserve"> PAGEREF _Toc512863952 \h </w:instrText>
      </w:r>
      <w:r>
        <w:fldChar w:fldCharType="separate"/>
      </w:r>
      <w:r>
        <w:t>153</w:t>
      </w:r>
      <w:r>
        <w:fldChar w:fldCharType="end"/>
      </w:r>
    </w:p>
    <w:p w:rsidR="00F06F79" w:rsidRDefault="00F06F79">
      <w:pPr>
        <w:pStyle w:val="TOC2"/>
        <w:rPr>
          <w:rFonts w:eastAsiaTheme="minorEastAsia" w:cstheme="minorBidi"/>
          <w:b w:val="0"/>
          <w:color w:val="auto"/>
          <w:sz w:val="22"/>
          <w:szCs w:val="22"/>
          <w:lang w:eastAsia="fr-FR"/>
        </w:rPr>
      </w:pPr>
      <w:r w:rsidRPr="009D0846">
        <w:t>18.2</w:t>
      </w:r>
      <w:r>
        <w:rPr>
          <w:rFonts w:eastAsiaTheme="minorEastAsia" w:cstheme="minorBidi"/>
          <w:b w:val="0"/>
          <w:color w:val="auto"/>
          <w:sz w:val="22"/>
          <w:szCs w:val="22"/>
          <w:lang w:eastAsia="fr-FR"/>
        </w:rPr>
        <w:tab/>
      </w:r>
      <w:r w:rsidRPr="009D0846">
        <w:rPr>
          <w:rFonts w:cstheme="minorHAnsi"/>
        </w:rPr>
        <w:t>Droits de vote des principaux actionnaires</w:t>
      </w:r>
      <w:r>
        <w:tab/>
      </w:r>
      <w:r>
        <w:fldChar w:fldCharType="begin"/>
      </w:r>
      <w:r>
        <w:instrText xml:space="preserve"> PAGEREF _Toc512863953 \h </w:instrText>
      </w:r>
      <w:r>
        <w:fldChar w:fldCharType="separate"/>
      </w:r>
      <w:r>
        <w:t>155</w:t>
      </w:r>
      <w:r>
        <w:fldChar w:fldCharType="end"/>
      </w:r>
    </w:p>
    <w:p w:rsidR="00F06F79" w:rsidRDefault="00F06F79">
      <w:pPr>
        <w:pStyle w:val="TOC2"/>
        <w:rPr>
          <w:rFonts w:eastAsiaTheme="minorEastAsia" w:cstheme="minorBidi"/>
          <w:b w:val="0"/>
          <w:color w:val="auto"/>
          <w:sz w:val="22"/>
          <w:szCs w:val="22"/>
          <w:lang w:eastAsia="fr-FR"/>
        </w:rPr>
      </w:pPr>
      <w:r w:rsidRPr="009D0846">
        <w:t>18.3</w:t>
      </w:r>
      <w:r>
        <w:rPr>
          <w:rFonts w:eastAsiaTheme="minorEastAsia" w:cstheme="minorBidi"/>
          <w:b w:val="0"/>
          <w:color w:val="auto"/>
          <w:sz w:val="22"/>
          <w:szCs w:val="22"/>
          <w:lang w:eastAsia="fr-FR"/>
        </w:rPr>
        <w:tab/>
      </w:r>
      <w:r w:rsidRPr="009D0846">
        <w:rPr>
          <w:rFonts w:cstheme="minorHAnsi"/>
        </w:rPr>
        <w:t>Contrôle de la Société</w:t>
      </w:r>
      <w:r>
        <w:tab/>
      </w:r>
      <w:r>
        <w:fldChar w:fldCharType="begin"/>
      </w:r>
      <w:r>
        <w:instrText xml:space="preserve"> PAGEREF _Toc512863954 \h </w:instrText>
      </w:r>
      <w:r>
        <w:fldChar w:fldCharType="separate"/>
      </w:r>
      <w:r>
        <w:t>156</w:t>
      </w:r>
      <w:r>
        <w:fldChar w:fldCharType="end"/>
      </w:r>
    </w:p>
    <w:p w:rsidR="00F06F79" w:rsidRDefault="00F06F79">
      <w:pPr>
        <w:pStyle w:val="TOC2"/>
        <w:rPr>
          <w:rFonts w:eastAsiaTheme="minorEastAsia" w:cstheme="minorBidi"/>
          <w:b w:val="0"/>
          <w:color w:val="auto"/>
          <w:sz w:val="22"/>
          <w:szCs w:val="22"/>
          <w:lang w:eastAsia="fr-FR"/>
        </w:rPr>
      </w:pPr>
      <w:r w:rsidRPr="009D0846">
        <w:t>18.4</w:t>
      </w:r>
      <w:r>
        <w:rPr>
          <w:rFonts w:eastAsiaTheme="minorEastAsia" w:cstheme="minorBidi"/>
          <w:b w:val="0"/>
          <w:color w:val="auto"/>
          <w:sz w:val="22"/>
          <w:szCs w:val="22"/>
          <w:lang w:eastAsia="fr-FR"/>
        </w:rPr>
        <w:tab/>
      </w:r>
      <w:r w:rsidRPr="009D0846">
        <w:rPr>
          <w:rFonts w:cstheme="minorHAnsi"/>
        </w:rPr>
        <w:t>Accords pouvant entraîner un changement de contrôle</w:t>
      </w:r>
      <w:r>
        <w:tab/>
      </w:r>
      <w:r>
        <w:fldChar w:fldCharType="begin"/>
      </w:r>
      <w:r>
        <w:instrText xml:space="preserve"> PAGEREF _Toc512863955 \h </w:instrText>
      </w:r>
      <w:r>
        <w:fldChar w:fldCharType="separate"/>
      </w:r>
      <w:r>
        <w:t>156</w:t>
      </w:r>
      <w:r>
        <w:fldChar w:fldCharType="end"/>
      </w:r>
    </w:p>
    <w:p w:rsidR="00F06F79" w:rsidRDefault="00F06F79">
      <w:pPr>
        <w:pStyle w:val="TOC2"/>
        <w:rPr>
          <w:rFonts w:eastAsiaTheme="minorEastAsia" w:cstheme="minorBidi"/>
          <w:b w:val="0"/>
          <w:color w:val="auto"/>
          <w:sz w:val="22"/>
          <w:szCs w:val="22"/>
          <w:lang w:eastAsia="fr-FR"/>
        </w:rPr>
      </w:pPr>
      <w:r w:rsidRPr="009D0846">
        <w:t>18.5</w:t>
      </w:r>
      <w:r>
        <w:rPr>
          <w:rFonts w:eastAsiaTheme="minorEastAsia" w:cstheme="minorBidi"/>
          <w:b w:val="0"/>
          <w:color w:val="auto"/>
          <w:sz w:val="22"/>
          <w:szCs w:val="22"/>
          <w:lang w:eastAsia="fr-FR"/>
        </w:rPr>
        <w:tab/>
      </w:r>
      <w:r w:rsidRPr="009D0846">
        <w:rPr>
          <w:rFonts w:cstheme="minorHAnsi"/>
        </w:rPr>
        <w:t>Etat des nantissements d’actions de la Société</w:t>
      </w:r>
      <w:r>
        <w:tab/>
      </w:r>
      <w:r>
        <w:fldChar w:fldCharType="begin"/>
      </w:r>
      <w:r>
        <w:instrText xml:space="preserve"> PAGEREF _Toc512863956 \h </w:instrText>
      </w:r>
      <w:r>
        <w:fldChar w:fldCharType="separate"/>
      </w:r>
      <w:r>
        <w:t>156</w:t>
      </w:r>
      <w:r>
        <w:fldChar w:fldCharType="end"/>
      </w:r>
    </w:p>
    <w:p w:rsidR="00F06F79" w:rsidRDefault="00F06F79">
      <w:pPr>
        <w:pStyle w:val="TOC2"/>
        <w:rPr>
          <w:rFonts w:eastAsiaTheme="minorEastAsia" w:cstheme="minorBidi"/>
          <w:b w:val="0"/>
          <w:color w:val="auto"/>
          <w:sz w:val="22"/>
          <w:szCs w:val="22"/>
          <w:lang w:eastAsia="fr-FR"/>
        </w:rPr>
      </w:pPr>
      <w:r w:rsidRPr="009D0846">
        <w:t>18.6</w:t>
      </w:r>
      <w:r>
        <w:rPr>
          <w:rFonts w:eastAsiaTheme="minorEastAsia" w:cstheme="minorBidi"/>
          <w:b w:val="0"/>
          <w:color w:val="auto"/>
          <w:sz w:val="22"/>
          <w:szCs w:val="22"/>
          <w:lang w:eastAsia="fr-FR"/>
        </w:rPr>
        <w:tab/>
      </w:r>
      <w:r w:rsidRPr="009D0846">
        <w:rPr>
          <w:rFonts w:cstheme="minorHAnsi"/>
        </w:rPr>
        <w:t>Etat récapitulatif des opérations réalisées par les personnes mentionnées à l’article L. 621-18-2 du Code Monétaire et Financier sur les titres de la Société par les dirigeants</w:t>
      </w:r>
      <w:r>
        <w:tab/>
      </w:r>
      <w:r>
        <w:fldChar w:fldCharType="begin"/>
      </w:r>
      <w:r>
        <w:instrText xml:space="preserve"> PAGEREF _Toc512863957 \h </w:instrText>
      </w:r>
      <w:r>
        <w:fldChar w:fldCharType="separate"/>
      </w:r>
      <w:r>
        <w:t>156</w:t>
      </w:r>
      <w:r>
        <w:fldChar w:fldCharType="end"/>
      </w:r>
    </w:p>
    <w:p w:rsidR="00F06F79" w:rsidRDefault="00F06F79">
      <w:pPr>
        <w:pStyle w:val="TOC2"/>
        <w:rPr>
          <w:rFonts w:eastAsiaTheme="minorEastAsia" w:cstheme="minorBidi"/>
          <w:b w:val="0"/>
          <w:color w:val="auto"/>
          <w:sz w:val="22"/>
          <w:szCs w:val="22"/>
          <w:lang w:eastAsia="fr-FR"/>
        </w:rPr>
      </w:pPr>
      <w:r w:rsidRPr="009D0846">
        <w:t>18.7</w:t>
      </w:r>
      <w:r>
        <w:rPr>
          <w:rFonts w:eastAsiaTheme="minorEastAsia" w:cstheme="minorBidi"/>
          <w:b w:val="0"/>
          <w:color w:val="auto"/>
          <w:sz w:val="22"/>
          <w:szCs w:val="22"/>
          <w:lang w:eastAsia="fr-FR"/>
        </w:rPr>
        <w:tab/>
      </w:r>
      <w:r w:rsidRPr="009D0846">
        <w:rPr>
          <w:rFonts w:cstheme="minorHAnsi"/>
        </w:rPr>
        <w:t>Franchissement de seuils</w:t>
      </w:r>
      <w:r>
        <w:tab/>
      </w:r>
      <w:r>
        <w:fldChar w:fldCharType="begin"/>
      </w:r>
      <w:r>
        <w:instrText xml:space="preserve"> PAGEREF _Toc512863958 \h </w:instrText>
      </w:r>
      <w:r>
        <w:fldChar w:fldCharType="separate"/>
      </w:r>
      <w:r>
        <w:t>156</w:t>
      </w:r>
      <w:r>
        <w:fldChar w:fldCharType="end"/>
      </w:r>
    </w:p>
    <w:p w:rsidR="00F06F79" w:rsidRDefault="00F06F79">
      <w:pPr>
        <w:pStyle w:val="TOC2"/>
        <w:rPr>
          <w:rFonts w:eastAsiaTheme="minorEastAsia" w:cstheme="minorBidi"/>
          <w:b w:val="0"/>
          <w:color w:val="auto"/>
          <w:sz w:val="22"/>
          <w:szCs w:val="22"/>
          <w:lang w:eastAsia="fr-FR"/>
        </w:rPr>
      </w:pPr>
      <w:r w:rsidRPr="009D0846">
        <w:t>18.8</w:t>
      </w:r>
      <w:r>
        <w:rPr>
          <w:rFonts w:eastAsiaTheme="minorEastAsia" w:cstheme="minorBidi"/>
          <w:b w:val="0"/>
          <w:color w:val="auto"/>
          <w:sz w:val="22"/>
          <w:szCs w:val="22"/>
          <w:lang w:eastAsia="fr-FR"/>
        </w:rPr>
        <w:tab/>
      </w:r>
      <w:r w:rsidRPr="009D0846">
        <w:rPr>
          <w:rFonts w:cstheme="minorHAnsi"/>
        </w:rPr>
        <w:t>Evolution du titre</w:t>
      </w:r>
      <w:r>
        <w:tab/>
      </w:r>
      <w:r>
        <w:fldChar w:fldCharType="begin"/>
      </w:r>
      <w:r>
        <w:instrText xml:space="preserve"> PAGEREF _Toc512863959 \h </w:instrText>
      </w:r>
      <w:r>
        <w:fldChar w:fldCharType="separate"/>
      </w:r>
      <w:r>
        <w:t>156</w:t>
      </w:r>
      <w:r>
        <w:fldChar w:fldCharType="end"/>
      </w:r>
    </w:p>
    <w:p w:rsidR="00F06F79" w:rsidRDefault="00F06F79">
      <w:pPr>
        <w:pStyle w:val="TOC1"/>
        <w:rPr>
          <w:rFonts w:asciiTheme="minorHAnsi" w:eastAsiaTheme="minorEastAsia" w:hAnsiTheme="minorHAnsi" w:cstheme="minorBidi"/>
          <w:b w:val="0"/>
          <w:sz w:val="22"/>
          <w:szCs w:val="22"/>
          <w:lang w:val="fr-FR" w:eastAsia="fr-FR"/>
        </w:rPr>
      </w:pPr>
      <w:r w:rsidRPr="009D0846">
        <w:rPr>
          <w:rFonts w:asciiTheme="minorHAnsi" w:hAnsiTheme="minorHAnsi"/>
          <w:lang w:val="fr-FR"/>
        </w:rPr>
        <w:t>19.</w:t>
      </w:r>
      <w:r>
        <w:rPr>
          <w:rFonts w:asciiTheme="minorHAnsi" w:eastAsiaTheme="minorEastAsia" w:hAnsiTheme="minorHAnsi" w:cstheme="minorBidi"/>
          <w:b w:val="0"/>
          <w:sz w:val="22"/>
          <w:szCs w:val="22"/>
          <w:lang w:val="fr-FR" w:eastAsia="fr-FR"/>
        </w:rPr>
        <w:tab/>
      </w:r>
      <w:r w:rsidRPr="009D0846">
        <w:rPr>
          <w:rFonts w:asciiTheme="minorHAnsi" w:hAnsiTheme="minorHAnsi" w:cstheme="minorHAnsi"/>
          <w:lang w:val="fr-FR"/>
        </w:rPr>
        <w:t>OPERATIONS AVEC DES APPARENTES</w:t>
      </w:r>
      <w:r w:rsidRPr="00F06F79">
        <w:rPr>
          <w:lang w:val="fr-FR"/>
        </w:rPr>
        <w:tab/>
      </w:r>
      <w:r>
        <w:fldChar w:fldCharType="begin"/>
      </w:r>
      <w:r w:rsidRPr="00F06F79">
        <w:rPr>
          <w:lang w:val="fr-FR"/>
        </w:rPr>
        <w:instrText xml:space="preserve"> PAGEREF _Toc512863960 \h </w:instrText>
      </w:r>
      <w:r>
        <w:fldChar w:fldCharType="separate"/>
      </w:r>
      <w:r w:rsidRPr="00F06F79">
        <w:rPr>
          <w:lang w:val="fr-FR"/>
        </w:rPr>
        <w:t>158</w:t>
      </w:r>
      <w:r>
        <w:fldChar w:fldCharType="end"/>
      </w:r>
    </w:p>
    <w:p w:rsidR="00F06F79" w:rsidRDefault="00F06F79">
      <w:pPr>
        <w:pStyle w:val="TOC2"/>
        <w:rPr>
          <w:rFonts w:eastAsiaTheme="minorEastAsia" w:cstheme="minorBidi"/>
          <w:b w:val="0"/>
          <w:color w:val="auto"/>
          <w:sz w:val="22"/>
          <w:szCs w:val="22"/>
          <w:lang w:eastAsia="fr-FR"/>
        </w:rPr>
      </w:pPr>
      <w:r w:rsidRPr="009D0846">
        <w:t>19.1</w:t>
      </w:r>
      <w:r>
        <w:rPr>
          <w:rFonts w:eastAsiaTheme="minorEastAsia" w:cstheme="minorBidi"/>
          <w:b w:val="0"/>
          <w:color w:val="auto"/>
          <w:sz w:val="22"/>
          <w:szCs w:val="22"/>
          <w:lang w:eastAsia="fr-FR"/>
        </w:rPr>
        <w:tab/>
      </w:r>
      <w:r w:rsidRPr="009D0846">
        <w:rPr>
          <w:rFonts w:cstheme="minorHAnsi"/>
        </w:rPr>
        <w:t>Convention intra-groupe</w:t>
      </w:r>
      <w:r>
        <w:tab/>
      </w:r>
      <w:r>
        <w:fldChar w:fldCharType="begin"/>
      </w:r>
      <w:r>
        <w:instrText xml:space="preserve"> PAGEREF _Toc512863961 \h </w:instrText>
      </w:r>
      <w:r>
        <w:fldChar w:fldCharType="separate"/>
      </w:r>
      <w:r>
        <w:t>158</w:t>
      </w:r>
      <w:r>
        <w:fldChar w:fldCharType="end"/>
      </w:r>
    </w:p>
    <w:p w:rsidR="00F06F79" w:rsidRDefault="00F06F79">
      <w:pPr>
        <w:pStyle w:val="TOC2"/>
        <w:rPr>
          <w:rFonts w:eastAsiaTheme="minorEastAsia" w:cstheme="minorBidi"/>
          <w:b w:val="0"/>
          <w:color w:val="auto"/>
          <w:sz w:val="22"/>
          <w:szCs w:val="22"/>
          <w:lang w:eastAsia="fr-FR"/>
        </w:rPr>
      </w:pPr>
      <w:r w:rsidRPr="009D0846">
        <w:t>19.2</w:t>
      </w:r>
      <w:r>
        <w:rPr>
          <w:rFonts w:eastAsiaTheme="minorEastAsia" w:cstheme="minorBidi"/>
          <w:b w:val="0"/>
          <w:color w:val="auto"/>
          <w:sz w:val="22"/>
          <w:szCs w:val="22"/>
          <w:lang w:eastAsia="fr-FR"/>
        </w:rPr>
        <w:tab/>
      </w:r>
      <w:r w:rsidRPr="009D0846">
        <w:rPr>
          <w:rFonts w:cstheme="minorHAnsi"/>
        </w:rPr>
        <w:t>Opérations avec les apparentés</w:t>
      </w:r>
      <w:r>
        <w:tab/>
      </w:r>
      <w:r>
        <w:fldChar w:fldCharType="begin"/>
      </w:r>
      <w:r>
        <w:instrText xml:space="preserve"> PAGEREF _Toc512863962 \h </w:instrText>
      </w:r>
      <w:r>
        <w:fldChar w:fldCharType="separate"/>
      </w:r>
      <w:r>
        <w:t>158</w:t>
      </w:r>
      <w:r>
        <w:fldChar w:fldCharType="end"/>
      </w:r>
    </w:p>
    <w:p w:rsidR="00F06F79" w:rsidRDefault="00F06F79">
      <w:pPr>
        <w:pStyle w:val="TOC2"/>
        <w:rPr>
          <w:rFonts w:eastAsiaTheme="minorEastAsia" w:cstheme="minorBidi"/>
          <w:b w:val="0"/>
          <w:color w:val="auto"/>
          <w:sz w:val="22"/>
          <w:szCs w:val="22"/>
          <w:lang w:eastAsia="fr-FR"/>
        </w:rPr>
      </w:pPr>
      <w:r w:rsidRPr="009D0846">
        <w:t>19.3</w:t>
      </w:r>
      <w:r>
        <w:rPr>
          <w:rFonts w:eastAsiaTheme="minorEastAsia" w:cstheme="minorBidi"/>
          <w:b w:val="0"/>
          <w:color w:val="auto"/>
          <w:sz w:val="22"/>
          <w:szCs w:val="22"/>
          <w:lang w:eastAsia="fr-FR"/>
        </w:rPr>
        <w:tab/>
      </w:r>
      <w:r w:rsidRPr="009D0846">
        <w:rPr>
          <w:rFonts w:cstheme="minorHAnsi"/>
        </w:rPr>
        <w:t>Rapports spéciaux des commissaires aux comptes établis au titre des exercices clos le 31 décembre 2017</w:t>
      </w:r>
      <w:r>
        <w:tab/>
      </w:r>
      <w:r>
        <w:fldChar w:fldCharType="begin"/>
      </w:r>
      <w:r>
        <w:instrText xml:space="preserve"> PAGEREF _Toc512863963 \h </w:instrText>
      </w:r>
      <w:r>
        <w:fldChar w:fldCharType="separate"/>
      </w:r>
      <w:r>
        <w:t>159</w:t>
      </w:r>
      <w:r>
        <w:fldChar w:fldCharType="end"/>
      </w:r>
    </w:p>
    <w:p w:rsidR="00F06F79" w:rsidRDefault="00F06F79">
      <w:pPr>
        <w:pStyle w:val="TOC1"/>
        <w:rPr>
          <w:rFonts w:asciiTheme="minorHAnsi" w:eastAsiaTheme="minorEastAsia" w:hAnsiTheme="minorHAnsi" w:cstheme="minorBidi"/>
          <w:b w:val="0"/>
          <w:sz w:val="22"/>
          <w:szCs w:val="22"/>
          <w:lang w:val="fr-FR" w:eastAsia="fr-FR"/>
        </w:rPr>
      </w:pPr>
      <w:r w:rsidRPr="009D0846">
        <w:rPr>
          <w:rFonts w:asciiTheme="minorHAnsi" w:hAnsiTheme="minorHAnsi"/>
          <w:lang w:val="fr-FR"/>
        </w:rPr>
        <w:t>20.</w:t>
      </w:r>
      <w:r>
        <w:rPr>
          <w:rFonts w:asciiTheme="minorHAnsi" w:eastAsiaTheme="minorEastAsia" w:hAnsiTheme="minorHAnsi" w:cstheme="minorBidi"/>
          <w:b w:val="0"/>
          <w:sz w:val="22"/>
          <w:szCs w:val="22"/>
          <w:lang w:val="fr-FR" w:eastAsia="fr-FR"/>
        </w:rPr>
        <w:tab/>
      </w:r>
      <w:r w:rsidRPr="009D0846">
        <w:rPr>
          <w:rFonts w:asciiTheme="minorHAnsi" w:hAnsiTheme="minorHAnsi" w:cstheme="minorHAnsi"/>
          <w:lang w:val="fr-FR"/>
        </w:rPr>
        <w:t>INFORMATIONS FINANCIERES</w:t>
      </w:r>
      <w:r w:rsidRPr="00F06F79">
        <w:rPr>
          <w:lang w:val="fr-FR"/>
        </w:rPr>
        <w:tab/>
      </w:r>
      <w:r>
        <w:fldChar w:fldCharType="begin"/>
      </w:r>
      <w:r w:rsidRPr="00F06F79">
        <w:rPr>
          <w:lang w:val="fr-FR"/>
        </w:rPr>
        <w:instrText xml:space="preserve"> PAGEREF _Toc512863964 \h </w:instrText>
      </w:r>
      <w:r>
        <w:fldChar w:fldCharType="separate"/>
      </w:r>
      <w:r w:rsidRPr="00F06F79">
        <w:rPr>
          <w:lang w:val="fr-FR"/>
        </w:rPr>
        <w:t>161</w:t>
      </w:r>
      <w:r>
        <w:fldChar w:fldCharType="end"/>
      </w:r>
    </w:p>
    <w:p w:rsidR="00F06F79" w:rsidRDefault="00F06F79">
      <w:pPr>
        <w:pStyle w:val="TOC2"/>
        <w:rPr>
          <w:rFonts w:eastAsiaTheme="minorEastAsia" w:cstheme="minorBidi"/>
          <w:b w:val="0"/>
          <w:color w:val="auto"/>
          <w:sz w:val="22"/>
          <w:szCs w:val="22"/>
          <w:lang w:eastAsia="fr-FR"/>
        </w:rPr>
      </w:pPr>
      <w:r w:rsidRPr="009D0846">
        <w:t>20.1</w:t>
      </w:r>
      <w:r>
        <w:rPr>
          <w:rFonts w:eastAsiaTheme="minorEastAsia" w:cstheme="minorBidi"/>
          <w:b w:val="0"/>
          <w:color w:val="auto"/>
          <w:sz w:val="22"/>
          <w:szCs w:val="22"/>
          <w:lang w:eastAsia="fr-FR"/>
        </w:rPr>
        <w:tab/>
      </w:r>
      <w:r w:rsidRPr="009D0846">
        <w:rPr>
          <w:rFonts w:cstheme="minorHAnsi"/>
        </w:rPr>
        <w:t>Informations financières historiques</w:t>
      </w:r>
      <w:r>
        <w:tab/>
      </w:r>
      <w:r>
        <w:fldChar w:fldCharType="begin"/>
      </w:r>
      <w:r>
        <w:instrText xml:space="preserve"> PAGEREF _Toc512863965 \h </w:instrText>
      </w:r>
      <w:r>
        <w:fldChar w:fldCharType="separate"/>
      </w:r>
      <w:r>
        <w:t>161</w:t>
      </w:r>
      <w:r>
        <w:fldChar w:fldCharType="end"/>
      </w:r>
    </w:p>
    <w:p w:rsidR="00F06F79" w:rsidRDefault="00F06F79">
      <w:pPr>
        <w:pStyle w:val="TOC2"/>
        <w:rPr>
          <w:rFonts w:eastAsiaTheme="minorEastAsia" w:cstheme="minorBidi"/>
          <w:b w:val="0"/>
          <w:color w:val="auto"/>
          <w:sz w:val="22"/>
          <w:szCs w:val="22"/>
          <w:lang w:eastAsia="fr-FR"/>
        </w:rPr>
      </w:pPr>
      <w:r w:rsidRPr="009D0846">
        <w:t>20.2</w:t>
      </w:r>
      <w:r>
        <w:rPr>
          <w:rFonts w:eastAsiaTheme="minorEastAsia" w:cstheme="minorBidi"/>
          <w:b w:val="0"/>
          <w:color w:val="auto"/>
          <w:sz w:val="22"/>
          <w:szCs w:val="22"/>
          <w:lang w:eastAsia="fr-FR"/>
        </w:rPr>
        <w:tab/>
      </w:r>
      <w:r w:rsidRPr="009D0846">
        <w:rPr>
          <w:rFonts w:cstheme="minorHAnsi"/>
        </w:rPr>
        <w:t>Vérification des informations financières historiques annuelles</w:t>
      </w:r>
      <w:r>
        <w:tab/>
      </w:r>
      <w:r>
        <w:fldChar w:fldCharType="begin"/>
      </w:r>
      <w:r>
        <w:instrText xml:space="preserve"> PAGEREF _Toc512863966 \h </w:instrText>
      </w:r>
      <w:r>
        <w:fldChar w:fldCharType="separate"/>
      </w:r>
      <w:r>
        <w:t>191</w:t>
      </w:r>
      <w:r>
        <w:fldChar w:fldCharType="end"/>
      </w:r>
    </w:p>
    <w:p w:rsidR="00F06F79" w:rsidRDefault="00F06F79">
      <w:pPr>
        <w:pStyle w:val="TOC2"/>
        <w:rPr>
          <w:rFonts w:eastAsiaTheme="minorEastAsia" w:cstheme="minorBidi"/>
          <w:b w:val="0"/>
          <w:color w:val="auto"/>
          <w:sz w:val="22"/>
          <w:szCs w:val="22"/>
          <w:lang w:eastAsia="fr-FR"/>
        </w:rPr>
      </w:pPr>
      <w:r w:rsidRPr="009D0846">
        <w:t>20.3</w:t>
      </w:r>
      <w:r>
        <w:rPr>
          <w:rFonts w:eastAsiaTheme="minorEastAsia" w:cstheme="minorBidi"/>
          <w:b w:val="0"/>
          <w:color w:val="auto"/>
          <w:sz w:val="22"/>
          <w:szCs w:val="22"/>
          <w:lang w:eastAsia="fr-FR"/>
        </w:rPr>
        <w:tab/>
      </w:r>
      <w:r w:rsidRPr="009D0846">
        <w:rPr>
          <w:rFonts w:cstheme="minorHAnsi"/>
        </w:rPr>
        <w:t>Date des dernières informations financières</w:t>
      </w:r>
      <w:r>
        <w:tab/>
      </w:r>
      <w:r>
        <w:fldChar w:fldCharType="begin"/>
      </w:r>
      <w:r>
        <w:instrText xml:space="preserve"> PAGEREF _Toc512863967 \h </w:instrText>
      </w:r>
      <w:r>
        <w:fldChar w:fldCharType="separate"/>
      </w:r>
      <w:r>
        <w:t>198</w:t>
      </w:r>
      <w:r>
        <w:fldChar w:fldCharType="end"/>
      </w:r>
    </w:p>
    <w:p w:rsidR="00F06F79" w:rsidRDefault="00F06F79">
      <w:pPr>
        <w:pStyle w:val="TOC2"/>
        <w:rPr>
          <w:rFonts w:eastAsiaTheme="minorEastAsia" w:cstheme="minorBidi"/>
          <w:b w:val="0"/>
          <w:color w:val="auto"/>
          <w:sz w:val="22"/>
          <w:szCs w:val="22"/>
          <w:lang w:eastAsia="fr-FR"/>
        </w:rPr>
      </w:pPr>
      <w:r w:rsidRPr="009D0846">
        <w:t>20.4</w:t>
      </w:r>
      <w:r>
        <w:rPr>
          <w:rFonts w:eastAsiaTheme="minorEastAsia" w:cstheme="minorBidi"/>
          <w:b w:val="0"/>
          <w:color w:val="auto"/>
          <w:sz w:val="22"/>
          <w:szCs w:val="22"/>
          <w:lang w:eastAsia="fr-FR"/>
        </w:rPr>
        <w:tab/>
      </w:r>
      <w:r w:rsidRPr="009D0846">
        <w:rPr>
          <w:rFonts w:cstheme="minorHAnsi"/>
        </w:rPr>
        <w:t>Politique de distribution des dividendes</w:t>
      </w:r>
      <w:r>
        <w:tab/>
      </w:r>
      <w:r>
        <w:fldChar w:fldCharType="begin"/>
      </w:r>
      <w:r>
        <w:instrText xml:space="preserve"> PAGEREF _Toc512863968 \h </w:instrText>
      </w:r>
      <w:r>
        <w:fldChar w:fldCharType="separate"/>
      </w:r>
      <w:r>
        <w:t>198</w:t>
      </w:r>
      <w:r>
        <w:fldChar w:fldCharType="end"/>
      </w:r>
    </w:p>
    <w:p w:rsidR="00F06F79" w:rsidRDefault="00F06F79">
      <w:pPr>
        <w:pStyle w:val="TOC2"/>
        <w:rPr>
          <w:rFonts w:eastAsiaTheme="minorEastAsia" w:cstheme="minorBidi"/>
          <w:b w:val="0"/>
          <w:color w:val="auto"/>
          <w:sz w:val="22"/>
          <w:szCs w:val="22"/>
          <w:lang w:eastAsia="fr-FR"/>
        </w:rPr>
      </w:pPr>
      <w:r w:rsidRPr="009D0846">
        <w:t>20.5</w:t>
      </w:r>
      <w:r>
        <w:rPr>
          <w:rFonts w:eastAsiaTheme="minorEastAsia" w:cstheme="minorBidi"/>
          <w:b w:val="0"/>
          <w:color w:val="auto"/>
          <w:sz w:val="22"/>
          <w:szCs w:val="22"/>
          <w:lang w:eastAsia="fr-FR"/>
        </w:rPr>
        <w:tab/>
      </w:r>
      <w:r w:rsidRPr="009D0846">
        <w:rPr>
          <w:rFonts w:cstheme="minorHAnsi"/>
        </w:rPr>
        <w:t>Tableau des résultats des exercices clos depuis la constitution de la société</w:t>
      </w:r>
      <w:r>
        <w:tab/>
      </w:r>
      <w:r>
        <w:fldChar w:fldCharType="begin"/>
      </w:r>
      <w:r>
        <w:instrText xml:space="preserve"> PAGEREF _Toc512863969 \h </w:instrText>
      </w:r>
      <w:r>
        <w:fldChar w:fldCharType="separate"/>
      </w:r>
      <w:r>
        <w:t>198</w:t>
      </w:r>
      <w:r>
        <w:fldChar w:fldCharType="end"/>
      </w:r>
    </w:p>
    <w:p w:rsidR="00F06F79" w:rsidRDefault="00F06F79">
      <w:pPr>
        <w:pStyle w:val="TOC2"/>
        <w:rPr>
          <w:rFonts w:eastAsiaTheme="minorEastAsia" w:cstheme="minorBidi"/>
          <w:b w:val="0"/>
          <w:color w:val="auto"/>
          <w:sz w:val="22"/>
          <w:szCs w:val="22"/>
          <w:lang w:eastAsia="fr-FR"/>
        </w:rPr>
      </w:pPr>
      <w:r w:rsidRPr="009D0846">
        <w:t>20.6</w:t>
      </w:r>
      <w:r>
        <w:rPr>
          <w:rFonts w:eastAsiaTheme="minorEastAsia" w:cstheme="minorBidi"/>
          <w:b w:val="0"/>
          <w:color w:val="auto"/>
          <w:sz w:val="22"/>
          <w:szCs w:val="22"/>
          <w:lang w:eastAsia="fr-FR"/>
        </w:rPr>
        <w:tab/>
      </w:r>
      <w:r w:rsidRPr="009D0846">
        <w:rPr>
          <w:rFonts w:cstheme="minorHAnsi"/>
        </w:rPr>
        <w:t>Procédures judiciaires et d’arbitrage</w:t>
      </w:r>
      <w:r>
        <w:tab/>
      </w:r>
      <w:r>
        <w:fldChar w:fldCharType="begin"/>
      </w:r>
      <w:r>
        <w:instrText xml:space="preserve"> PAGEREF _Toc512863970 \h </w:instrText>
      </w:r>
      <w:r>
        <w:fldChar w:fldCharType="separate"/>
      </w:r>
      <w:r>
        <w:t>199</w:t>
      </w:r>
      <w:r>
        <w:fldChar w:fldCharType="end"/>
      </w:r>
    </w:p>
    <w:p w:rsidR="00F06F79" w:rsidRDefault="00F06F79">
      <w:pPr>
        <w:pStyle w:val="TOC2"/>
        <w:rPr>
          <w:rFonts w:eastAsiaTheme="minorEastAsia" w:cstheme="minorBidi"/>
          <w:b w:val="0"/>
          <w:color w:val="auto"/>
          <w:sz w:val="22"/>
          <w:szCs w:val="22"/>
          <w:lang w:eastAsia="fr-FR"/>
        </w:rPr>
      </w:pPr>
      <w:r w:rsidRPr="009D0846">
        <w:t>20.7</w:t>
      </w:r>
      <w:r>
        <w:rPr>
          <w:rFonts w:eastAsiaTheme="minorEastAsia" w:cstheme="minorBidi"/>
          <w:b w:val="0"/>
          <w:color w:val="auto"/>
          <w:sz w:val="22"/>
          <w:szCs w:val="22"/>
          <w:lang w:eastAsia="fr-FR"/>
        </w:rPr>
        <w:tab/>
      </w:r>
      <w:r w:rsidRPr="009D0846">
        <w:rPr>
          <w:rFonts w:cstheme="minorHAnsi"/>
        </w:rPr>
        <w:t>Changement significatif de la situation financière ou commerciale</w:t>
      </w:r>
      <w:r>
        <w:tab/>
      </w:r>
      <w:r>
        <w:fldChar w:fldCharType="begin"/>
      </w:r>
      <w:r>
        <w:instrText xml:space="preserve"> PAGEREF _Toc512863971 \h </w:instrText>
      </w:r>
      <w:r>
        <w:fldChar w:fldCharType="separate"/>
      </w:r>
      <w:r>
        <w:t>200</w:t>
      </w:r>
      <w:r>
        <w:fldChar w:fldCharType="end"/>
      </w:r>
    </w:p>
    <w:p w:rsidR="00F06F79" w:rsidRDefault="00F06F79">
      <w:pPr>
        <w:pStyle w:val="TOC2"/>
        <w:rPr>
          <w:rFonts w:eastAsiaTheme="minorEastAsia" w:cstheme="minorBidi"/>
          <w:b w:val="0"/>
          <w:color w:val="auto"/>
          <w:sz w:val="22"/>
          <w:szCs w:val="22"/>
          <w:lang w:eastAsia="fr-FR"/>
        </w:rPr>
      </w:pPr>
      <w:r w:rsidRPr="009D0846">
        <w:t>20.8</w:t>
      </w:r>
      <w:r>
        <w:rPr>
          <w:rFonts w:eastAsiaTheme="minorEastAsia" w:cstheme="minorBidi"/>
          <w:b w:val="0"/>
          <w:color w:val="auto"/>
          <w:sz w:val="22"/>
          <w:szCs w:val="22"/>
          <w:lang w:eastAsia="fr-FR"/>
        </w:rPr>
        <w:tab/>
      </w:r>
      <w:r w:rsidRPr="009D0846">
        <w:rPr>
          <w:rFonts w:cstheme="minorHAnsi"/>
        </w:rPr>
        <w:t>Evénements postérieurs à la clôture</w:t>
      </w:r>
      <w:r>
        <w:tab/>
      </w:r>
      <w:r>
        <w:fldChar w:fldCharType="begin"/>
      </w:r>
      <w:r>
        <w:instrText xml:space="preserve"> PAGEREF _Toc512863972 \h </w:instrText>
      </w:r>
      <w:r>
        <w:fldChar w:fldCharType="separate"/>
      </w:r>
      <w:r>
        <w:t>200</w:t>
      </w:r>
      <w:r>
        <w:fldChar w:fldCharType="end"/>
      </w:r>
    </w:p>
    <w:p w:rsidR="00F06F79" w:rsidRDefault="00F06F79">
      <w:pPr>
        <w:pStyle w:val="TOC1"/>
        <w:rPr>
          <w:rFonts w:asciiTheme="minorHAnsi" w:eastAsiaTheme="minorEastAsia" w:hAnsiTheme="minorHAnsi" w:cstheme="minorBidi"/>
          <w:b w:val="0"/>
          <w:sz w:val="22"/>
          <w:szCs w:val="22"/>
          <w:lang w:val="fr-FR" w:eastAsia="fr-FR"/>
        </w:rPr>
      </w:pPr>
      <w:r w:rsidRPr="009D0846">
        <w:rPr>
          <w:rFonts w:asciiTheme="minorHAnsi" w:hAnsiTheme="minorHAnsi"/>
          <w:lang w:val="fr-FR"/>
        </w:rPr>
        <w:t>21.</w:t>
      </w:r>
      <w:r>
        <w:rPr>
          <w:rFonts w:asciiTheme="minorHAnsi" w:eastAsiaTheme="minorEastAsia" w:hAnsiTheme="minorHAnsi" w:cstheme="minorBidi"/>
          <w:b w:val="0"/>
          <w:sz w:val="22"/>
          <w:szCs w:val="22"/>
          <w:lang w:val="fr-FR" w:eastAsia="fr-FR"/>
        </w:rPr>
        <w:tab/>
      </w:r>
      <w:r w:rsidRPr="009D0846">
        <w:rPr>
          <w:rFonts w:asciiTheme="minorHAnsi" w:hAnsiTheme="minorHAnsi" w:cstheme="minorHAnsi"/>
          <w:lang w:val="fr-FR"/>
        </w:rPr>
        <w:t>INFORMATIONS COMPLEMENTAIRES</w:t>
      </w:r>
      <w:r w:rsidRPr="00F06F79">
        <w:rPr>
          <w:lang w:val="fr-FR"/>
        </w:rPr>
        <w:tab/>
      </w:r>
      <w:r>
        <w:fldChar w:fldCharType="begin"/>
      </w:r>
      <w:r w:rsidRPr="00F06F79">
        <w:rPr>
          <w:lang w:val="fr-FR"/>
        </w:rPr>
        <w:instrText xml:space="preserve"> PAGEREF _Toc512863973 \h </w:instrText>
      </w:r>
      <w:r>
        <w:fldChar w:fldCharType="separate"/>
      </w:r>
      <w:r w:rsidRPr="00F06F79">
        <w:rPr>
          <w:lang w:val="fr-FR"/>
        </w:rPr>
        <w:t>201</w:t>
      </w:r>
      <w:r>
        <w:fldChar w:fldCharType="end"/>
      </w:r>
    </w:p>
    <w:p w:rsidR="00F06F79" w:rsidRDefault="00F06F79">
      <w:pPr>
        <w:pStyle w:val="TOC2"/>
        <w:rPr>
          <w:rFonts w:eastAsiaTheme="minorEastAsia" w:cstheme="minorBidi"/>
          <w:b w:val="0"/>
          <w:color w:val="auto"/>
          <w:sz w:val="22"/>
          <w:szCs w:val="22"/>
          <w:lang w:eastAsia="fr-FR"/>
        </w:rPr>
      </w:pPr>
      <w:r w:rsidRPr="009D0846">
        <w:t>21.1</w:t>
      </w:r>
      <w:r>
        <w:rPr>
          <w:rFonts w:eastAsiaTheme="minorEastAsia" w:cstheme="minorBidi"/>
          <w:b w:val="0"/>
          <w:color w:val="auto"/>
          <w:sz w:val="22"/>
          <w:szCs w:val="22"/>
          <w:lang w:eastAsia="fr-FR"/>
        </w:rPr>
        <w:tab/>
      </w:r>
      <w:r w:rsidRPr="009D0846">
        <w:rPr>
          <w:rFonts w:cstheme="minorHAnsi"/>
        </w:rPr>
        <w:t>Capital social</w:t>
      </w:r>
      <w:r>
        <w:tab/>
      </w:r>
      <w:r>
        <w:fldChar w:fldCharType="begin"/>
      </w:r>
      <w:r>
        <w:instrText xml:space="preserve"> PAGEREF _Toc512863974 \h </w:instrText>
      </w:r>
      <w:r>
        <w:fldChar w:fldCharType="separate"/>
      </w:r>
      <w:r>
        <w:t>201</w:t>
      </w:r>
      <w:r>
        <w:fldChar w:fldCharType="end"/>
      </w:r>
    </w:p>
    <w:p w:rsidR="00F06F79" w:rsidRDefault="00F06F79">
      <w:pPr>
        <w:pStyle w:val="TOC2"/>
        <w:rPr>
          <w:rFonts w:eastAsiaTheme="minorEastAsia" w:cstheme="minorBidi"/>
          <w:b w:val="0"/>
          <w:color w:val="auto"/>
          <w:sz w:val="22"/>
          <w:szCs w:val="22"/>
          <w:lang w:eastAsia="fr-FR"/>
        </w:rPr>
      </w:pPr>
      <w:r w:rsidRPr="009D0846">
        <w:t>21.2</w:t>
      </w:r>
      <w:r>
        <w:rPr>
          <w:rFonts w:eastAsiaTheme="minorEastAsia" w:cstheme="minorBidi"/>
          <w:b w:val="0"/>
          <w:color w:val="auto"/>
          <w:sz w:val="22"/>
          <w:szCs w:val="22"/>
          <w:lang w:eastAsia="fr-FR"/>
        </w:rPr>
        <w:tab/>
      </w:r>
      <w:r w:rsidRPr="009D0846">
        <w:rPr>
          <w:rFonts w:cstheme="minorHAnsi"/>
        </w:rPr>
        <w:t>Eléments susceptibles d’avoir une incidence en cas d’offre publique</w:t>
      </w:r>
      <w:r>
        <w:tab/>
      </w:r>
      <w:r>
        <w:fldChar w:fldCharType="begin"/>
      </w:r>
      <w:r>
        <w:instrText xml:space="preserve"> PAGEREF _Toc512863975 \h </w:instrText>
      </w:r>
      <w:r>
        <w:fldChar w:fldCharType="separate"/>
      </w:r>
      <w:r>
        <w:t>215</w:t>
      </w:r>
      <w:r>
        <w:fldChar w:fldCharType="end"/>
      </w:r>
    </w:p>
    <w:p w:rsidR="00F06F79" w:rsidRDefault="00F06F79">
      <w:pPr>
        <w:pStyle w:val="TOC2"/>
        <w:rPr>
          <w:rFonts w:eastAsiaTheme="minorEastAsia" w:cstheme="minorBidi"/>
          <w:b w:val="0"/>
          <w:color w:val="auto"/>
          <w:sz w:val="22"/>
          <w:szCs w:val="22"/>
          <w:lang w:eastAsia="fr-FR"/>
        </w:rPr>
      </w:pPr>
      <w:r w:rsidRPr="009D0846">
        <w:t>21.3</w:t>
      </w:r>
      <w:r>
        <w:rPr>
          <w:rFonts w:eastAsiaTheme="minorEastAsia" w:cstheme="minorBidi"/>
          <w:b w:val="0"/>
          <w:color w:val="auto"/>
          <w:sz w:val="22"/>
          <w:szCs w:val="22"/>
          <w:lang w:eastAsia="fr-FR"/>
        </w:rPr>
        <w:tab/>
      </w:r>
      <w:r w:rsidRPr="009D0846">
        <w:rPr>
          <w:rFonts w:cstheme="minorHAnsi"/>
        </w:rPr>
        <w:t>Acte constitutif et statuts</w:t>
      </w:r>
      <w:r>
        <w:tab/>
      </w:r>
      <w:r>
        <w:fldChar w:fldCharType="begin"/>
      </w:r>
      <w:r>
        <w:instrText xml:space="preserve"> PAGEREF _Toc512863976 \h </w:instrText>
      </w:r>
      <w:r>
        <w:fldChar w:fldCharType="separate"/>
      </w:r>
      <w:r>
        <w:t>216</w:t>
      </w:r>
      <w:r>
        <w:fldChar w:fldCharType="end"/>
      </w:r>
    </w:p>
    <w:p w:rsidR="00F06F79" w:rsidRDefault="00F06F79">
      <w:pPr>
        <w:pStyle w:val="TOC1"/>
        <w:rPr>
          <w:rFonts w:asciiTheme="minorHAnsi" w:eastAsiaTheme="minorEastAsia" w:hAnsiTheme="minorHAnsi" w:cstheme="minorBidi"/>
          <w:b w:val="0"/>
          <w:sz w:val="22"/>
          <w:szCs w:val="22"/>
          <w:lang w:val="fr-FR" w:eastAsia="fr-FR"/>
        </w:rPr>
      </w:pPr>
      <w:r w:rsidRPr="009D0846">
        <w:rPr>
          <w:rFonts w:asciiTheme="minorHAnsi" w:hAnsiTheme="minorHAnsi"/>
          <w:lang w:val="fr-FR"/>
        </w:rPr>
        <w:t>22.</w:t>
      </w:r>
      <w:r>
        <w:rPr>
          <w:rFonts w:asciiTheme="minorHAnsi" w:eastAsiaTheme="minorEastAsia" w:hAnsiTheme="minorHAnsi" w:cstheme="minorBidi"/>
          <w:b w:val="0"/>
          <w:sz w:val="22"/>
          <w:szCs w:val="22"/>
          <w:lang w:val="fr-FR" w:eastAsia="fr-FR"/>
        </w:rPr>
        <w:tab/>
      </w:r>
      <w:r w:rsidRPr="009D0846">
        <w:rPr>
          <w:rFonts w:asciiTheme="minorHAnsi" w:hAnsiTheme="minorHAnsi" w:cstheme="minorHAnsi"/>
          <w:lang w:val="fr-FR"/>
        </w:rPr>
        <w:t>CONTRATS IMPORTANTS</w:t>
      </w:r>
      <w:r w:rsidRPr="00F06F79">
        <w:rPr>
          <w:lang w:val="fr-FR"/>
        </w:rPr>
        <w:tab/>
      </w:r>
      <w:r>
        <w:fldChar w:fldCharType="begin"/>
      </w:r>
      <w:r w:rsidRPr="00F06F79">
        <w:rPr>
          <w:lang w:val="fr-FR"/>
        </w:rPr>
        <w:instrText xml:space="preserve"> PAGEREF _Toc512863977 \h </w:instrText>
      </w:r>
      <w:r>
        <w:fldChar w:fldCharType="separate"/>
      </w:r>
      <w:r w:rsidRPr="00F06F79">
        <w:rPr>
          <w:lang w:val="fr-FR"/>
        </w:rPr>
        <w:t>229</w:t>
      </w:r>
      <w:r>
        <w:fldChar w:fldCharType="end"/>
      </w:r>
    </w:p>
    <w:p w:rsidR="00F06F79" w:rsidRDefault="00F06F79">
      <w:pPr>
        <w:pStyle w:val="TOC2"/>
        <w:rPr>
          <w:rFonts w:eastAsiaTheme="minorEastAsia" w:cstheme="minorBidi"/>
          <w:b w:val="0"/>
          <w:color w:val="auto"/>
          <w:sz w:val="22"/>
          <w:szCs w:val="22"/>
          <w:lang w:eastAsia="fr-FR"/>
        </w:rPr>
      </w:pPr>
      <w:r w:rsidRPr="009D0846">
        <w:t>22.1</w:t>
      </w:r>
      <w:r>
        <w:rPr>
          <w:rFonts w:eastAsiaTheme="minorEastAsia" w:cstheme="minorBidi"/>
          <w:b w:val="0"/>
          <w:color w:val="auto"/>
          <w:sz w:val="22"/>
          <w:szCs w:val="22"/>
          <w:lang w:eastAsia="fr-FR"/>
        </w:rPr>
        <w:tab/>
      </w:r>
      <w:r w:rsidRPr="009D0846">
        <w:rPr>
          <w:rFonts w:cstheme="minorHAnsi"/>
        </w:rPr>
        <w:t>Contrats de collaboration et de recherche et développement</w:t>
      </w:r>
      <w:r>
        <w:tab/>
      </w:r>
      <w:r>
        <w:fldChar w:fldCharType="begin"/>
      </w:r>
      <w:r>
        <w:instrText xml:space="preserve"> PAGEREF _Toc512863978 \h </w:instrText>
      </w:r>
      <w:r>
        <w:fldChar w:fldCharType="separate"/>
      </w:r>
      <w:r>
        <w:t>229</w:t>
      </w:r>
      <w:r>
        <w:fldChar w:fldCharType="end"/>
      </w:r>
    </w:p>
    <w:p w:rsidR="00F06F79" w:rsidRDefault="00F06F79">
      <w:pPr>
        <w:pStyle w:val="TOC2"/>
        <w:rPr>
          <w:rFonts w:eastAsiaTheme="minorEastAsia" w:cstheme="minorBidi"/>
          <w:b w:val="0"/>
          <w:color w:val="auto"/>
          <w:sz w:val="22"/>
          <w:szCs w:val="22"/>
          <w:lang w:eastAsia="fr-FR"/>
        </w:rPr>
      </w:pPr>
      <w:r w:rsidRPr="009D0846">
        <w:t>22.2</w:t>
      </w:r>
      <w:r>
        <w:rPr>
          <w:rFonts w:eastAsiaTheme="minorEastAsia" w:cstheme="minorBidi"/>
          <w:b w:val="0"/>
          <w:color w:val="auto"/>
          <w:sz w:val="22"/>
          <w:szCs w:val="22"/>
          <w:lang w:eastAsia="fr-FR"/>
        </w:rPr>
        <w:tab/>
      </w:r>
      <w:r w:rsidRPr="009D0846">
        <w:rPr>
          <w:rFonts w:cstheme="minorHAnsi"/>
        </w:rPr>
        <w:t>Contrats de prestations de services et de mandat avec des « Clinical Research Organisation » (CRO), des laboratoires centralisés et des logisticiens cliniques</w:t>
      </w:r>
      <w:r>
        <w:tab/>
      </w:r>
      <w:r>
        <w:fldChar w:fldCharType="begin"/>
      </w:r>
      <w:r>
        <w:instrText xml:space="preserve"> PAGEREF _Toc512863979 \h </w:instrText>
      </w:r>
      <w:r>
        <w:fldChar w:fldCharType="separate"/>
      </w:r>
      <w:r>
        <w:t>229</w:t>
      </w:r>
      <w:r>
        <w:fldChar w:fldCharType="end"/>
      </w:r>
    </w:p>
    <w:p w:rsidR="00F06F79" w:rsidRDefault="00F06F79">
      <w:pPr>
        <w:pStyle w:val="TOC2"/>
        <w:rPr>
          <w:rFonts w:eastAsiaTheme="minorEastAsia" w:cstheme="minorBidi"/>
          <w:b w:val="0"/>
          <w:color w:val="auto"/>
          <w:sz w:val="22"/>
          <w:szCs w:val="22"/>
          <w:lang w:eastAsia="fr-FR"/>
        </w:rPr>
      </w:pPr>
      <w:r w:rsidRPr="009D0846">
        <w:t>22.3</w:t>
      </w:r>
      <w:r>
        <w:rPr>
          <w:rFonts w:eastAsiaTheme="minorEastAsia" w:cstheme="minorBidi"/>
          <w:b w:val="0"/>
          <w:color w:val="auto"/>
          <w:sz w:val="22"/>
          <w:szCs w:val="22"/>
          <w:lang w:eastAsia="fr-FR"/>
        </w:rPr>
        <w:tab/>
      </w:r>
      <w:r w:rsidRPr="009D0846">
        <w:rPr>
          <w:rFonts w:cstheme="minorHAnsi"/>
        </w:rPr>
        <w:t>Contrat de cession de marque</w:t>
      </w:r>
      <w:r>
        <w:tab/>
      </w:r>
      <w:r>
        <w:fldChar w:fldCharType="begin"/>
      </w:r>
      <w:r>
        <w:instrText xml:space="preserve"> PAGEREF _Toc512863980 \h </w:instrText>
      </w:r>
      <w:r>
        <w:fldChar w:fldCharType="separate"/>
      </w:r>
      <w:r>
        <w:t>231</w:t>
      </w:r>
      <w:r>
        <w:fldChar w:fldCharType="end"/>
      </w:r>
    </w:p>
    <w:p w:rsidR="00F06F79" w:rsidRDefault="00F06F79">
      <w:pPr>
        <w:pStyle w:val="TOC2"/>
        <w:rPr>
          <w:rFonts w:eastAsiaTheme="minorEastAsia" w:cstheme="minorBidi"/>
          <w:b w:val="0"/>
          <w:color w:val="auto"/>
          <w:sz w:val="22"/>
          <w:szCs w:val="22"/>
          <w:lang w:eastAsia="fr-FR"/>
        </w:rPr>
      </w:pPr>
      <w:r w:rsidRPr="009D0846">
        <w:t>22.4</w:t>
      </w:r>
      <w:r>
        <w:rPr>
          <w:rFonts w:eastAsiaTheme="minorEastAsia" w:cstheme="minorBidi"/>
          <w:b w:val="0"/>
          <w:color w:val="auto"/>
          <w:sz w:val="22"/>
          <w:szCs w:val="22"/>
          <w:lang w:eastAsia="fr-FR"/>
        </w:rPr>
        <w:tab/>
      </w:r>
      <w:r w:rsidRPr="009D0846">
        <w:rPr>
          <w:rFonts w:cstheme="minorHAnsi"/>
        </w:rPr>
        <w:t>Contrats d’aide Bpifrance (subventions et/ou avances remboursables)</w:t>
      </w:r>
      <w:r>
        <w:tab/>
      </w:r>
      <w:r>
        <w:fldChar w:fldCharType="begin"/>
      </w:r>
      <w:r>
        <w:instrText xml:space="preserve"> PAGEREF _Toc512863981 \h </w:instrText>
      </w:r>
      <w:r>
        <w:fldChar w:fldCharType="separate"/>
      </w:r>
      <w:r>
        <w:t>232</w:t>
      </w:r>
      <w:r>
        <w:fldChar w:fldCharType="end"/>
      </w:r>
    </w:p>
    <w:p w:rsidR="00F06F79" w:rsidRDefault="00F06F79">
      <w:pPr>
        <w:pStyle w:val="TOC1"/>
        <w:rPr>
          <w:rFonts w:asciiTheme="minorHAnsi" w:eastAsiaTheme="minorEastAsia" w:hAnsiTheme="minorHAnsi" w:cstheme="minorBidi"/>
          <w:b w:val="0"/>
          <w:sz w:val="22"/>
          <w:szCs w:val="22"/>
          <w:lang w:val="fr-FR" w:eastAsia="fr-FR"/>
        </w:rPr>
      </w:pPr>
      <w:r w:rsidRPr="009D0846">
        <w:rPr>
          <w:rFonts w:asciiTheme="minorHAnsi" w:hAnsiTheme="minorHAnsi"/>
          <w:lang w:val="fr-FR"/>
        </w:rPr>
        <w:t>23.</w:t>
      </w:r>
      <w:r>
        <w:rPr>
          <w:rFonts w:asciiTheme="minorHAnsi" w:eastAsiaTheme="minorEastAsia" w:hAnsiTheme="minorHAnsi" w:cstheme="minorBidi"/>
          <w:b w:val="0"/>
          <w:sz w:val="22"/>
          <w:szCs w:val="22"/>
          <w:lang w:val="fr-FR" w:eastAsia="fr-FR"/>
        </w:rPr>
        <w:tab/>
      </w:r>
      <w:r w:rsidRPr="009D0846">
        <w:rPr>
          <w:rFonts w:asciiTheme="minorHAnsi" w:hAnsiTheme="minorHAnsi" w:cstheme="minorHAnsi"/>
          <w:lang w:val="fr-FR"/>
        </w:rPr>
        <w:t>INFORMATIONS PROVENANT DE TIERS, DECLARATIONS D’EXPERTS ET DECLARATIONS D’INTERETS</w:t>
      </w:r>
      <w:r w:rsidRPr="00F06F79">
        <w:rPr>
          <w:lang w:val="fr-FR"/>
        </w:rPr>
        <w:tab/>
      </w:r>
      <w:r>
        <w:fldChar w:fldCharType="begin"/>
      </w:r>
      <w:r w:rsidRPr="00F06F79">
        <w:rPr>
          <w:lang w:val="fr-FR"/>
        </w:rPr>
        <w:instrText xml:space="preserve"> PAGEREF _Toc512863982 \h </w:instrText>
      </w:r>
      <w:r>
        <w:fldChar w:fldCharType="separate"/>
      </w:r>
      <w:r w:rsidRPr="00F06F79">
        <w:rPr>
          <w:lang w:val="fr-FR"/>
        </w:rPr>
        <w:t>238</w:t>
      </w:r>
      <w:r>
        <w:fldChar w:fldCharType="end"/>
      </w:r>
    </w:p>
    <w:p w:rsidR="00F06F79" w:rsidRDefault="00F06F79">
      <w:pPr>
        <w:pStyle w:val="TOC2"/>
        <w:rPr>
          <w:rFonts w:eastAsiaTheme="minorEastAsia" w:cstheme="minorBidi"/>
          <w:b w:val="0"/>
          <w:color w:val="auto"/>
          <w:sz w:val="22"/>
          <w:szCs w:val="22"/>
          <w:lang w:eastAsia="fr-FR"/>
        </w:rPr>
      </w:pPr>
      <w:r w:rsidRPr="009D0846">
        <w:t>23.1</w:t>
      </w:r>
      <w:r>
        <w:rPr>
          <w:rFonts w:eastAsiaTheme="minorEastAsia" w:cstheme="minorBidi"/>
          <w:b w:val="0"/>
          <w:color w:val="auto"/>
          <w:sz w:val="22"/>
          <w:szCs w:val="22"/>
          <w:lang w:eastAsia="fr-FR"/>
        </w:rPr>
        <w:tab/>
      </w:r>
      <w:r w:rsidRPr="009D0846">
        <w:rPr>
          <w:rFonts w:cstheme="minorHAnsi"/>
        </w:rPr>
        <w:t>Désignation des experts</w:t>
      </w:r>
      <w:r>
        <w:tab/>
      </w:r>
      <w:r>
        <w:fldChar w:fldCharType="begin"/>
      </w:r>
      <w:r>
        <w:instrText xml:space="preserve"> PAGEREF _Toc512863983 \h </w:instrText>
      </w:r>
      <w:r>
        <w:fldChar w:fldCharType="separate"/>
      </w:r>
      <w:r>
        <w:t>238</w:t>
      </w:r>
      <w:r>
        <w:fldChar w:fldCharType="end"/>
      </w:r>
    </w:p>
    <w:p w:rsidR="00F06F79" w:rsidRDefault="00F06F79">
      <w:pPr>
        <w:pStyle w:val="TOC2"/>
        <w:rPr>
          <w:rFonts w:eastAsiaTheme="minorEastAsia" w:cstheme="minorBidi"/>
          <w:b w:val="0"/>
          <w:color w:val="auto"/>
          <w:sz w:val="22"/>
          <w:szCs w:val="22"/>
          <w:lang w:eastAsia="fr-FR"/>
        </w:rPr>
      </w:pPr>
      <w:r w:rsidRPr="009D0846">
        <w:t>23.2</w:t>
      </w:r>
      <w:r>
        <w:rPr>
          <w:rFonts w:eastAsiaTheme="minorEastAsia" w:cstheme="minorBidi"/>
          <w:b w:val="0"/>
          <w:color w:val="auto"/>
          <w:sz w:val="22"/>
          <w:szCs w:val="22"/>
          <w:lang w:eastAsia="fr-FR"/>
        </w:rPr>
        <w:tab/>
      </w:r>
      <w:r w:rsidRPr="009D0846">
        <w:rPr>
          <w:rFonts w:cstheme="minorHAnsi"/>
        </w:rPr>
        <w:t>Désignation des tiers</w:t>
      </w:r>
      <w:r>
        <w:tab/>
      </w:r>
      <w:r>
        <w:fldChar w:fldCharType="begin"/>
      </w:r>
      <w:r>
        <w:instrText xml:space="preserve"> PAGEREF _Toc512863984 \h </w:instrText>
      </w:r>
      <w:r>
        <w:fldChar w:fldCharType="separate"/>
      </w:r>
      <w:r>
        <w:t>238</w:t>
      </w:r>
      <w:r>
        <w:fldChar w:fldCharType="end"/>
      </w:r>
    </w:p>
    <w:p w:rsidR="00F06F79" w:rsidRDefault="00F06F79">
      <w:pPr>
        <w:pStyle w:val="TOC1"/>
        <w:rPr>
          <w:rFonts w:asciiTheme="minorHAnsi" w:eastAsiaTheme="minorEastAsia" w:hAnsiTheme="minorHAnsi" w:cstheme="minorBidi"/>
          <w:b w:val="0"/>
          <w:sz w:val="22"/>
          <w:szCs w:val="22"/>
          <w:lang w:val="fr-FR" w:eastAsia="fr-FR"/>
        </w:rPr>
      </w:pPr>
      <w:r w:rsidRPr="009D0846">
        <w:rPr>
          <w:rFonts w:asciiTheme="minorHAnsi" w:hAnsiTheme="minorHAnsi"/>
          <w:lang w:val="fr-FR"/>
        </w:rPr>
        <w:lastRenderedPageBreak/>
        <w:t>24.</w:t>
      </w:r>
      <w:r>
        <w:rPr>
          <w:rFonts w:asciiTheme="minorHAnsi" w:eastAsiaTheme="minorEastAsia" w:hAnsiTheme="minorHAnsi" w:cstheme="minorBidi"/>
          <w:b w:val="0"/>
          <w:sz w:val="22"/>
          <w:szCs w:val="22"/>
          <w:lang w:val="fr-FR" w:eastAsia="fr-FR"/>
        </w:rPr>
        <w:tab/>
      </w:r>
      <w:r w:rsidRPr="009D0846">
        <w:rPr>
          <w:rFonts w:asciiTheme="minorHAnsi" w:hAnsiTheme="minorHAnsi" w:cstheme="minorHAnsi"/>
          <w:lang w:val="fr-FR"/>
        </w:rPr>
        <w:t>DOCUMENTS ACCESSIBLES AU PUBLIC</w:t>
      </w:r>
      <w:r w:rsidRPr="00F06F79">
        <w:rPr>
          <w:lang w:val="fr-FR"/>
        </w:rPr>
        <w:tab/>
      </w:r>
      <w:r>
        <w:fldChar w:fldCharType="begin"/>
      </w:r>
      <w:r w:rsidRPr="00F06F79">
        <w:rPr>
          <w:lang w:val="fr-FR"/>
        </w:rPr>
        <w:instrText xml:space="preserve"> PAGEREF _Toc512863985 \h </w:instrText>
      </w:r>
      <w:r>
        <w:fldChar w:fldCharType="separate"/>
      </w:r>
      <w:r w:rsidRPr="00F06F79">
        <w:rPr>
          <w:lang w:val="fr-FR"/>
        </w:rPr>
        <w:t>239</w:t>
      </w:r>
      <w:r>
        <w:fldChar w:fldCharType="end"/>
      </w:r>
    </w:p>
    <w:p w:rsidR="00F06F79" w:rsidRDefault="00F06F79">
      <w:pPr>
        <w:pStyle w:val="TOC1"/>
        <w:rPr>
          <w:rFonts w:asciiTheme="minorHAnsi" w:eastAsiaTheme="minorEastAsia" w:hAnsiTheme="minorHAnsi" w:cstheme="minorBidi"/>
          <w:b w:val="0"/>
          <w:sz w:val="22"/>
          <w:szCs w:val="22"/>
          <w:lang w:val="fr-FR" w:eastAsia="fr-FR"/>
        </w:rPr>
      </w:pPr>
      <w:r w:rsidRPr="009D0846">
        <w:rPr>
          <w:rFonts w:asciiTheme="minorHAnsi" w:hAnsiTheme="minorHAnsi"/>
          <w:lang w:val="fr-FR"/>
        </w:rPr>
        <w:t>25.</w:t>
      </w:r>
      <w:r>
        <w:rPr>
          <w:rFonts w:asciiTheme="minorHAnsi" w:eastAsiaTheme="minorEastAsia" w:hAnsiTheme="minorHAnsi" w:cstheme="minorBidi"/>
          <w:b w:val="0"/>
          <w:sz w:val="22"/>
          <w:szCs w:val="22"/>
          <w:lang w:val="fr-FR" w:eastAsia="fr-FR"/>
        </w:rPr>
        <w:tab/>
      </w:r>
      <w:r w:rsidRPr="009D0846">
        <w:rPr>
          <w:rFonts w:asciiTheme="minorHAnsi" w:hAnsiTheme="minorHAnsi" w:cstheme="minorHAnsi"/>
          <w:lang w:val="fr-FR"/>
        </w:rPr>
        <w:t>INFORMATIONS SUR LES PARTICIPATIONS</w:t>
      </w:r>
      <w:r w:rsidRPr="00F06F79">
        <w:rPr>
          <w:lang w:val="fr-FR"/>
        </w:rPr>
        <w:tab/>
      </w:r>
      <w:r>
        <w:fldChar w:fldCharType="begin"/>
      </w:r>
      <w:r w:rsidRPr="00F06F79">
        <w:rPr>
          <w:lang w:val="fr-FR"/>
        </w:rPr>
        <w:instrText xml:space="preserve"> PAGEREF _Toc512863986 \h </w:instrText>
      </w:r>
      <w:r>
        <w:fldChar w:fldCharType="separate"/>
      </w:r>
      <w:r w:rsidRPr="00F06F79">
        <w:rPr>
          <w:lang w:val="fr-FR"/>
        </w:rPr>
        <w:t>240</w:t>
      </w:r>
      <w:r>
        <w:fldChar w:fldCharType="end"/>
      </w:r>
    </w:p>
    <w:p w:rsidR="00F06F79" w:rsidRDefault="00F06F79">
      <w:pPr>
        <w:pStyle w:val="TOC1"/>
        <w:rPr>
          <w:rFonts w:asciiTheme="minorHAnsi" w:eastAsiaTheme="minorEastAsia" w:hAnsiTheme="minorHAnsi" w:cstheme="minorBidi"/>
          <w:b w:val="0"/>
          <w:sz w:val="22"/>
          <w:szCs w:val="22"/>
          <w:lang w:val="fr-FR" w:eastAsia="fr-FR"/>
        </w:rPr>
      </w:pPr>
      <w:r w:rsidRPr="009D0846">
        <w:rPr>
          <w:rFonts w:asciiTheme="minorHAnsi" w:hAnsiTheme="minorHAnsi"/>
          <w:lang w:val="fr-FR"/>
        </w:rPr>
        <w:t>26.</w:t>
      </w:r>
      <w:r>
        <w:rPr>
          <w:rFonts w:asciiTheme="minorHAnsi" w:eastAsiaTheme="minorEastAsia" w:hAnsiTheme="minorHAnsi" w:cstheme="minorBidi"/>
          <w:b w:val="0"/>
          <w:sz w:val="22"/>
          <w:szCs w:val="22"/>
          <w:lang w:val="fr-FR" w:eastAsia="fr-FR"/>
        </w:rPr>
        <w:tab/>
      </w:r>
      <w:r w:rsidRPr="009D0846">
        <w:rPr>
          <w:rFonts w:asciiTheme="minorHAnsi" w:hAnsiTheme="minorHAnsi" w:cstheme="minorHAnsi"/>
          <w:lang w:val="fr-FR"/>
        </w:rPr>
        <w:t>TABLE DE CONCORDANCE DU RAPPORT DE GESTION</w:t>
      </w:r>
      <w:r w:rsidRPr="00F06F79">
        <w:rPr>
          <w:lang w:val="fr-FR"/>
        </w:rPr>
        <w:tab/>
      </w:r>
      <w:r>
        <w:fldChar w:fldCharType="begin"/>
      </w:r>
      <w:r w:rsidRPr="00F06F79">
        <w:rPr>
          <w:lang w:val="fr-FR"/>
        </w:rPr>
        <w:instrText xml:space="preserve"> PAGEREF _Toc512863987 \h </w:instrText>
      </w:r>
      <w:r>
        <w:fldChar w:fldCharType="separate"/>
      </w:r>
      <w:r w:rsidRPr="00F06F79">
        <w:rPr>
          <w:lang w:val="fr-FR"/>
        </w:rPr>
        <w:t>241</w:t>
      </w:r>
      <w:r>
        <w:fldChar w:fldCharType="end"/>
      </w:r>
    </w:p>
    <w:p w:rsidR="00F06F79" w:rsidRDefault="00F06F79">
      <w:pPr>
        <w:pStyle w:val="TOC2"/>
        <w:rPr>
          <w:rFonts w:eastAsiaTheme="minorEastAsia" w:cstheme="minorBidi"/>
          <w:b w:val="0"/>
          <w:color w:val="auto"/>
          <w:sz w:val="22"/>
          <w:szCs w:val="22"/>
          <w:lang w:eastAsia="fr-FR"/>
        </w:rPr>
      </w:pPr>
      <w:r w:rsidRPr="009D0846">
        <w:t>26.1</w:t>
      </w:r>
      <w:r>
        <w:rPr>
          <w:rFonts w:eastAsiaTheme="minorEastAsia" w:cstheme="minorBidi"/>
          <w:b w:val="0"/>
          <w:color w:val="auto"/>
          <w:sz w:val="22"/>
          <w:szCs w:val="22"/>
          <w:lang w:eastAsia="fr-FR"/>
        </w:rPr>
        <w:tab/>
      </w:r>
      <w:r w:rsidRPr="009D0846">
        <w:rPr>
          <w:rFonts w:cstheme="minorHAnsi"/>
        </w:rPr>
        <w:t>Table de concordance avec le rapport financier annuel</w:t>
      </w:r>
      <w:r>
        <w:tab/>
      </w:r>
      <w:r>
        <w:fldChar w:fldCharType="begin"/>
      </w:r>
      <w:r>
        <w:instrText xml:space="preserve"> PAGEREF _Toc512863988 \h </w:instrText>
      </w:r>
      <w:r>
        <w:fldChar w:fldCharType="separate"/>
      </w:r>
      <w:r>
        <w:t>241</w:t>
      </w:r>
      <w:r>
        <w:fldChar w:fldCharType="end"/>
      </w:r>
    </w:p>
    <w:p w:rsidR="00F06F79" w:rsidRDefault="00F06F79">
      <w:pPr>
        <w:pStyle w:val="TOC2"/>
        <w:rPr>
          <w:rFonts w:eastAsiaTheme="minorEastAsia" w:cstheme="minorBidi"/>
          <w:b w:val="0"/>
          <w:color w:val="auto"/>
          <w:sz w:val="22"/>
          <w:szCs w:val="22"/>
          <w:lang w:eastAsia="fr-FR"/>
        </w:rPr>
      </w:pPr>
      <w:r w:rsidRPr="009D0846">
        <w:t>26.2</w:t>
      </w:r>
      <w:r>
        <w:rPr>
          <w:rFonts w:eastAsiaTheme="minorEastAsia" w:cstheme="minorBidi"/>
          <w:b w:val="0"/>
          <w:color w:val="auto"/>
          <w:sz w:val="22"/>
          <w:szCs w:val="22"/>
          <w:lang w:eastAsia="fr-FR"/>
        </w:rPr>
        <w:tab/>
      </w:r>
      <w:r w:rsidRPr="009D0846">
        <w:rPr>
          <w:rFonts w:cstheme="minorHAnsi"/>
        </w:rPr>
        <w:t>Table de concordance avec le rapport de gestion</w:t>
      </w:r>
      <w:r>
        <w:tab/>
      </w:r>
      <w:r>
        <w:fldChar w:fldCharType="begin"/>
      </w:r>
      <w:r>
        <w:instrText xml:space="preserve"> PAGEREF _Toc512863989 \h </w:instrText>
      </w:r>
      <w:r>
        <w:fldChar w:fldCharType="separate"/>
      </w:r>
      <w:r>
        <w:t>241</w:t>
      </w:r>
      <w:r>
        <w:fldChar w:fldCharType="end"/>
      </w:r>
    </w:p>
    <w:p w:rsidR="00F06F79" w:rsidRDefault="00F06F79">
      <w:pPr>
        <w:pStyle w:val="TOC2"/>
        <w:rPr>
          <w:rFonts w:eastAsiaTheme="minorEastAsia" w:cstheme="minorBidi"/>
          <w:b w:val="0"/>
          <w:color w:val="auto"/>
          <w:sz w:val="22"/>
          <w:szCs w:val="22"/>
          <w:lang w:eastAsia="fr-FR"/>
        </w:rPr>
      </w:pPr>
      <w:r w:rsidRPr="009D0846">
        <w:t>26.3</w:t>
      </w:r>
      <w:r>
        <w:rPr>
          <w:rFonts w:eastAsiaTheme="minorEastAsia" w:cstheme="minorBidi"/>
          <w:b w:val="0"/>
          <w:color w:val="auto"/>
          <w:sz w:val="22"/>
          <w:szCs w:val="22"/>
          <w:lang w:eastAsia="fr-FR"/>
        </w:rPr>
        <w:tab/>
      </w:r>
      <w:r w:rsidRPr="009D0846">
        <w:rPr>
          <w:rFonts w:cstheme="minorHAnsi"/>
        </w:rPr>
        <w:t>Table de concordance avec le rapport sur le gouvernement d’entreprise</w:t>
      </w:r>
      <w:r>
        <w:tab/>
      </w:r>
      <w:r>
        <w:fldChar w:fldCharType="begin"/>
      </w:r>
      <w:r>
        <w:instrText xml:space="preserve"> PAGEREF _Toc512863990 \h </w:instrText>
      </w:r>
      <w:r>
        <w:fldChar w:fldCharType="separate"/>
      </w:r>
      <w:r>
        <w:t>242</w:t>
      </w:r>
      <w:r>
        <w:fldChar w:fldCharType="end"/>
      </w:r>
    </w:p>
    <w:p w:rsidR="00F46C7B" w:rsidRPr="00C73365" w:rsidRDefault="00F46C7B">
      <w:pPr>
        <w:widowControl w:val="0"/>
        <w:tabs>
          <w:tab w:val="right" w:leader="dot" w:pos="9639"/>
        </w:tabs>
        <w:rPr>
          <w:rFonts w:asciiTheme="minorHAnsi" w:hAnsiTheme="minorHAnsi" w:cstheme="minorHAnsi"/>
          <w:szCs w:val="20"/>
          <w:lang w:val="fr-FR"/>
        </w:rPr>
      </w:pPr>
      <w:r w:rsidRPr="00E92A57">
        <w:rPr>
          <w:rFonts w:asciiTheme="minorHAnsi" w:hAnsiTheme="minorHAnsi" w:cstheme="minorHAnsi"/>
          <w:b/>
          <w:noProof/>
          <w:szCs w:val="20"/>
          <w:lang w:val="fr-FR"/>
        </w:rPr>
        <w:fldChar w:fldCharType="end"/>
      </w:r>
    </w:p>
    <w:p w:rsidR="00F46C7B" w:rsidRPr="00C73365" w:rsidRDefault="00F46C7B">
      <w:pPr>
        <w:rPr>
          <w:rFonts w:asciiTheme="minorHAnsi" w:hAnsiTheme="minorHAnsi" w:cstheme="minorHAnsi"/>
          <w:szCs w:val="20"/>
          <w:lang w:val="fr-FR"/>
        </w:rPr>
      </w:pPr>
      <w:r w:rsidRPr="00C73365">
        <w:rPr>
          <w:rFonts w:asciiTheme="minorHAnsi" w:hAnsiTheme="minorHAnsi" w:cstheme="minorHAnsi"/>
          <w:szCs w:val="20"/>
          <w:lang w:val="fr-FR"/>
        </w:rPr>
        <w:br w:type="page"/>
      </w:r>
    </w:p>
    <w:p w:rsidR="00F46C7B" w:rsidRPr="00C73365" w:rsidRDefault="00F46C7B" w:rsidP="004572A0">
      <w:pPr>
        <w:pStyle w:val="Heading2"/>
        <w:rPr>
          <w:rFonts w:cstheme="minorHAnsi"/>
          <w:lang w:val="fr-FR"/>
        </w:rPr>
      </w:pPr>
      <w:bookmarkStart w:id="2" w:name="_Toc512863876"/>
      <w:r w:rsidRPr="00C73365">
        <w:rPr>
          <w:rFonts w:cstheme="minorHAnsi"/>
          <w:lang w:val="fr-FR"/>
        </w:rPr>
        <w:lastRenderedPageBreak/>
        <w:t>REMARQUES GENERALES</w:t>
      </w:r>
      <w:bookmarkEnd w:id="2"/>
    </w:p>
    <w:p w:rsidR="00F46C7B" w:rsidRPr="00C73365" w:rsidRDefault="00F46C7B" w:rsidP="00A96CCA">
      <w:pPr>
        <w:pStyle w:val="Title"/>
        <w:keepNext/>
        <w:spacing w:after="120"/>
        <w:jc w:val="both"/>
        <w:rPr>
          <w:rFonts w:asciiTheme="minorHAnsi" w:hAnsiTheme="minorHAnsi" w:cstheme="minorHAnsi"/>
          <w:b w:val="0"/>
          <w:lang w:val="fr-FR"/>
        </w:rPr>
      </w:pPr>
      <w:r w:rsidRPr="00C73365">
        <w:rPr>
          <w:rFonts w:asciiTheme="minorHAnsi" w:hAnsiTheme="minorHAnsi" w:cstheme="minorHAnsi"/>
          <w:b w:val="0"/>
          <w:lang w:val="fr-FR"/>
        </w:rPr>
        <w:t>Il est précisé que le présent document de référence a été rédigé sur la base de l’annexe I du règlement européen N°809/2004. </w:t>
      </w:r>
    </w:p>
    <w:p w:rsidR="00F46C7B" w:rsidRPr="00C73365" w:rsidRDefault="00F46C7B" w:rsidP="00A96CCA">
      <w:pPr>
        <w:pStyle w:val="Title"/>
        <w:keepNext/>
        <w:spacing w:after="120"/>
        <w:jc w:val="left"/>
        <w:rPr>
          <w:rFonts w:asciiTheme="minorHAnsi" w:hAnsiTheme="minorHAnsi" w:cstheme="minorHAnsi"/>
          <w:color w:val="7030A0"/>
          <w:lang w:val="fr-FR"/>
        </w:rPr>
      </w:pPr>
      <w:r w:rsidRPr="00C73365">
        <w:rPr>
          <w:rFonts w:asciiTheme="minorHAnsi" w:hAnsiTheme="minorHAnsi" w:cstheme="minorHAnsi"/>
          <w:color w:val="7030A0"/>
          <w:lang w:val="fr-FR"/>
        </w:rPr>
        <w:t>Définition</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le présent document de référence, et sauf indication contraire :</w:t>
      </w:r>
    </w:p>
    <w:p w:rsidR="00F46C7B" w:rsidRPr="00E66FAB" w:rsidRDefault="00F46C7B" w:rsidP="004572A0">
      <w:pPr>
        <w:pStyle w:val="ListBullet2"/>
        <w:numPr>
          <w:ilvl w:val="0"/>
          <w:numId w:val="38"/>
        </w:numPr>
        <w:rPr>
          <w:rFonts w:asciiTheme="minorHAnsi" w:hAnsiTheme="minorHAnsi" w:cstheme="minorHAnsi"/>
          <w:lang w:val="fr-FR"/>
        </w:rPr>
      </w:pPr>
      <w:r w:rsidRPr="00E66FAB">
        <w:rPr>
          <w:rFonts w:asciiTheme="minorHAnsi" w:hAnsiTheme="minorHAnsi" w:cstheme="minorHAnsi"/>
          <w:lang w:val="fr-FR"/>
        </w:rPr>
        <w:t>les termes « </w:t>
      </w:r>
      <w:r w:rsidR="00EF089C" w:rsidRPr="00E66FAB">
        <w:rPr>
          <w:rFonts w:asciiTheme="minorHAnsi" w:hAnsiTheme="minorHAnsi" w:cstheme="minorHAnsi"/>
          <w:u w:val="single"/>
          <w:lang w:val="fr-FR"/>
        </w:rPr>
        <w:t>ABIVAX</w:t>
      </w:r>
      <w:r w:rsidRPr="00E66FAB">
        <w:rPr>
          <w:rFonts w:asciiTheme="minorHAnsi" w:hAnsiTheme="minorHAnsi" w:cstheme="minorHAnsi"/>
          <w:lang w:val="fr-FR"/>
        </w:rPr>
        <w:t> » ou la « </w:t>
      </w:r>
      <w:r w:rsidRPr="00E66FAB">
        <w:rPr>
          <w:rFonts w:asciiTheme="minorHAnsi" w:hAnsiTheme="minorHAnsi" w:cstheme="minorHAnsi"/>
          <w:u w:val="single"/>
          <w:lang w:val="fr-FR"/>
        </w:rPr>
        <w:t>Société</w:t>
      </w:r>
      <w:r w:rsidRPr="00E66FAB">
        <w:rPr>
          <w:rFonts w:asciiTheme="minorHAnsi" w:hAnsiTheme="minorHAnsi" w:cstheme="minorHAnsi"/>
          <w:lang w:val="fr-FR"/>
        </w:rPr>
        <w:t xml:space="preserve"> » désignent la société </w:t>
      </w:r>
      <w:r w:rsidR="00EF089C" w:rsidRPr="00E66FAB">
        <w:rPr>
          <w:rFonts w:asciiTheme="minorHAnsi" w:hAnsiTheme="minorHAnsi" w:cstheme="minorHAnsi"/>
          <w:lang w:val="fr-FR"/>
        </w:rPr>
        <w:t>ABIVAX</w:t>
      </w:r>
      <w:r w:rsidRPr="00E66FAB">
        <w:rPr>
          <w:rFonts w:asciiTheme="minorHAnsi" w:hAnsiTheme="minorHAnsi" w:cstheme="minorHAnsi"/>
          <w:lang w:val="fr-FR"/>
        </w:rPr>
        <w:t>, société anonyme dont le siège social est situé 5, rue de la Baume, 75008 Paris, France, immatriculée au registre du commerce et des sociétés de Paris sous le numéro 799 363 718 ;</w:t>
      </w:r>
    </w:p>
    <w:p w:rsidR="00F46C7B" w:rsidRPr="00E66FAB" w:rsidRDefault="00F46C7B" w:rsidP="004572A0">
      <w:pPr>
        <w:pStyle w:val="ListBullet2"/>
        <w:numPr>
          <w:ilvl w:val="0"/>
          <w:numId w:val="38"/>
        </w:numPr>
        <w:rPr>
          <w:rFonts w:asciiTheme="minorHAnsi" w:hAnsiTheme="minorHAnsi" w:cstheme="minorHAnsi"/>
          <w:lang w:val="fr-FR"/>
        </w:rPr>
      </w:pPr>
      <w:r w:rsidRPr="00E66FAB">
        <w:rPr>
          <w:rFonts w:asciiTheme="minorHAnsi" w:hAnsiTheme="minorHAnsi" w:cstheme="minorHAnsi"/>
          <w:lang w:val="fr-FR"/>
        </w:rPr>
        <w:t>le terme « </w:t>
      </w:r>
      <w:r w:rsidRPr="00E66FAB">
        <w:rPr>
          <w:rFonts w:asciiTheme="minorHAnsi" w:hAnsiTheme="minorHAnsi" w:cstheme="minorHAnsi"/>
          <w:u w:val="single"/>
          <w:lang w:val="fr-FR"/>
        </w:rPr>
        <w:t>Groupe</w:t>
      </w:r>
      <w:r w:rsidRPr="00E66FAB">
        <w:rPr>
          <w:rFonts w:asciiTheme="minorHAnsi" w:hAnsiTheme="minorHAnsi" w:cstheme="minorHAnsi"/>
          <w:lang w:val="fr-FR"/>
        </w:rPr>
        <w:t xml:space="preserve"> » désigne la Société et ses anciennes filiales :</w:t>
      </w:r>
    </w:p>
    <w:p w:rsidR="00F46C7B" w:rsidRPr="00E66FAB" w:rsidRDefault="00F46C7B" w:rsidP="004572A0">
      <w:pPr>
        <w:pStyle w:val="ListBullet3"/>
        <w:numPr>
          <w:ilvl w:val="1"/>
          <w:numId w:val="39"/>
        </w:numPr>
        <w:rPr>
          <w:rFonts w:asciiTheme="minorHAnsi" w:hAnsiTheme="minorHAnsi" w:cstheme="minorHAnsi"/>
          <w:lang w:val="fr-FR"/>
        </w:rPr>
      </w:pPr>
      <w:r w:rsidRPr="00E66FAB">
        <w:rPr>
          <w:rFonts w:asciiTheme="minorHAnsi" w:hAnsiTheme="minorHAnsi" w:cstheme="minorHAnsi"/>
          <w:lang w:val="fr-FR"/>
        </w:rPr>
        <w:t xml:space="preserve">SPLICOS, société par actions simplifiée dont le siège social était situé 1919, route de Mende – Campus CNRS Languedoc Roussillon – 34293 Montpellier Cedex 5, immatriculée au registre du commerce et des sociétés de Montpellier sous le numéro 504 586 017, ayant fait l’objet d’une transmission universelle de patrimoine à </w:t>
      </w:r>
      <w:r w:rsidR="00EF089C" w:rsidRPr="00E66FAB">
        <w:rPr>
          <w:rFonts w:asciiTheme="minorHAnsi" w:hAnsiTheme="minorHAnsi" w:cstheme="minorHAnsi"/>
          <w:lang w:val="fr-FR"/>
        </w:rPr>
        <w:t>ABIVAX</w:t>
      </w:r>
      <w:r w:rsidRPr="00E66FAB">
        <w:rPr>
          <w:rFonts w:asciiTheme="minorHAnsi" w:hAnsiTheme="minorHAnsi" w:cstheme="minorHAnsi"/>
          <w:lang w:val="fr-FR"/>
        </w:rPr>
        <w:t xml:space="preserve"> en date du 31 octobre 2014 ;</w:t>
      </w:r>
    </w:p>
    <w:p w:rsidR="00F46C7B" w:rsidRPr="00E66FAB" w:rsidRDefault="00F46C7B" w:rsidP="004572A0">
      <w:pPr>
        <w:pStyle w:val="ListBullet3"/>
        <w:numPr>
          <w:ilvl w:val="1"/>
          <w:numId w:val="39"/>
        </w:numPr>
        <w:rPr>
          <w:rFonts w:asciiTheme="minorHAnsi" w:hAnsiTheme="minorHAnsi" w:cstheme="minorHAnsi"/>
          <w:lang w:val="fr-FR"/>
        </w:rPr>
      </w:pPr>
      <w:r w:rsidRPr="00E66FAB">
        <w:rPr>
          <w:rFonts w:asciiTheme="minorHAnsi" w:hAnsiTheme="minorHAnsi" w:cstheme="minorHAnsi"/>
          <w:lang w:val="fr-FR"/>
        </w:rPr>
        <w:t xml:space="preserve">WITTYCELL, société par actions simplifiée dont le siège social était situé 8 bis, rue Gabriel Voisin, 51100 Reims, immatriculée au registre du commerce et des sociétés de Reims sous le numéro 484 030 366, ayant fait l’objet d’une transmission universelle de patrimoine à </w:t>
      </w:r>
      <w:r w:rsidR="00EF089C" w:rsidRPr="00E66FAB">
        <w:rPr>
          <w:rFonts w:asciiTheme="minorHAnsi" w:hAnsiTheme="minorHAnsi" w:cstheme="minorHAnsi"/>
          <w:lang w:val="fr-FR"/>
        </w:rPr>
        <w:t>ABIVAX</w:t>
      </w:r>
      <w:r w:rsidRPr="00E66FAB">
        <w:rPr>
          <w:rFonts w:asciiTheme="minorHAnsi" w:hAnsiTheme="minorHAnsi" w:cstheme="minorHAnsi"/>
          <w:lang w:val="fr-FR"/>
        </w:rPr>
        <w:t xml:space="preserve"> en date du 31 juillet 2014 ;</w:t>
      </w:r>
    </w:p>
    <w:p w:rsidR="00F46C7B" w:rsidRPr="00E66FAB" w:rsidRDefault="00F46C7B" w:rsidP="004572A0">
      <w:pPr>
        <w:pStyle w:val="ListBullet3"/>
        <w:numPr>
          <w:ilvl w:val="1"/>
          <w:numId w:val="39"/>
        </w:numPr>
        <w:rPr>
          <w:rFonts w:asciiTheme="minorHAnsi" w:hAnsiTheme="minorHAnsi" w:cstheme="minorHAnsi"/>
          <w:lang w:val="fr-FR"/>
        </w:rPr>
      </w:pPr>
      <w:r w:rsidRPr="00E66FAB">
        <w:rPr>
          <w:rFonts w:asciiTheme="minorHAnsi" w:hAnsiTheme="minorHAnsi" w:cstheme="minorHAnsi"/>
          <w:lang w:val="fr-FR"/>
        </w:rPr>
        <w:t xml:space="preserve">ZOPHIS, société par actions simplifiée à associé unique dont le siège social était situé 5, rue de la Baume, 75008 Paris, France, immatriculée au registre du commerce et des sociétés de Paris sous le numéro 530 959 410, ayant fait l’objet d’une transmission universelle de patrimoine à </w:t>
      </w:r>
      <w:r w:rsidR="00EF089C" w:rsidRPr="00E66FAB">
        <w:rPr>
          <w:rFonts w:asciiTheme="minorHAnsi" w:hAnsiTheme="minorHAnsi" w:cstheme="minorHAnsi"/>
          <w:lang w:val="fr-FR"/>
        </w:rPr>
        <w:t>ABIVAX</w:t>
      </w:r>
      <w:r w:rsidRPr="00E66FAB">
        <w:rPr>
          <w:rFonts w:asciiTheme="minorHAnsi" w:hAnsiTheme="minorHAnsi" w:cstheme="minorHAnsi"/>
          <w:lang w:val="fr-FR"/>
        </w:rPr>
        <w:t xml:space="preserve"> en date du 31 juillet 2014.</w:t>
      </w:r>
    </w:p>
    <w:p w:rsidR="00F46C7B" w:rsidRPr="00C73365" w:rsidRDefault="00F46C7B">
      <w:pPr>
        <w:rPr>
          <w:rFonts w:asciiTheme="minorHAnsi" w:hAnsiTheme="minorHAnsi" w:cstheme="minorHAnsi"/>
          <w:szCs w:val="20"/>
          <w:lang w:val="fr-FR"/>
        </w:rPr>
      </w:pPr>
      <w:r w:rsidRPr="00C73365">
        <w:rPr>
          <w:rFonts w:asciiTheme="minorHAnsi" w:hAnsiTheme="minorHAnsi" w:cstheme="minorHAnsi"/>
          <w:lang w:val="fr-FR"/>
        </w:rPr>
        <w:br w:type="page"/>
      </w:r>
    </w:p>
    <w:p w:rsidR="00F46C7B" w:rsidRPr="00C73365" w:rsidRDefault="00F46C7B" w:rsidP="00A96CCA">
      <w:pPr>
        <w:pStyle w:val="Title"/>
        <w:keepNext/>
        <w:spacing w:after="120"/>
        <w:jc w:val="left"/>
        <w:rPr>
          <w:rFonts w:asciiTheme="minorHAnsi" w:hAnsiTheme="minorHAnsi" w:cstheme="minorHAnsi"/>
          <w:color w:val="7030A0"/>
          <w:lang w:val="fr-FR"/>
        </w:rPr>
      </w:pPr>
      <w:r w:rsidRPr="00C73365">
        <w:rPr>
          <w:rFonts w:asciiTheme="minorHAnsi" w:hAnsiTheme="minorHAnsi" w:cstheme="minorHAnsi"/>
          <w:color w:val="7030A0"/>
          <w:lang w:val="fr-FR"/>
        </w:rPr>
        <w:lastRenderedPageBreak/>
        <w:t>Avertissement</w:t>
      </w:r>
    </w:p>
    <w:p w:rsidR="00F46C7B" w:rsidRPr="00C73365" w:rsidRDefault="00F46C7B" w:rsidP="00A96CCA">
      <w:pPr>
        <w:pStyle w:val="Title"/>
        <w:keepNext/>
        <w:spacing w:after="120"/>
        <w:jc w:val="both"/>
        <w:rPr>
          <w:rFonts w:asciiTheme="minorHAnsi" w:hAnsiTheme="minorHAnsi" w:cstheme="minorHAnsi"/>
          <w:b w:val="0"/>
          <w:lang w:val="fr-FR"/>
        </w:rPr>
      </w:pPr>
      <w:r w:rsidRPr="00C73365">
        <w:rPr>
          <w:rFonts w:asciiTheme="minorHAnsi" w:hAnsiTheme="minorHAnsi" w:cstheme="minorHAnsi"/>
          <w:b w:val="0"/>
          <w:lang w:val="fr-FR"/>
        </w:rPr>
        <w:t xml:space="preserve">Le présent document de référence contient des informations relatives à l’activité de la Société ainsi qu’aux marchés sur lesquels celle-ci opère. Ces informations proviennent d’études réalisées soit par des sources internes soit par des sources externes (ex : publications du secteur, études spécialisées, informations publiées par des sociétés d’études de marché, rapports d’analystes). La Société estime que ces informations donnent à ce jour une image fidèle de ses marchés de référence et de son positionnement concurrentiel sur ces marchés. </w:t>
      </w:r>
    </w:p>
    <w:p w:rsidR="00F46C7B" w:rsidRPr="00C73365" w:rsidRDefault="00F46C7B" w:rsidP="00A96CCA">
      <w:pPr>
        <w:pStyle w:val="Title"/>
        <w:keepNext/>
        <w:spacing w:after="120"/>
        <w:jc w:val="both"/>
        <w:rPr>
          <w:rFonts w:asciiTheme="minorHAnsi" w:hAnsiTheme="minorHAnsi" w:cstheme="minorHAnsi"/>
          <w:b w:val="0"/>
          <w:lang w:val="fr-FR"/>
        </w:rPr>
      </w:pPr>
      <w:r w:rsidRPr="00C73365">
        <w:rPr>
          <w:rFonts w:asciiTheme="minorHAnsi" w:hAnsiTheme="minorHAnsi" w:cstheme="minorHAnsi"/>
          <w:b w:val="0"/>
          <w:lang w:val="fr-FR"/>
        </w:rPr>
        <w:t xml:space="preserve">Toutefois, ces informations n’ont pas été vérifiées par un expert indépendant et la Société ne peut pas garantir qu’un tiers utilisant des méthodes différentes pour réunir, analyser ou calculer des données sur les marchés obtiendrait les mêmes résultats.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présent document de référence contient des indications sur les perspectives et axes de développement de la Société. Ces indications sont parfois identifiées par l’utilisation du futur, du conditionnel ou de termes à caractère prospectif tels que « estimer », « considérer », « envisager », « penser », « avoir pour objectif », « s’attendre à », « entendre », « devoir », « ambitionner », « croire », « souhaiter », « pouvoir » ou, le cas échéant, la forme négative de ces mêmes termes, ou toute autre variante ou terminologie similaire.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Ces informations ne sont pas des données historiques et ne doivent pas être interprétées comme des garanties que les faits et données énoncés se produiront. Ces informations sont fondées sur des données, hypothèses et estimations considérées comme raisonnables par la Société. Elles sont susceptibles d’évoluer ou d’être modifiées en raison des incertitudes liées notamment à l’environnement économique, financier, concurrentiel et réglementaire.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Ces informations sont mentionnées dans différents paragraphes du présent document de référence et contiennent des données relatives aux intentions, estimations et objectifs de la Société concernant, notamment, les marchés dans lesquels elle évolue, sa stratégie, sa croissance, ses résultats, sa situation financière, sa trésorerie et ses prévisions. Les informations prospectives mentionnées dans le présent document de référence sont données uniquement à la date d’enregistrement du présent document de référence. La Société opère dans un environnement concurrentiel et en constante évolution. Elle ne peut donc anticiper tous les risques, incertitudes ou autres facteurs susceptibles d’affecter son activité, leur impact potentiel sur son activité ou encore dans quelle mesure la matérialisation d’un risque ou d’une combinaison de risques pourrait avoir des résultats significativement différents de ceux mentionnés dans toute information prospective, étant rappelé qu’aucune de ces informations prospectives ne constitue une garantie de résultats réels.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investisseurs sont invités à lire attentivement les facteurs de risques décrits au chapitre 4 « </w:t>
      </w:r>
      <w:r w:rsidRPr="00C73365">
        <w:rPr>
          <w:rFonts w:asciiTheme="minorHAnsi" w:hAnsiTheme="minorHAnsi" w:cstheme="minorHAnsi"/>
          <w:i/>
          <w:iCs/>
          <w:lang w:val="fr-FR"/>
        </w:rPr>
        <w:t>Facteurs de risques</w:t>
      </w:r>
      <w:r w:rsidRPr="00C73365">
        <w:rPr>
          <w:rFonts w:asciiTheme="minorHAnsi" w:hAnsiTheme="minorHAnsi" w:cstheme="minorHAnsi"/>
          <w:lang w:val="fr-FR"/>
        </w:rPr>
        <w:t> » du présent document de référence avant de prendre toute décision d’investissement. La réalisation de tout ou partie de ces risques est susceptible d’avoir un effet défavorable significatif sur les activités, la situation financière, les résultats ou les perspectives de la Société. En outre, d’autres risques, non encore identifiés ou considérés comme non significatifs par la Société, à la date d’enregistrement du présent document de référence, pourraient également avoir un effet défavorable significatif.</w:t>
      </w:r>
    </w:p>
    <w:p w:rsidR="00F46C7B" w:rsidRPr="00C73365" w:rsidRDefault="00F46C7B" w:rsidP="00A96CCA">
      <w:pPr>
        <w:pStyle w:val="ConmainL1"/>
        <w:numPr>
          <w:ilvl w:val="0"/>
          <w:numId w:val="9"/>
        </w:numPr>
        <w:spacing w:after="120"/>
        <w:rPr>
          <w:rFonts w:asciiTheme="minorHAnsi" w:hAnsiTheme="minorHAnsi" w:cstheme="minorHAnsi"/>
          <w:i/>
          <w:iCs/>
          <w:sz w:val="22"/>
          <w:lang w:val="fr-FR"/>
        </w:rPr>
      </w:pPr>
      <w:bookmarkStart w:id="3" w:name="_Toc462673217"/>
      <w:bookmarkStart w:id="4" w:name="_Toc512863877"/>
      <w:r w:rsidRPr="00C73365">
        <w:rPr>
          <w:rFonts w:asciiTheme="minorHAnsi" w:hAnsiTheme="minorHAnsi" w:cstheme="minorHAnsi"/>
          <w:sz w:val="22"/>
          <w:lang w:val="fr-FR"/>
        </w:rPr>
        <w:lastRenderedPageBreak/>
        <w:t>PERSONNES RESPONSABLES</w:t>
      </w:r>
      <w:bookmarkEnd w:id="3"/>
      <w:bookmarkEnd w:id="4"/>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5" w:name="_Toc402884111"/>
      <w:bookmarkStart w:id="6" w:name="_Toc462673218"/>
      <w:bookmarkStart w:id="7" w:name="_Toc512863878"/>
      <w:r w:rsidRPr="00C73365">
        <w:rPr>
          <w:rFonts w:asciiTheme="minorHAnsi" w:hAnsiTheme="minorHAnsi" w:cstheme="minorHAnsi"/>
          <w:sz w:val="22"/>
          <w:szCs w:val="22"/>
          <w:lang w:val="fr-FR"/>
        </w:rPr>
        <w:t>Responsable du document de référence</w:t>
      </w:r>
      <w:bookmarkEnd w:id="5"/>
      <w:bookmarkEnd w:id="6"/>
      <w:bookmarkEnd w:id="7"/>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Monsieur Hartmut Ehrlich, Directeur général.</w:t>
      </w:r>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8" w:name="_Toc402884112"/>
      <w:bookmarkStart w:id="9" w:name="_Toc462673219"/>
      <w:bookmarkStart w:id="10" w:name="_Toc512863879"/>
      <w:r w:rsidRPr="00C73365">
        <w:rPr>
          <w:rFonts w:asciiTheme="minorHAnsi" w:hAnsiTheme="minorHAnsi" w:cstheme="minorHAnsi"/>
          <w:sz w:val="22"/>
          <w:szCs w:val="22"/>
          <w:lang w:val="fr-FR"/>
        </w:rPr>
        <w:t>Attestation de la personne responsable</w:t>
      </w:r>
      <w:bookmarkEnd w:id="8"/>
      <w:bookmarkEnd w:id="9"/>
      <w:bookmarkEnd w:id="10"/>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J’atteste, après avoir pris toute mesure raisonnable à cet effet, que les informations contenues dans le présent document de référence sont, à ma connaissance, conformes à la réalité et ne comportent pas d’omission de nature à en altérer la portée.</w:t>
      </w:r>
    </w:p>
    <w:p w:rsidR="00B40454" w:rsidRPr="00C73365" w:rsidRDefault="00B40454" w:rsidP="004572A0">
      <w:pPr>
        <w:pStyle w:val="ListContinue2"/>
        <w:rPr>
          <w:rFonts w:asciiTheme="minorHAnsi" w:hAnsiTheme="minorHAnsi" w:cstheme="minorHAnsi"/>
          <w:b/>
          <w:lang w:val="fr-FR"/>
        </w:rPr>
      </w:pPr>
      <w:r w:rsidRPr="00C73365">
        <w:rPr>
          <w:rFonts w:asciiTheme="minorHAnsi" w:hAnsiTheme="minorHAnsi" w:cstheme="minorHAnsi"/>
          <w:lang w:val="fr-FR"/>
        </w:rPr>
        <w:t>J</w:t>
      </w:r>
      <w:r w:rsidR="004572A0" w:rsidRPr="00C73365">
        <w:rPr>
          <w:rFonts w:asciiTheme="minorHAnsi" w:hAnsiTheme="minorHAnsi" w:cstheme="minorHAnsi"/>
          <w:lang w:val="fr-FR"/>
        </w:rPr>
        <w:t>’</w:t>
      </w:r>
      <w:r w:rsidRPr="00C73365">
        <w:rPr>
          <w:rFonts w:asciiTheme="minorHAnsi" w:hAnsiTheme="minorHAnsi" w:cstheme="minorHAnsi"/>
          <w:lang w:val="fr-FR"/>
        </w:rPr>
        <w:t>atteste, à ma connaissance, que les comptes sont établis conformément aux normes comptables applicables et donnent une image fidèle du patrimoine, de la situation financière et du résultat de la société, et que le rapport de gestion présente un tableau fidèle de l</w:t>
      </w:r>
      <w:r w:rsidR="004572A0" w:rsidRPr="00C73365">
        <w:rPr>
          <w:rFonts w:asciiTheme="minorHAnsi" w:hAnsiTheme="minorHAnsi" w:cstheme="minorHAnsi"/>
          <w:lang w:val="fr-FR"/>
        </w:rPr>
        <w:t>’</w:t>
      </w:r>
      <w:r w:rsidRPr="00C73365">
        <w:rPr>
          <w:rFonts w:asciiTheme="minorHAnsi" w:hAnsiTheme="minorHAnsi" w:cstheme="minorHAnsi"/>
          <w:lang w:val="fr-FR"/>
        </w:rPr>
        <w:t>évolution des affaires, des résultats et de la situation financière de la société ainsi qu</w:t>
      </w:r>
      <w:r w:rsidR="004572A0" w:rsidRPr="00C73365">
        <w:rPr>
          <w:rFonts w:asciiTheme="minorHAnsi" w:hAnsiTheme="minorHAnsi" w:cstheme="minorHAnsi"/>
          <w:lang w:val="fr-FR"/>
        </w:rPr>
        <w:t>’</w:t>
      </w:r>
      <w:r w:rsidRPr="00C73365">
        <w:rPr>
          <w:rFonts w:asciiTheme="minorHAnsi" w:hAnsiTheme="minorHAnsi" w:cstheme="minorHAnsi"/>
          <w:lang w:val="fr-FR"/>
        </w:rPr>
        <w:t>une description des principaux risques et incertitudes auxquels elle est confrontée.</w:t>
      </w:r>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J’ai obtenu du contrôleur légal des comptes une lettre de fin de travaux, dans laquelle il indique avoir procédé à la vérification des informations portant sur la situation financière et les comptes données dans le présent document de référence ainsi qu’à la lecture d’ensemble du document de référence.</w:t>
      </w:r>
    </w:p>
    <w:p w:rsidR="00F46C7B" w:rsidRPr="00C73365" w:rsidRDefault="00F46C7B" w:rsidP="00A96CCA">
      <w:pPr>
        <w:pStyle w:val="BodyText"/>
        <w:spacing w:after="120"/>
        <w:rPr>
          <w:rFonts w:asciiTheme="minorHAnsi" w:hAnsiTheme="minorHAnsi" w:cstheme="minorHAnsi"/>
          <w:lang w:val="fr-FR"/>
        </w:rPr>
      </w:pPr>
    </w:p>
    <w:p w:rsidR="00A611FC" w:rsidRPr="00C73365" w:rsidRDefault="00A611FC" w:rsidP="00A96CCA">
      <w:pPr>
        <w:pStyle w:val="BodyText"/>
        <w:spacing w:after="120"/>
        <w:rPr>
          <w:rFonts w:asciiTheme="minorHAnsi" w:hAnsiTheme="minorHAnsi" w:cstheme="minorHAnsi"/>
          <w:lang w:val="fr-FR"/>
        </w:rPr>
      </w:pPr>
    </w:p>
    <w:p w:rsidR="00F46C7B" w:rsidRPr="00C73365" w:rsidRDefault="00F46C7B" w:rsidP="00A96CCA">
      <w:pPr>
        <w:pStyle w:val="BodyText"/>
        <w:spacing w:after="120"/>
        <w:rPr>
          <w:rFonts w:asciiTheme="minorHAnsi" w:hAnsiTheme="minorHAnsi" w:cstheme="minorHAnsi"/>
          <w:lang w:val="fr-FR"/>
        </w:rPr>
      </w:pPr>
      <w:r w:rsidRPr="00C73365">
        <w:rPr>
          <w:rFonts w:asciiTheme="minorHAnsi" w:hAnsiTheme="minorHAnsi" w:cstheme="minorHAnsi"/>
          <w:lang w:val="fr-FR"/>
        </w:rPr>
        <w:t> </w:t>
      </w:r>
    </w:p>
    <w:p w:rsidR="00F46C7B" w:rsidRPr="00C73365" w:rsidRDefault="00F46C7B" w:rsidP="00A96CCA">
      <w:pPr>
        <w:pStyle w:val="BodyText"/>
        <w:spacing w:after="120"/>
        <w:rPr>
          <w:rFonts w:asciiTheme="minorHAnsi" w:hAnsiTheme="minorHAnsi" w:cstheme="minorHAnsi"/>
          <w:lang w:val="fr-FR"/>
        </w:rPr>
      </w:pPr>
    </w:p>
    <w:p w:rsidR="00F46C7B" w:rsidRPr="00C73365" w:rsidRDefault="00F46C7B" w:rsidP="00E92A57">
      <w:pPr>
        <w:pStyle w:val="BodyText"/>
        <w:jc w:val="left"/>
        <w:rPr>
          <w:rFonts w:asciiTheme="minorHAnsi" w:hAnsiTheme="minorHAnsi" w:cstheme="minorHAnsi"/>
          <w:lang w:val="fr-FR"/>
        </w:rPr>
      </w:pPr>
      <w:r w:rsidRPr="00C73365">
        <w:rPr>
          <w:rFonts w:asciiTheme="minorHAnsi" w:hAnsiTheme="minorHAnsi" w:cstheme="minorHAnsi"/>
          <w:szCs w:val="22"/>
          <w:lang w:val="fr-FR"/>
        </w:rPr>
        <w:t>Fait à Paris,</w:t>
      </w:r>
      <w:r w:rsidRPr="00C73365">
        <w:rPr>
          <w:rFonts w:asciiTheme="minorHAnsi" w:hAnsiTheme="minorHAnsi" w:cstheme="minorHAnsi"/>
          <w:szCs w:val="22"/>
          <w:lang w:val="fr-FR"/>
        </w:rPr>
        <w:br/>
      </w:r>
      <w:r w:rsidRPr="00E92A57">
        <w:rPr>
          <w:rFonts w:asciiTheme="minorHAnsi" w:hAnsiTheme="minorHAnsi" w:cstheme="minorHAnsi"/>
          <w:lang w:val="fr-FR"/>
        </w:rPr>
        <w:t xml:space="preserve">le </w:t>
      </w:r>
      <w:r w:rsidR="00156CE9">
        <w:rPr>
          <w:rFonts w:asciiTheme="minorHAnsi" w:hAnsiTheme="minorHAnsi" w:cstheme="minorHAnsi"/>
          <w:lang w:val="fr-FR"/>
        </w:rPr>
        <w:t xml:space="preserve">27 avril </w:t>
      </w:r>
      <w:r w:rsidRPr="00E92A57">
        <w:rPr>
          <w:rFonts w:asciiTheme="minorHAnsi" w:hAnsiTheme="minorHAnsi" w:cstheme="minorHAnsi"/>
          <w:lang w:val="fr-FR"/>
        </w:rPr>
        <w:t>201</w:t>
      </w:r>
      <w:r w:rsidR="00E92A57" w:rsidRPr="00E92A57">
        <w:rPr>
          <w:rFonts w:asciiTheme="minorHAnsi" w:hAnsiTheme="minorHAnsi" w:cstheme="minorHAnsi"/>
          <w:lang w:val="fr-FR"/>
        </w:rPr>
        <w:t>8</w:t>
      </w:r>
    </w:p>
    <w:p w:rsidR="00F46C7B" w:rsidRPr="00C73365" w:rsidRDefault="00F46C7B">
      <w:pPr>
        <w:ind w:left="4859"/>
        <w:rPr>
          <w:rFonts w:asciiTheme="minorHAnsi" w:hAnsiTheme="minorHAnsi" w:cstheme="minorHAnsi"/>
          <w:lang w:val="fr-FR"/>
        </w:rPr>
      </w:pPr>
    </w:p>
    <w:p w:rsidR="002C5729" w:rsidRPr="00C73365" w:rsidRDefault="002C5729">
      <w:pPr>
        <w:ind w:left="4859"/>
        <w:rPr>
          <w:rFonts w:asciiTheme="minorHAnsi" w:hAnsiTheme="minorHAnsi" w:cstheme="minorHAnsi"/>
          <w:lang w:val="fr-FR"/>
        </w:rPr>
      </w:pPr>
    </w:p>
    <w:p w:rsidR="002C5729" w:rsidRPr="00C73365" w:rsidRDefault="002C5729">
      <w:pPr>
        <w:ind w:left="4859"/>
        <w:rPr>
          <w:rFonts w:asciiTheme="minorHAnsi" w:hAnsiTheme="minorHAnsi" w:cstheme="minorHAnsi"/>
          <w:lang w:val="fr-FR"/>
        </w:rPr>
      </w:pPr>
    </w:p>
    <w:p w:rsidR="002C5729" w:rsidRPr="00C73365" w:rsidRDefault="002C5729">
      <w:pPr>
        <w:ind w:left="4859"/>
        <w:rPr>
          <w:rFonts w:asciiTheme="minorHAnsi" w:hAnsiTheme="minorHAnsi" w:cstheme="minorHAnsi"/>
          <w:lang w:val="fr-FR"/>
        </w:rPr>
      </w:pPr>
    </w:p>
    <w:p w:rsidR="00F46C7B" w:rsidRPr="00732CFD" w:rsidRDefault="002C5729" w:rsidP="004572A0">
      <w:pPr>
        <w:pStyle w:val="Lignederfrence"/>
        <w:rPr>
          <w:rFonts w:asciiTheme="minorHAnsi" w:hAnsiTheme="minorHAnsi" w:cstheme="minorHAnsi"/>
          <w:sz w:val="20"/>
        </w:rPr>
      </w:pPr>
      <w:r w:rsidRPr="00732CFD">
        <w:rPr>
          <w:rFonts w:asciiTheme="minorHAnsi" w:hAnsiTheme="minorHAnsi" w:cstheme="minorHAnsi"/>
          <w:sz w:val="20"/>
        </w:rPr>
        <w:t>Pr. Hartmut Ehrlich</w:t>
      </w:r>
    </w:p>
    <w:p w:rsidR="002C5729" w:rsidRPr="00732CFD" w:rsidRDefault="002C5729" w:rsidP="004572A0">
      <w:pPr>
        <w:pStyle w:val="Lignederfrence"/>
        <w:rPr>
          <w:rFonts w:asciiTheme="minorHAnsi" w:hAnsiTheme="minorHAnsi" w:cstheme="minorHAnsi"/>
          <w:sz w:val="20"/>
        </w:rPr>
      </w:pPr>
      <w:r w:rsidRPr="00732CFD">
        <w:rPr>
          <w:rFonts w:asciiTheme="minorHAnsi" w:hAnsiTheme="minorHAnsi" w:cstheme="minorHAnsi"/>
          <w:sz w:val="20"/>
        </w:rPr>
        <w:t>Directeur Général</w:t>
      </w:r>
    </w:p>
    <w:p w:rsidR="00F46C7B" w:rsidRPr="00C73365" w:rsidRDefault="00F46C7B" w:rsidP="00A96CCA">
      <w:pPr>
        <w:ind w:left="4860" w:hanging="182"/>
        <w:rPr>
          <w:rFonts w:asciiTheme="minorHAnsi" w:hAnsiTheme="minorHAnsi" w:cstheme="minorHAnsi"/>
          <w:lang w:val="fr-FR"/>
        </w:rPr>
      </w:pPr>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11" w:name="_Toc402884113"/>
      <w:bookmarkStart w:id="12" w:name="_Toc462673220"/>
      <w:bookmarkStart w:id="13" w:name="_Toc512863880"/>
      <w:r w:rsidRPr="00C73365">
        <w:rPr>
          <w:rFonts w:asciiTheme="minorHAnsi" w:hAnsiTheme="minorHAnsi" w:cstheme="minorHAnsi"/>
          <w:sz w:val="22"/>
          <w:szCs w:val="22"/>
          <w:lang w:val="fr-FR"/>
        </w:rPr>
        <w:t>Responsable de l’information financière</w:t>
      </w:r>
      <w:bookmarkEnd w:id="11"/>
      <w:bookmarkEnd w:id="12"/>
      <w:bookmarkEnd w:id="13"/>
    </w:p>
    <w:p w:rsidR="00F46C7B" w:rsidRPr="00C73365" w:rsidRDefault="00F46C7B" w:rsidP="004572A0">
      <w:pPr>
        <w:pStyle w:val="List3"/>
        <w:rPr>
          <w:rFonts w:asciiTheme="minorHAnsi" w:hAnsiTheme="minorHAnsi" w:cstheme="minorHAnsi"/>
          <w:highlight w:val="yellow"/>
          <w:lang w:val="fr-FR"/>
        </w:rPr>
      </w:pPr>
      <w:r w:rsidRPr="00C73365">
        <w:rPr>
          <w:rFonts w:asciiTheme="minorHAnsi" w:hAnsiTheme="minorHAnsi" w:cstheme="minorHAnsi"/>
          <w:lang w:val="fr-FR"/>
        </w:rPr>
        <w:t>Hartmut Ehrlich</w:t>
      </w:r>
      <w:r w:rsidRPr="00C73365">
        <w:rPr>
          <w:rFonts w:asciiTheme="minorHAnsi" w:hAnsiTheme="minorHAnsi" w:cstheme="minorHAnsi"/>
          <w:highlight w:val="yellow"/>
          <w:lang w:val="fr-FR"/>
        </w:rPr>
        <w:t xml:space="preserve"> </w:t>
      </w:r>
    </w:p>
    <w:p w:rsidR="00F46C7B" w:rsidRPr="00C73365" w:rsidRDefault="00F46C7B" w:rsidP="004572A0">
      <w:pPr>
        <w:pStyle w:val="List3"/>
        <w:rPr>
          <w:rFonts w:asciiTheme="minorHAnsi" w:hAnsiTheme="minorHAnsi" w:cstheme="minorHAnsi"/>
          <w:lang w:val="fr-FR"/>
        </w:rPr>
      </w:pPr>
      <w:r w:rsidRPr="00C73365">
        <w:rPr>
          <w:rFonts w:asciiTheme="minorHAnsi" w:hAnsiTheme="minorHAnsi" w:cstheme="minorHAnsi"/>
          <w:lang w:val="fr-FR"/>
        </w:rPr>
        <w:t xml:space="preserve">Directeur </w:t>
      </w:r>
      <w:r w:rsidR="0091533C" w:rsidRPr="00C73365">
        <w:rPr>
          <w:rFonts w:asciiTheme="minorHAnsi" w:hAnsiTheme="minorHAnsi" w:cstheme="minorHAnsi"/>
          <w:lang w:val="fr-FR"/>
        </w:rPr>
        <w:t>G</w:t>
      </w:r>
      <w:r w:rsidRPr="00C73365">
        <w:rPr>
          <w:rFonts w:asciiTheme="minorHAnsi" w:hAnsiTheme="minorHAnsi" w:cstheme="minorHAnsi"/>
          <w:lang w:val="fr-FR"/>
        </w:rPr>
        <w:t>énéral</w:t>
      </w:r>
    </w:p>
    <w:p w:rsidR="00F46C7B" w:rsidRPr="00C73365" w:rsidRDefault="00F46C7B" w:rsidP="004572A0">
      <w:pPr>
        <w:pStyle w:val="List3"/>
        <w:rPr>
          <w:rFonts w:asciiTheme="minorHAnsi" w:hAnsiTheme="minorHAnsi" w:cstheme="minorHAnsi"/>
          <w:lang w:val="fr-FR"/>
        </w:rPr>
      </w:pPr>
      <w:r w:rsidRPr="00C73365">
        <w:rPr>
          <w:rFonts w:asciiTheme="minorHAnsi" w:hAnsiTheme="minorHAnsi" w:cstheme="minorHAnsi"/>
          <w:lang w:val="fr-FR"/>
        </w:rPr>
        <w:t>Adresse : 5, rue de la Baume, 75008 Paris</w:t>
      </w:r>
    </w:p>
    <w:p w:rsidR="00F46C7B" w:rsidRPr="00C73365" w:rsidRDefault="00F46C7B" w:rsidP="004572A0">
      <w:pPr>
        <w:pStyle w:val="List3"/>
        <w:rPr>
          <w:rFonts w:asciiTheme="minorHAnsi" w:hAnsiTheme="minorHAnsi" w:cstheme="minorHAnsi"/>
          <w:lang w:val="fr-FR"/>
        </w:rPr>
      </w:pPr>
      <w:r w:rsidRPr="00C73365">
        <w:rPr>
          <w:rFonts w:asciiTheme="minorHAnsi" w:hAnsiTheme="minorHAnsi" w:cstheme="minorHAnsi"/>
          <w:lang w:val="fr-FR"/>
        </w:rPr>
        <w:t>Téléphone : +33 (0) 1 53 83 08 41</w:t>
      </w:r>
    </w:p>
    <w:p w:rsidR="00F46C7B" w:rsidRPr="00C73365" w:rsidRDefault="00F46C7B">
      <w:pPr>
        <w:pStyle w:val="BlockLeft"/>
        <w:rPr>
          <w:rFonts w:asciiTheme="minorHAnsi" w:hAnsiTheme="minorHAnsi" w:cstheme="minorHAnsi"/>
          <w:i/>
          <w:iCs/>
          <w:lang w:val="fr-FR"/>
        </w:rPr>
      </w:pPr>
      <w:r w:rsidRPr="00C73365">
        <w:rPr>
          <w:rFonts w:asciiTheme="minorHAnsi" w:hAnsiTheme="minorHAnsi" w:cstheme="minorHAnsi"/>
          <w:lang w:val="fr-FR"/>
        </w:rPr>
        <w:t xml:space="preserve">Courriel : </w:t>
      </w:r>
      <w:hyperlink r:id="rId12" w:history="1">
        <w:r w:rsidRPr="00C73365">
          <w:rPr>
            <w:rStyle w:val="Hyperlink"/>
            <w:rFonts w:asciiTheme="minorHAnsi" w:hAnsiTheme="minorHAnsi" w:cstheme="minorHAnsi"/>
            <w:lang w:val="fr-FR"/>
          </w:rPr>
          <w:t>info@</w:t>
        </w:r>
        <w:r w:rsidR="00EF089C" w:rsidRPr="00C73365">
          <w:rPr>
            <w:rStyle w:val="Hyperlink"/>
            <w:rFonts w:asciiTheme="minorHAnsi" w:hAnsiTheme="minorHAnsi" w:cstheme="minorHAnsi"/>
            <w:lang w:val="fr-FR"/>
          </w:rPr>
          <w:t>ABIVAX</w:t>
        </w:r>
        <w:r w:rsidRPr="00C73365">
          <w:rPr>
            <w:rStyle w:val="Hyperlink"/>
            <w:rFonts w:asciiTheme="minorHAnsi" w:hAnsiTheme="minorHAnsi" w:cstheme="minorHAnsi"/>
            <w:lang w:val="fr-FR"/>
          </w:rPr>
          <w:t>.com</w:t>
        </w:r>
      </w:hyperlink>
    </w:p>
    <w:p w:rsidR="00F46C7B" w:rsidRPr="00C73365" w:rsidRDefault="00F46C7B">
      <w:pPr>
        <w:pStyle w:val="BlockLeft"/>
        <w:rPr>
          <w:rFonts w:asciiTheme="minorHAnsi" w:hAnsiTheme="minorHAnsi" w:cstheme="minorHAnsi"/>
          <w:lang w:val="fr-FR"/>
        </w:rPr>
      </w:pPr>
    </w:p>
    <w:p w:rsidR="00F46C7B" w:rsidRPr="00C73365" w:rsidRDefault="00F46C7B" w:rsidP="00A96CCA">
      <w:pPr>
        <w:pStyle w:val="ConmainL1"/>
        <w:numPr>
          <w:ilvl w:val="0"/>
          <w:numId w:val="9"/>
        </w:numPr>
        <w:spacing w:after="120"/>
        <w:rPr>
          <w:rFonts w:asciiTheme="minorHAnsi" w:hAnsiTheme="minorHAnsi" w:cstheme="minorHAnsi"/>
          <w:sz w:val="22"/>
          <w:szCs w:val="20"/>
          <w:lang w:val="fr-FR"/>
        </w:rPr>
      </w:pPr>
      <w:bookmarkStart w:id="14" w:name="_Toc402884114"/>
      <w:bookmarkStart w:id="15" w:name="_Toc462673221"/>
      <w:bookmarkStart w:id="16" w:name="_Toc512863881"/>
      <w:r w:rsidRPr="00C73365">
        <w:rPr>
          <w:rFonts w:asciiTheme="minorHAnsi" w:hAnsiTheme="minorHAnsi" w:cstheme="minorHAnsi"/>
          <w:sz w:val="22"/>
          <w:szCs w:val="20"/>
          <w:lang w:val="fr-FR"/>
        </w:rPr>
        <w:lastRenderedPageBreak/>
        <w:t>CONTROLEURS LEGAUX DES COMPTES</w:t>
      </w:r>
      <w:bookmarkEnd w:id="14"/>
      <w:bookmarkEnd w:id="15"/>
      <w:bookmarkEnd w:id="16"/>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17" w:name="_Toc402884115"/>
      <w:bookmarkStart w:id="18" w:name="_Toc462673222"/>
      <w:bookmarkStart w:id="19" w:name="_Toc512863882"/>
      <w:r w:rsidRPr="00C73365">
        <w:rPr>
          <w:rFonts w:asciiTheme="minorHAnsi" w:hAnsiTheme="minorHAnsi" w:cstheme="minorHAnsi"/>
          <w:sz w:val="22"/>
          <w:szCs w:val="22"/>
          <w:lang w:val="fr-FR"/>
        </w:rPr>
        <w:t>Commissaire aux comptes titulaire</w:t>
      </w:r>
      <w:bookmarkEnd w:id="17"/>
      <w:bookmarkEnd w:id="18"/>
      <w:bookmarkEnd w:id="19"/>
    </w:p>
    <w:p w:rsidR="00F46C7B" w:rsidRPr="00C73365" w:rsidRDefault="008A1306">
      <w:pPr>
        <w:pStyle w:val="BlockLeft"/>
        <w:keepNext/>
        <w:rPr>
          <w:rFonts w:asciiTheme="minorHAnsi" w:hAnsiTheme="minorHAnsi" w:cstheme="minorHAnsi"/>
          <w:b/>
          <w:lang w:val="fr-FR"/>
        </w:rPr>
      </w:pPr>
      <w:r>
        <w:rPr>
          <w:rFonts w:asciiTheme="minorHAnsi" w:hAnsiTheme="minorHAnsi" w:cstheme="minorHAnsi"/>
          <w:b/>
          <w:lang w:val="fr-FR"/>
        </w:rPr>
        <w:t>PricewaterhouseCoopers Audit</w:t>
      </w:r>
    </w:p>
    <w:p w:rsidR="00F46C7B" w:rsidRPr="00E92A57" w:rsidRDefault="00F46C7B" w:rsidP="004572A0">
      <w:pPr>
        <w:pStyle w:val="Adressedest"/>
        <w:rPr>
          <w:rFonts w:asciiTheme="minorHAnsi" w:hAnsiTheme="minorHAnsi" w:cstheme="minorHAnsi"/>
          <w:sz w:val="20"/>
          <w:szCs w:val="20"/>
        </w:rPr>
      </w:pPr>
      <w:r w:rsidRPr="00E92A57">
        <w:rPr>
          <w:rFonts w:asciiTheme="minorHAnsi" w:hAnsiTheme="minorHAnsi" w:cstheme="minorHAnsi"/>
          <w:sz w:val="20"/>
          <w:szCs w:val="20"/>
        </w:rPr>
        <w:t>Représentée par Monsieur Thierry Charron</w:t>
      </w:r>
    </w:p>
    <w:p w:rsidR="00F46C7B" w:rsidRPr="00E92A57" w:rsidRDefault="00F46C7B" w:rsidP="004572A0">
      <w:pPr>
        <w:pStyle w:val="Adressedest"/>
        <w:rPr>
          <w:rFonts w:asciiTheme="minorHAnsi" w:hAnsiTheme="minorHAnsi" w:cstheme="minorHAnsi"/>
          <w:sz w:val="20"/>
          <w:szCs w:val="20"/>
        </w:rPr>
      </w:pPr>
      <w:r w:rsidRPr="00E92A57">
        <w:rPr>
          <w:rFonts w:asciiTheme="minorHAnsi" w:hAnsiTheme="minorHAnsi" w:cstheme="minorHAnsi"/>
          <w:sz w:val="20"/>
          <w:szCs w:val="20"/>
        </w:rPr>
        <w:t>63, rue de Villiers – 92200 Neuilly-sur-Seine</w:t>
      </w:r>
    </w:p>
    <w:p w:rsidR="00F46C7B" w:rsidRPr="00E92A57" w:rsidRDefault="00F46C7B" w:rsidP="004572A0">
      <w:pPr>
        <w:pStyle w:val="Adressedest"/>
        <w:rPr>
          <w:rFonts w:asciiTheme="minorHAnsi" w:hAnsiTheme="minorHAnsi" w:cstheme="minorHAnsi"/>
          <w:sz w:val="20"/>
          <w:szCs w:val="20"/>
        </w:rPr>
      </w:pPr>
      <w:r w:rsidRPr="00E92A57">
        <w:rPr>
          <w:rFonts w:asciiTheme="minorHAnsi" w:hAnsiTheme="minorHAnsi" w:cstheme="minorHAnsi"/>
          <w:sz w:val="20"/>
          <w:szCs w:val="20"/>
        </w:rPr>
        <w:t>Membre de la Compagnie régionale des commissaires aux comptes de Versailles</w:t>
      </w:r>
    </w:p>
    <w:p w:rsidR="00F46C7B" w:rsidRPr="00E92A57" w:rsidRDefault="00F46C7B" w:rsidP="004572A0">
      <w:pPr>
        <w:pStyle w:val="Adressedest"/>
        <w:rPr>
          <w:rFonts w:asciiTheme="minorHAnsi" w:hAnsiTheme="minorHAnsi" w:cstheme="minorHAnsi"/>
          <w:sz w:val="20"/>
          <w:szCs w:val="20"/>
        </w:rPr>
      </w:pPr>
      <w:r w:rsidRPr="00E92A57">
        <w:rPr>
          <w:rFonts w:asciiTheme="minorHAnsi" w:hAnsiTheme="minorHAnsi" w:cstheme="minorHAnsi"/>
          <w:sz w:val="20"/>
          <w:szCs w:val="20"/>
        </w:rPr>
        <w:t>Date de début du premier mandat : Nomination lors de la constitution de l’entreprise le 4 décembre 2013</w:t>
      </w:r>
    </w:p>
    <w:p w:rsidR="00F46C7B" w:rsidRPr="00E92A57" w:rsidRDefault="00F46C7B" w:rsidP="004572A0">
      <w:pPr>
        <w:pStyle w:val="Adressedest"/>
        <w:rPr>
          <w:rFonts w:asciiTheme="minorHAnsi" w:hAnsiTheme="minorHAnsi" w:cstheme="minorHAnsi"/>
          <w:sz w:val="20"/>
          <w:szCs w:val="20"/>
        </w:rPr>
      </w:pPr>
      <w:r w:rsidRPr="00E92A57">
        <w:rPr>
          <w:rFonts w:asciiTheme="minorHAnsi" w:hAnsiTheme="minorHAnsi" w:cstheme="minorHAnsi"/>
          <w:sz w:val="20"/>
          <w:szCs w:val="20"/>
        </w:rPr>
        <w:t>Durée du mandat en cours : 6 exercices à compter de la constitution de la Société</w:t>
      </w:r>
    </w:p>
    <w:p w:rsidR="00F46C7B" w:rsidRPr="00E92A57" w:rsidRDefault="00F46C7B" w:rsidP="004572A0">
      <w:pPr>
        <w:pStyle w:val="BodyText"/>
        <w:rPr>
          <w:rFonts w:asciiTheme="minorHAnsi" w:hAnsiTheme="minorHAnsi" w:cstheme="minorHAnsi"/>
          <w:lang w:val="fr-FR"/>
        </w:rPr>
      </w:pPr>
      <w:r w:rsidRPr="00E92A57">
        <w:rPr>
          <w:rFonts w:asciiTheme="minorHAnsi" w:hAnsiTheme="minorHAnsi" w:cstheme="minorHAnsi"/>
          <w:lang w:val="fr-FR"/>
        </w:rPr>
        <w:t>Date d’expiration du mandat en cours : à l’issue de l’assemblée générale annuelle des actionnaires statuant sur les comptes de l’exercice clos le 31 décembre 2018.</w:t>
      </w:r>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20" w:name="_Toc402884116"/>
      <w:bookmarkStart w:id="21" w:name="_Toc462673223"/>
      <w:bookmarkStart w:id="22" w:name="_Toc512863883"/>
      <w:r w:rsidRPr="00C73365">
        <w:rPr>
          <w:rFonts w:asciiTheme="minorHAnsi" w:hAnsiTheme="minorHAnsi" w:cstheme="minorHAnsi"/>
          <w:sz w:val="22"/>
          <w:szCs w:val="22"/>
          <w:lang w:val="fr-FR"/>
        </w:rPr>
        <w:t>Commissaire aux comptes suppléant</w:t>
      </w:r>
      <w:bookmarkEnd w:id="20"/>
      <w:bookmarkEnd w:id="21"/>
      <w:bookmarkEnd w:id="22"/>
    </w:p>
    <w:p w:rsidR="00F46C7B" w:rsidRPr="00C73365" w:rsidRDefault="00F46C7B">
      <w:pPr>
        <w:pStyle w:val="BlockLeft"/>
        <w:rPr>
          <w:rFonts w:asciiTheme="minorHAnsi" w:hAnsiTheme="minorHAnsi" w:cstheme="minorHAnsi"/>
          <w:b/>
          <w:lang w:val="fr-FR"/>
        </w:rPr>
      </w:pPr>
      <w:r w:rsidRPr="00C73365">
        <w:rPr>
          <w:rFonts w:asciiTheme="minorHAnsi" w:hAnsiTheme="minorHAnsi" w:cstheme="minorHAnsi"/>
          <w:b/>
          <w:lang w:val="fr-FR"/>
        </w:rPr>
        <w:t>Monsieur Jean-Christophe Georghiou</w:t>
      </w:r>
    </w:p>
    <w:p w:rsidR="00F46C7B" w:rsidRPr="00C73365" w:rsidRDefault="00F46C7B" w:rsidP="004572A0">
      <w:pPr>
        <w:rPr>
          <w:rFonts w:asciiTheme="minorHAnsi" w:hAnsiTheme="minorHAnsi" w:cstheme="minorHAnsi"/>
          <w:lang w:val="fr-FR"/>
        </w:rPr>
      </w:pPr>
      <w:r w:rsidRPr="00C73365">
        <w:rPr>
          <w:rFonts w:asciiTheme="minorHAnsi" w:hAnsiTheme="minorHAnsi" w:cstheme="minorHAnsi"/>
          <w:lang w:val="fr-FR"/>
        </w:rPr>
        <w:t>Membre de la Compagnie régionale des commissaires aux comptes de Versailles</w:t>
      </w:r>
    </w:p>
    <w:p w:rsidR="00F46C7B" w:rsidRPr="00C73365" w:rsidRDefault="00F46C7B" w:rsidP="004572A0">
      <w:pPr>
        <w:rPr>
          <w:rFonts w:asciiTheme="minorHAnsi" w:hAnsiTheme="minorHAnsi" w:cstheme="minorHAnsi"/>
          <w:lang w:val="fr-FR"/>
        </w:rPr>
      </w:pPr>
      <w:r w:rsidRPr="00C73365">
        <w:rPr>
          <w:rFonts w:asciiTheme="minorHAnsi" w:hAnsiTheme="minorHAnsi" w:cstheme="minorHAnsi"/>
          <w:lang w:val="fr-FR"/>
        </w:rPr>
        <w:t>Date de début du premier mandat : Nomination lors de la constitution de l’entreprise le 4 décembre 2013</w:t>
      </w:r>
    </w:p>
    <w:p w:rsidR="00F46C7B" w:rsidRPr="00C73365" w:rsidRDefault="00F46C7B" w:rsidP="004572A0">
      <w:pPr>
        <w:rPr>
          <w:rFonts w:asciiTheme="minorHAnsi" w:hAnsiTheme="minorHAnsi" w:cstheme="minorHAnsi"/>
          <w:lang w:val="fr-FR"/>
        </w:rPr>
      </w:pPr>
      <w:r w:rsidRPr="00C73365">
        <w:rPr>
          <w:rFonts w:asciiTheme="minorHAnsi" w:hAnsiTheme="minorHAnsi" w:cstheme="minorHAnsi"/>
          <w:lang w:val="fr-FR"/>
        </w:rPr>
        <w:t>Durée du mandat en cours : 6 exercices à compter de la constitution de la Société</w:t>
      </w:r>
    </w:p>
    <w:p w:rsidR="005864DD"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Date d’expiration du mandat en cours : assemblée générale annuelle statuant sur les comptes de l’exercice clos le 31 décembre 2018.</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Depuis leur nomination, le commissaire aux comptes et son suppléant n’ont pas été démis de leurs fonctions et n’ont pas démissionné. </w:t>
      </w:r>
    </w:p>
    <w:p w:rsidR="001E5FAB" w:rsidRPr="00C73365" w:rsidRDefault="001E5FAB" w:rsidP="004572A0">
      <w:pPr>
        <w:pStyle w:val="BodyText"/>
        <w:rPr>
          <w:rFonts w:asciiTheme="minorHAnsi" w:hAnsiTheme="minorHAnsi" w:cstheme="minorHAnsi"/>
          <w:lang w:val="fr-FR"/>
        </w:rPr>
      </w:pPr>
      <w:r w:rsidRPr="00C73365">
        <w:rPr>
          <w:rFonts w:asciiTheme="minorHAnsi" w:hAnsiTheme="minorHAnsi" w:cstheme="minorHAnsi"/>
          <w:lang w:val="fr-FR"/>
        </w:rPr>
        <w:t>Leur mandat prendra fin à l</w:t>
      </w:r>
      <w:r w:rsidR="004572A0" w:rsidRPr="00C73365">
        <w:rPr>
          <w:rFonts w:asciiTheme="minorHAnsi" w:hAnsiTheme="minorHAnsi" w:cstheme="minorHAnsi"/>
          <w:lang w:val="fr-FR"/>
        </w:rPr>
        <w:t>’</w:t>
      </w:r>
      <w:r w:rsidRPr="00C73365">
        <w:rPr>
          <w:rFonts w:asciiTheme="minorHAnsi" w:hAnsiTheme="minorHAnsi" w:cstheme="minorHAnsi"/>
          <w:lang w:val="fr-FR"/>
        </w:rPr>
        <w:t>issue de l’assemblée générale qui statuera en 2019 sur les comptes de l’exercice clos le 31 décembre 2018.</w:t>
      </w:r>
    </w:p>
    <w:p w:rsidR="001E5FAB" w:rsidRPr="00C73365" w:rsidRDefault="001E5FAB" w:rsidP="004572A0">
      <w:pPr>
        <w:pStyle w:val="BodyText"/>
        <w:rPr>
          <w:rFonts w:asciiTheme="minorHAnsi" w:hAnsiTheme="minorHAnsi" w:cstheme="minorHAnsi"/>
          <w:lang w:val="fr-FR"/>
        </w:rPr>
      </w:pPr>
      <w:r w:rsidRPr="00C73365">
        <w:rPr>
          <w:rFonts w:asciiTheme="minorHAnsi" w:hAnsiTheme="minorHAnsi" w:cstheme="minorHAnsi"/>
          <w:lang w:val="fr-FR"/>
        </w:rPr>
        <w:t>Le tableau des honoraires des commissaires aux comptes figure en Note 1</w:t>
      </w:r>
      <w:r w:rsidR="006A6647">
        <w:rPr>
          <w:rFonts w:asciiTheme="minorHAnsi" w:hAnsiTheme="minorHAnsi" w:cstheme="minorHAnsi"/>
          <w:lang w:val="fr-FR"/>
        </w:rPr>
        <w:t>5</w:t>
      </w:r>
      <w:r w:rsidRPr="00C73365">
        <w:rPr>
          <w:rFonts w:asciiTheme="minorHAnsi" w:hAnsiTheme="minorHAnsi" w:cstheme="minorHAnsi"/>
          <w:lang w:val="fr-FR"/>
        </w:rPr>
        <w:t xml:space="preserve"> du chapitre 20.1 du présent Document de Référence.</w:t>
      </w:r>
    </w:p>
    <w:p w:rsidR="00F46C7B" w:rsidRPr="00C73365" w:rsidRDefault="00F46C7B" w:rsidP="00A96CCA">
      <w:pPr>
        <w:pStyle w:val="ConmainL1"/>
        <w:numPr>
          <w:ilvl w:val="0"/>
          <w:numId w:val="9"/>
        </w:numPr>
        <w:spacing w:after="120"/>
        <w:jc w:val="left"/>
        <w:rPr>
          <w:rFonts w:asciiTheme="minorHAnsi" w:hAnsiTheme="minorHAnsi" w:cstheme="minorHAnsi"/>
          <w:sz w:val="22"/>
          <w:lang w:val="fr-FR"/>
        </w:rPr>
      </w:pPr>
      <w:bookmarkStart w:id="23" w:name="_Toc462673224"/>
      <w:bookmarkStart w:id="24" w:name="_Toc512863884"/>
      <w:r w:rsidRPr="00C73365">
        <w:rPr>
          <w:rFonts w:asciiTheme="minorHAnsi" w:hAnsiTheme="minorHAnsi" w:cstheme="minorHAnsi"/>
          <w:sz w:val="22"/>
          <w:lang w:val="fr-FR"/>
        </w:rPr>
        <w:lastRenderedPageBreak/>
        <w:t>INFORMATIONS FINANCIERES SELECTIONNEES</w:t>
      </w:r>
      <w:bookmarkEnd w:id="23"/>
      <w:bookmarkEnd w:id="24"/>
    </w:p>
    <w:p w:rsidR="00DF442F" w:rsidRPr="00C73365" w:rsidRDefault="00DF442F" w:rsidP="004572A0">
      <w:pPr>
        <w:pStyle w:val="ListContinue"/>
        <w:rPr>
          <w:rFonts w:asciiTheme="minorHAnsi" w:hAnsiTheme="minorHAnsi" w:cstheme="minorHAnsi"/>
          <w:lang w:val="fr-FR"/>
        </w:rPr>
      </w:pPr>
      <w:r w:rsidRPr="00C73365">
        <w:rPr>
          <w:rFonts w:asciiTheme="minorHAnsi" w:hAnsiTheme="minorHAnsi" w:cstheme="minorHAnsi"/>
          <w:lang w:val="fr-FR"/>
        </w:rPr>
        <w:t>La Société a été créée le 4 décembre 2013 et a réalisé un premier exercice comptable social de 28 jours clos au 31 décembre 2013.</w:t>
      </w:r>
    </w:p>
    <w:p w:rsidR="00DF442F" w:rsidRPr="00C73365" w:rsidRDefault="00EF089C" w:rsidP="004572A0">
      <w:pPr>
        <w:pStyle w:val="ListContinue"/>
        <w:rPr>
          <w:rFonts w:asciiTheme="minorHAnsi" w:hAnsiTheme="minorHAnsi" w:cstheme="minorHAnsi"/>
          <w:lang w:val="fr-FR"/>
        </w:rPr>
      </w:pPr>
      <w:r w:rsidRPr="00C73365">
        <w:rPr>
          <w:rFonts w:asciiTheme="minorHAnsi" w:hAnsiTheme="minorHAnsi" w:cstheme="minorHAnsi"/>
          <w:lang w:val="fr-FR"/>
        </w:rPr>
        <w:t>ABIVAX</w:t>
      </w:r>
      <w:r w:rsidR="00DF442F" w:rsidRPr="00C73365">
        <w:rPr>
          <w:rFonts w:asciiTheme="minorHAnsi" w:hAnsiTheme="minorHAnsi" w:cstheme="minorHAnsi"/>
          <w:lang w:val="fr-FR"/>
        </w:rPr>
        <w:t xml:space="preserve"> a fait l’objet d’opérations d’apports en nature des sociétés SPLICOS, WITTYCELL et ZOPHIS réalisés le 25 avril 2014 et des transmissions universelles de patrimoine desdites sociétés réalisées le 31 juillet 2014 pour les sociétés ZOPHIS et WITTYCELL et le 31 octobre 2014 pour la société SPLICOS.</w:t>
      </w:r>
    </w:p>
    <w:p w:rsidR="00DF442F" w:rsidRPr="00C73365" w:rsidRDefault="00DF442F" w:rsidP="004572A0">
      <w:pPr>
        <w:pStyle w:val="ListContinue"/>
        <w:rPr>
          <w:rFonts w:asciiTheme="minorHAnsi" w:hAnsiTheme="minorHAnsi" w:cstheme="minorHAnsi"/>
          <w:lang w:val="fr-FR"/>
        </w:rPr>
      </w:pPr>
      <w:r w:rsidRPr="00C73365">
        <w:rPr>
          <w:rFonts w:asciiTheme="minorHAnsi" w:hAnsiTheme="minorHAnsi" w:cstheme="minorHAnsi"/>
          <w:lang w:val="fr-FR"/>
        </w:rPr>
        <w:t>Les informations financières sélectionnées présentées dans le présent chapitre 3 sont issues des états financiers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des exercices clos les 31 décembre </w:t>
      </w:r>
      <w:r w:rsidR="00342FB5" w:rsidRPr="00C73365">
        <w:rPr>
          <w:rFonts w:asciiTheme="minorHAnsi" w:hAnsiTheme="minorHAnsi" w:cstheme="minorHAnsi"/>
          <w:lang w:val="fr-FR"/>
        </w:rPr>
        <w:t xml:space="preserve">2017 </w:t>
      </w:r>
      <w:r w:rsidRPr="00C73365">
        <w:rPr>
          <w:rFonts w:asciiTheme="minorHAnsi" w:hAnsiTheme="minorHAnsi" w:cstheme="minorHAnsi"/>
          <w:lang w:val="fr-FR"/>
        </w:rPr>
        <w:t xml:space="preserve">et 31 décembre </w:t>
      </w:r>
      <w:r w:rsidR="00342FB5" w:rsidRPr="00C73365">
        <w:rPr>
          <w:rFonts w:asciiTheme="minorHAnsi" w:hAnsiTheme="minorHAnsi" w:cstheme="minorHAnsi"/>
          <w:lang w:val="fr-FR"/>
        </w:rPr>
        <w:t xml:space="preserve">2016 </w:t>
      </w:r>
      <w:r w:rsidRPr="00C73365">
        <w:rPr>
          <w:rFonts w:asciiTheme="minorHAnsi" w:hAnsiTheme="minorHAnsi" w:cstheme="minorHAnsi"/>
          <w:lang w:val="fr-FR"/>
        </w:rPr>
        <w:t xml:space="preserve">figurant au paragraphe 20.1. « Informations financières historiques » du présent document de référence d’une part, ainsi que les exercices clos les 31 décembre </w:t>
      </w:r>
      <w:r w:rsidR="00342FB5" w:rsidRPr="00C73365">
        <w:rPr>
          <w:rFonts w:asciiTheme="minorHAnsi" w:hAnsiTheme="minorHAnsi" w:cstheme="minorHAnsi"/>
          <w:lang w:val="fr-FR"/>
        </w:rPr>
        <w:t xml:space="preserve">2015 et 2014 </w:t>
      </w:r>
      <w:r w:rsidRPr="00C73365">
        <w:rPr>
          <w:rFonts w:asciiTheme="minorHAnsi" w:hAnsiTheme="minorHAnsi" w:cstheme="minorHAnsi"/>
          <w:lang w:val="fr-FR"/>
        </w:rPr>
        <w:t>d’autre part.</w:t>
      </w:r>
    </w:p>
    <w:p w:rsidR="00DF442F" w:rsidRPr="00C73365" w:rsidRDefault="00DF442F" w:rsidP="004572A0">
      <w:pPr>
        <w:pStyle w:val="ListContinue"/>
        <w:rPr>
          <w:rFonts w:asciiTheme="minorHAnsi" w:hAnsiTheme="minorHAnsi" w:cstheme="minorHAnsi"/>
          <w:lang w:val="fr-FR"/>
        </w:rPr>
      </w:pPr>
      <w:r w:rsidRPr="00C73365">
        <w:rPr>
          <w:rFonts w:asciiTheme="minorHAnsi" w:hAnsiTheme="minorHAnsi" w:cstheme="minorHAnsi"/>
          <w:lang w:val="fr-FR"/>
        </w:rPr>
        <w:t>Ces informations financières doivent être lues en parallèle avec :</w:t>
      </w:r>
    </w:p>
    <w:p w:rsidR="00DF442F" w:rsidRPr="00C73365" w:rsidRDefault="005864DD" w:rsidP="00B170BA">
      <w:pPr>
        <w:pStyle w:val="ListParagraph"/>
        <w:numPr>
          <w:ilvl w:val="0"/>
          <w:numId w:val="37"/>
        </w:numPr>
        <w:rPr>
          <w:rFonts w:asciiTheme="minorHAnsi" w:hAnsiTheme="minorHAnsi" w:cstheme="minorHAnsi"/>
          <w:bCs/>
          <w:szCs w:val="20"/>
          <w:lang w:val="fr-FR"/>
        </w:rPr>
      </w:pPr>
      <w:r w:rsidRPr="00C73365">
        <w:rPr>
          <w:rFonts w:asciiTheme="minorHAnsi" w:hAnsiTheme="minorHAnsi" w:cstheme="minorHAnsi"/>
          <w:bCs/>
          <w:szCs w:val="20"/>
          <w:lang w:val="fr-FR"/>
        </w:rPr>
        <w:t>L’examen</w:t>
      </w:r>
      <w:r w:rsidR="00DF442F" w:rsidRPr="00C73365">
        <w:rPr>
          <w:rFonts w:asciiTheme="minorHAnsi" w:hAnsiTheme="minorHAnsi" w:cstheme="minorHAnsi"/>
          <w:bCs/>
          <w:szCs w:val="20"/>
          <w:lang w:val="fr-FR"/>
        </w:rPr>
        <w:t xml:space="preserve"> du résultat et de la situation financière du Groupe présenté au chapitre 9 du présent document de référence et </w:t>
      </w:r>
    </w:p>
    <w:p w:rsidR="00DF442F" w:rsidRPr="00C73365" w:rsidRDefault="005864DD" w:rsidP="00B170BA">
      <w:pPr>
        <w:pStyle w:val="ListParagraph"/>
        <w:numPr>
          <w:ilvl w:val="0"/>
          <w:numId w:val="37"/>
        </w:numPr>
        <w:rPr>
          <w:rFonts w:asciiTheme="minorHAnsi" w:hAnsiTheme="minorHAnsi" w:cstheme="minorHAnsi"/>
          <w:bCs/>
          <w:szCs w:val="20"/>
          <w:lang w:val="fr-FR"/>
        </w:rPr>
      </w:pPr>
      <w:r w:rsidRPr="00C73365">
        <w:rPr>
          <w:rFonts w:asciiTheme="minorHAnsi" w:hAnsiTheme="minorHAnsi" w:cstheme="minorHAnsi"/>
          <w:bCs/>
          <w:szCs w:val="20"/>
          <w:lang w:val="fr-FR"/>
        </w:rPr>
        <w:t>L’examen</w:t>
      </w:r>
      <w:r w:rsidR="00DF442F" w:rsidRPr="00C73365">
        <w:rPr>
          <w:rFonts w:asciiTheme="minorHAnsi" w:hAnsiTheme="minorHAnsi" w:cstheme="minorHAnsi"/>
          <w:bCs/>
          <w:szCs w:val="20"/>
          <w:lang w:val="fr-FR"/>
        </w:rPr>
        <w:t xml:space="preserve"> de la trésorerie et des capitaux du Groupe présenté au chapitre 10 du présent document de référence. </w:t>
      </w:r>
    </w:p>
    <w:p w:rsidR="00DF442F" w:rsidRPr="00C73365" w:rsidRDefault="00DF442F" w:rsidP="004572A0">
      <w:pPr>
        <w:pStyle w:val="BodyText"/>
        <w:rPr>
          <w:rFonts w:asciiTheme="minorHAnsi" w:hAnsiTheme="minorHAnsi" w:cstheme="minorHAnsi"/>
          <w:lang w:val="fr-FR"/>
        </w:rPr>
      </w:pPr>
      <w:r w:rsidRPr="00C73365">
        <w:rPr>
          <w:rFonts w:asciiTheme="minorHAnsi" w:hAnsiTheme="minorHAnsi" w:cstheme="minorHAnsi"/>
          <w:lang w:val="fr-FR"/>
        </w:rPr>
        <w:t xml:space="preserve">Extraits des informations financières reprenant les éléments clés des résultats annuels établis conformément aux normes comptables françaises, pour les exercices </w:t>
      </w:r>
      <w:r w:rsidR="00342FB5" w:rsidRPr="00C73365">
        <w:rPr>
          <w:rFonts w:asciiTheme="minorHAnsi" w:hAnsiTheme="minorHAnsi" w:cstheme="minorHAnsi"/>
          <w:lang w:val="fr-FR"/>
        </w:rPr>
        <w:t xml:space="preserve">2017 </w:t>
      </w:r>
      <w:r w:rsidRPr="00C73365">
        <w:rPr>
          <w:rFonts w:asciiTheme="minorHAnsi" w:hAnsiTheme="minorHAnsi" w:cstheme="minorHAnsi"/>
          <w:lang w:val="fr-FR"/>
        </w:rPr>
        <w:t xml:space="preserve">et </w:t>
      </w:r>
      <w:r w:rsidR="00342FB5" w:rsidRPr="00C73365">
        <w:rPr>
          <w:rFonts w:asciiTheme="minorHAnsi" w:hAnsiTheme="minorHAnsi" w:cstheme="minorHAnsi"/>
          <w:lang w:val="fr-FR"/>
        </w:rPr>
        <w:t>2016</w:t>
      </w:r>
      <w:r w:rsidR="00CE3CE6" w:rsidRPr="00C73365">
        <w:rPr>
          <w:rFonts w:asciiTheme="minorHAnsi" w:hAnsiTheme="minorHAnsi" w:cstheme="minorHAnsi"/>
          <w:lang w:val="fr-FR"/>
        </w:rPr>
        <w:t>.</w:t>
      </w:r>
    </w:p>
    <w:p w:rsidR="00DF442F" w:rsidRPr="00C73365" w:rsidRDefault="00DF442F" w:rsidP="00A96CCA">
      <w:pPr>
        <w:pStyle w:val="BlockLeft"/>
        <w:keepNext/>
        <w:jc w:val="center"/>
        <w:rPr>
          <w:rFonts w:asciiTheme="minorHAnsi" w:hAnsiTheme="minorHAnsi" w:cstheme="minorHAnsi"/>
          <w:b/>
          <w:color w:val="7030A0"/>
          <w:lang w:val="fr-FR"/>
        </w:rPr>
      </w:pPr>
      <w:r w:rsidRPr="00C73365">
        <w:rPr>
          <w:rFonts w:asciiTheme="minorHAnsi" w:hAnsiTheme="minorHAnsi" w:cstheme="minorHAnsi"/>
          <w:b/>
          <w:color w:val="7030A0"/>
          <w:lang w:val="fr-FR"/>
        </w:rPr>
        <w:t>Informations financières sélectionnées du compte de résultat :</w:t>
      </w:r>
    </w:p>
    <w:tbl>
      <w:tblPr>
        <w:tblpPr w:leftFromText="141" w:rightFromText="141" w:vertAnchor="text" w:horzAnchor="margin" w:tblpXSpec="center" w:tblpY="-27"/>
        <w:tblOverlap w:val="never"/>
        <w:tblW w:w="7204" w:type="dxa"/>
        <w:tblCellMar>
          <w:left w:w="70" w:type="dxa"/>
          <w:right w:w="70" w:type="dxa"/>
        </w:tblCellMar>
        <w:tblLook w:val="04A0" w:firstRow="1" w:lastRow="0" w:firstColumn="1" w:lastColumn="0" w:noHBand="0" w:noVBand="1"/>
      </w:tblPr>
      <w:tblGrid>
        <w:gridCol w:w="3760"/>
        <w:gridCol w:w="1225"/>
        <w:gridCol w:w="1225"/>
        <w:gridCol w:w="994"/>
      </w:tblGrid>
      <w:tr w:rsidR="00A96CCA" w:rsidRPr="00C73365" w:rsidTr="00A96CCA">
        <w:trPr>
          <w:trHeight w:val="288"/>
        </w:trPr>
        <w:tc>
          <w:tcPr>
            <w:tcW w:w="3760" w:type="dxa"/>
            <w:tcBorders>
              <w:top w:val="single" w:sz="12" w:space="0" w:color="7030A0"/>
              <w:left w:val="nil"/>
              <w:bottom w:val="nil"/>
              <w:right w:val="nil"/>
            </w:tcBorders>
            <w:shd w:val="clear" w:color="auto" w:fill="auto"/>
            <w:vAlign w:val="center"/>
            <w:hideMark/>
          </w:tcPr>
          <w:p w:rsidR="00A96CCA" w:rsidRPr="00C73365" w:rsidRDefault="00A96CCA"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Eléments du Compte de Résultat</w:t>
            </w:r>
          </w:p>
        </w:tc>
        <w:tc>
          <w:tcPr>
            <w:tcW w:w="1225" w:type="dxa"/>
            <w:vMerge w:val="restart"/>
            <w:tcBorders>
              <w:top w:val="single" w:sz="12" w:space="0" w:color="7030A0"/>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225" w:type="dxa"/>
            <w:vMerge w:val="restart"/>
            <w:tcBorders>
              <w:top w:val="single" w:sz="12" w:space="0" w:color="7030A0"/>
              <w:left w:val="nil"/>
              <w:bottom w:val="single" w:sz="8" w:space="0" w:color="7030A0"/>
              <w:right w:val="nil"/>
            </w:tcBorders>
            <w:shd w:val="clear" w:color="auto" w:fill="auto"/>
            <w:vAlign w:val="center"/>
            <w:hideMark/>
          </w:tcPr>
          <w:p w:rsidR="00A96CCA" w:rsidRPr="008A1306" w:rsidRDefault="00A96CCA" w:rsidP="00A96CCA">
            <w:pPr>
              <w:spacing w:after="0"/>
              <w:jc w:val="right"/>
              <w:rPr>
                <w:rFonts w:asciiTheme="minorHAnsi" w:hAnsiTheme="minorHAnsi" w:cstheme="minorHAnsi"/>
                <w:b/>
                <w:bCs/>
                <w:color w:val="7030A0"/>
                <w:szCs w:val="20"/>
                <w:lang w:val="fr-FR" w:eastAsia="fr-FR"/>
              </w:rPr>
            </w:pPr>
            <w:r w:rsidRPr="008A1306">
              <w:rPr>
                <w:rFonts w:asciiTheme="minorHAnsi" w:hAnsiTheme="minorHAnsi" w:cstheme="minorHAnsi"/>
                <w:b/>
                <w:bCs/>
                <w:color w:val="7030A0"/>
                <w:szCs w:val="20"/>
                <w:lang w:val="fr-FR" w:eastAsia="fr-FR"/>
              </w:rPr>
              <w:t>31/12/2016</w:t>
            </w:r>
          </w:p>
        </w:tc>
        <w:tc>
          <w:tcPr>
            <w:tcW w:w="994" w:type="dxa"/>
            <w:vMerge w:val="restart"/>
            <w:tcBorders>
              <w:top w:val="single" w:sz="12" w:space="0" w:color="7030A0"/>
              <w:left w:val="nil"/>
              <w:bottom w:val="single" w:sz="8" w:space="0" w:color="7030A0"/>
              <w:right w:val="nil"/>
            </w:tcBorders>
            <w:shd w:val="clear" w:color="auto" w:fill="auto"/>
            <w:vAlign w:val="center"/>
            <w:hideMark/>
          </w:tcPr>
          <w:p w:rsidR="00A96CCA" w:rsidRPr="008A1306" w:rsidRDefault="00A96CCA" w:rsidP="00A96CCA">
            <w:pPr>
              <w:spacing w:after="0"/>
              <w:jc w:val="right"/>
              <w:rPr>
                <w:rFonts w:asciiTheme="minorHAnsi" w:hAnsiTheme="minorHAnsi" w:cstheme="minorHAnsi"/>
                <w:b/>
                <w:bCs/>
                <w:color w:val="7030A0"/>
                <w:szCs w:val="20"/>
                <w:lang w:val="fr-FR" w:eastAsia="fr-FR"/>
              </w:rPr>
            </w:pPr>
            <w:r w:rsidRPr="008A1306">
              <w:rPr>
                <w:rFonts w:asciiTheme="minorHAnsi" w:hAnsiTheme="minorHAnsi" w:cstheme="minorHAnsi"/>
                <w:b/>
                <w:bCs/>
                <w:color w:val="7030A0"/>
                <w:szCs w:val="20"/>
                <w:lang w:val="fr-FR" w:eastAsia="fr-FR"/>
              </w:rPr>
              <w:t>Variation</w:t>
            </w:r>
          </w:p>
        </w:tc>
      </w:tr>
      <w:tr w:rsidR="00A96CCA" w:rsidRPr="00C73365" w:rsidTr="00A96CCA">
        <w:trPr>
          <w:trHeight w:val="288"/>
        </w:trPr>
        <w:tc>
          <w:tcPr>
            <w:tcW w:w="3760"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225" w:type="dxa"/>
            <w:vMerge/>
            <w:tcBorders>
              <w:top w:val="single" w:sz="12" w:space="0" w:color="7030A0"/>
              <w:left w:val="nil"/>
              <w:bottom w:val="single" w:sz="8" w:space="0" w:color="7030A0"/>
              <w:right w:val="nil"/>
            </w:tcBorders>
            <w:vAlign w:val="center"/>
            <w:hideMark/>
          </w:tcPr>
          <w:p w:rsidR="00A96CCA" w:rsidRPr="00C73365" w:rsidRDefault="00A96CCA" w:rsidP="00A96CCA">
            <w:pPr>
              <w:spacing w:after="0"/>
              <w:rPr>
                <w:rFonts w:asciiTheme="minorHAnsi" w:hAnsiTheme="minorHAnsi" w:cstheme="minorHAnsi"/>
                <w:b/>
                <w:bCs/>
                <w:color w:val="7030A0"/>
                <w:szCs w:val="20"/>
                <w:lang w:val="fr-FR" w:eastAsia="fr-FR"/>
              </w:rPr>
            </w:pPr>
          </w:p>
        </w:tc>
        <w:tc>
          <w:tcPr>
            <w:tcW w:w="1225" w:type="dxa"/>
            <w:vMerge/>
            <w:tcBorders>
              <w:top w:val="single" w:sz="12" w:space="0" w:color="7030A0"/>
              <w:left w:val="nil"/>
              <w:bottom w:val="single" w:sz="8" w:space="0" w:color="7030A0"/>
              <w:right w:val="nil"/>
            </w:tcBorders>
            <w:vAlign w:val="center"/>
            <w:hideMark/>
          </w:tcPr>
          <w:p w:rsidR="00A96CCA" w:rsidRPr="00C73365" w:rsidRDefault="00A96CCA" w:rsidP="00A96CCA">
            <w:pPr>
              <w:spacing w:after="0"/>
              <w:rPr>
                <w:rFonts w:asciiTheme="minorHAnsi" w:hAnsiTheme="minorHAnsi" w:cstheme="minorHAnsi"/>
                <w:b/>
                <w:bCs/>
                <w:color w:val="000000"/>
                <w:szCs w:val="20"/>
                <w:lang w:val="fr-FR" w:eastAsia="fr-FR"/>
              </w:rPr>
            </w:pPr>
          </w:p>
        </w:tc>
        <w:tc>
          <w:tcPr>
            <w:tcW w:w="994" w:type="dxa"/>
            <w:vMerge/>
            <w:tcBorders>
              <w:top w:val="single" w:sz="12" w:space="0" w:color="7030A0"/>
              <w:left w:val="nil"/>
              <w:bottom w:val="single" w:sz="8" w:space="0" w:color="7030A0"/>
              <w:right w:val="nil"/>
            </w:tcBorders>
            <w:vAlign w:val="center"/>
            <w:hideMark/>
          </w:tcPr>
          <w:p w:rsidR="00A96CCA" w:rsidRPr="00C73365" w:rsidRDefault="00A96CCA" w:rsidP="00A96CCA">
            <w:pPr>
              <w:spacing w:after="0"/>
              <w:rPr>
                <w:rFonts w:asciiTheme="minorHAnsi" w:hAnsiTheme="minorHAnsi" w:cstheme="minorHAnsi"/>
                <w:b/>
                <w:bCs/>
                <w:color w:val="000000"/>
                <w:szCs w:val="20"/>
                <w:lang w:val="fr-FR" w:eastAsia="fr-FR"/>
              </w:rPr>
            </w:pP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Total produits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225" w:type="dxa"/>
            <w:tcBorders>
              <w:top w:val="nil"/>
              <w:left w:val="nil"/>
              <w:bottom w:val="nil"/>
              <w:right w:val="nil"/>
            </w:tcBorders>
            <w:shd w:val="clear" w:color="auto" w:fill="auto"/>
            <w:noWrap/>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357</w:t>
            </w:r>
          </w:p>
        </w:tc>
        <w:tc>
          <w:tcPr>
            <w:tcW w:w="1225" w:type="dxa"/>
            <w:tcBorders>
              <w:top w:val="nil"/>
              <w:left w:val="nil"/>
              <w:bottom w:val="nil"/>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151</w:t>
            </w:r>
          </w:p>
        </w:tc>
        <w:tc>
          <w:tcPr>
            <w:tcW w:w="994" w:type="dxa"/>
            <w:tcBorders>
              <w:top w:val="nil"/>
              <w:left w:val="nil"/>
              <w:bottom w:val="nil"/>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206</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Total charges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225" w:type="dxa"/>
            <w:tcBorders>
              <w:top w:val="nil"/>
              <w:left w:val="nil"/>
              <w:bottom w:val="nil"/>
              <w:right w:val="nil"/>
            </w:tcBorders>
            <w:shd w:val="clear" w:color="auto" w:fill="auto"/>
            <w:noWrap/>
            <w:vAlign w:val="center"/>
            <w:hideMark/>
          </w:tcPr>
          <w:p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A96CCA" w:rsidRPr="00C73365">
              <w:rPr>
                <w:rFonts w:asciiTheme="minorHAnsi" w:hAnsiTheme="minorHAnsi" w:cstheme="minorHAnsi"/>
                <w:color w:val="000000"/>
                <w:szCs w:val="20"/>
              </w:rPr>
              <w:t>14 507</w:t>
            </w:r>
          </w:p>
        </w:tc>
        <w:tc>
          <w:tcPr>
            <w:tcW w:w="1225" w:type="dxa"/>
            <w:tcBorders>
              <w:top w:val="nil"/>
              <w:left w:val="nil"/>
              <w:bottom w:val="nil"/>
              <w:right w:val="nil"/>
            </w:tcBorders>
            <w:shd w:val="clear" w:color="auto" w:fill="auto"/>
            <w:vAlign w:val="center"/>
            <w:hideMark/>
          </w:tcPr>
          <w:p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A96CCA" w:rsidRPr="00C73365">
              <w:rPr>
                <w:rFonts w:asciiTheme="minorHAnsi" w:hAnsiTheme="minorHAnsi" w:cstheme="minorHAnsi"/>
                <w:color w:val="000000"/>
                <w:szCs w:val="20"/>
                <w:lang w:val="fr-FR" w:eastAsia="fr-FR"/>
              </w:rPr>
              <w:t>18 387</w:t>
            </w:r>
          </w:p>
        </w:tc>
        <w:tc>
          <w:tcPr>
            <w:tcW w:w="994" w:type="dxa"/>
            <w:tcBorders>
              <w:top w:val="nil"/>
              <w:left w:val="nil"/>
              <w:bottom w:val="nil"/>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3 880</w:t>
            </w:r>
          </w:p>
        </w:tc>
      </w:tr>
      <w:tr w:rsidR="00A96CCA" w:rsidRPr="00C73365" w:rsidTr="00A96CCA">
        <w:trPr>
          <w:trHeight w:val="276"/>
        </w:trPr>
        <w:tc>
          <w:tcPr>
            <w:tcW w:w="3760" w:type="dxa"/>
            <w:tcBorders>
              <w:top w:val="nil"/>
              <w:left w:val="nil"/>
              <w:bottom w:val="nil"/>
              <w:right w:val="nil"/>
            </w:tcBorders>
            <w:shd w:val="clear" w:color="000000" w:fill="FFFFFF"/>
            <w:noWrap/>
            <w:vAlign w:val="center"/>
            <w:hideMark/>
          </w:tcPr>
          <w:p w:rsidR="00A96CCA" w:rsidRPr="00C73365" w:rsidRDefault="00A96CCA" w:rsidP="00A96CCA">
            <w:pPr>
              <w:spacing w:after="0"/>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dont frais de Recherche et Développement</w:t>
            </w:r>
          </w:p>
        </w:tc>
        <w:tc>
          <w:tcPr>
            <w:tcW w:w="1225" w:type="dxa"/>
            <w:tcBorders>
              <w:top w:val="nil"/>
              <w:left w:val="nil"/>
              <w:bottom w:val="nil"/>
              <w:right w:val="nil"/>
            </w:tcBorders>
            <w:shd w:val="clear" w:color="auto" w:fill="auto"/>
            <w:vAlign w:val="center"/>
            <w:hideMark/>
          </w:tcPr>
          <w:p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w:t>
            </w:r>
            <w:r w:rsidR="00A96CCA" w:rsidRPr="00C73365">
              <w:rPr>
                <w:rFonts w:asciiTheme="minorHAnsi" w:hAnsiTheme="minorHAnsi" w:cstheme="minorHAnsi"/>
                <w:i/>
                <w:iCs/>
                <w:color w:val="000000"/>
                <w:szCs w:val="20"/>
              </w:rPr>
              <w:t>10 846</w:t>
            </w:r>
          </w:p>
        </w:tc>
        <w:tc>
          <w:tcPr>
            <w:tcW w:w="1225" w:type="dxa"/>
            <w:tcBorders>
              <w:top w:val="nil"/>
              <w:left w:val="nil"/>
              <w:bottom w:val="nil"/>
              <w:right w:val="nil"/>
            </w:tcBorders>
            <w:shd w:val="clear" w:color="auto" w:fill="auto"/>
            <w:vAlign w:val="center"/>
            <w:hideMark/>
          </w:tcPr>
          <w:p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A96CCA" w:rsidRPr="00C73365">
              <w:rPr>
                <w:rFonts w:asciiTheme="minorHAnsi" w:hAnsiTheme="minorHAnsi" w:cstheme="minorHAnsi"/>
                <w:color w:val="000000"/>
                <w:szCs w:val="20"/>
                <w:lang w:val="fr-FR" w:eastAsia="fr-FR"/>
              </w:rPr>
              <w:t>15 459</w:t>
            </w:r>
          </w:p>
        </w:tc>
        <w:tc>
          <w:tcPr>
            <w:tcW w:w="994" w:type="dxa"/>
            <w:tcBorders>
              <w:top w:val="nil"/>
              <w:left w:val="nil"/>
              <w:bottom w:val="nil"/>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4 613</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rsidP="00A96CCA">
            <w:pPr>
              <w:spacing w:after="0"/>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dont frais administratifs et généraux</w:t>
            </w:r>
          </w:p>
        </w:tc>
        <w:tc>
          <w:tcPr>
            <w:tcW w:w="1225" w:type="dxa"/>
            <w:tcBorders>
              <w:top w:val="nil"/>
              <w:left w:val="nil"/>
              <w:bottom w:val="single" w:sz="8" w:space="0" w:color="7030A0"/>
              <w:right w:val="nil"/>
            </w:tcBorders>
            <w:shd w:val="clear" w:color="auto" w:fill="auto"/>
            <w:vAlign w:val="center"/>
            <w:hideMark/>
          </w:tcPr>
          <w:p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w:t>
            </w:r>
            <w:r w:rsidR="00A96CCA" w:rsidRPr="00C73365">
              <w:rPr>
                <w:rFonts w:asciiTheme="minorHAnsi" w:hAnsiTheme="minorHAnsi" w:cstheme="minorHAnsi"/>
                <w:i/>
                <w:iCs/>
                <w:color w:val="000000"/>
                <w:szCs w:val="20"/>
              </w:rPr>
              <w:t>3 661</w:t>
            </w:r>
          </w:p>
        </w:tc>
        <w:tc>
          <w:tcPr>
            <w:tcW w:w="1225" w:type="dxa"/>
            <w:tcBorders>
              <w:top w:val="nil"/>
              <w:left w:val="nil"/>
              <w:bottom w:val="single" w:sz="8" w:space="0" w:color="7030A0"/>
              <w:right w:val="nil"/>
            </w:tcBorders>
            <w:shd w:val="clear" w:color="auto" w:fill="auto"/>
            <w:vAlign w:val="center"/>
            <w:hideMark/>
          </w:tcPr>
          <w:p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A96CCA" w:rsidRPr="00C73365">
              <w:rPr>
                <w:rFonts w:asciiTheme="minorHAnsi" w:hAnsiTheme="minorHAnsi" w:cstheme="minorHAnsi"/>
                <w:color w:val="000000"/>
                <w:szCs w:val="20"/>
                <w:lang w:val="fr-FR" w:eastAsia="fr-FR"/>
              </w:rPr>
              <w:t>2 928</w:t>
            </w:r>
          </w:p>
        </w:tc>
        <w:tc>
          <w:tcPr>
            <w:tcW w:w="994" w:type="dxa"/>
            <w:tcBorders>
              <w:top w:val="nil"/>
              <w:left w:val="nil"/>
              <w:bottom w:val="single" w:sz="8" w:space="0" w:color="7030A0"/>
              <w:right w:val="nil"/>
            </w:tcBorders>
            <w:shd w:val="clear" w:color="auto" w:fill="auto"/>
            <w:vAlign w:val="center"/>
            <w:hideMark/>
          </w:tcPr>
          <w:p w:rsidR="00A96CCA" w:rsidRPr="00C73365" w:rsidRDefault="0091533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w:t>
            </w:r>
            <w:r w:rsidR="00A96CCA" w:rsidRPr="00C73365">
              <w:rPr>
                <w:rFonts w:asciiTheme="minorHAnsi" w:hAnsiTheme="minorHAnsi" w:cstheme="minorHAnsi"/>
                <w:i/>
                <w:iCs/>
                <w:color w:val="000000"/>
                <w:szCs w:val="20"/>
              </w:rPr>
              <w:t>733</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Résultat d</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exploitation</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-14 150</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-18 236</w:t>
            </w:r>
          </w:p>
        </w:tc>
        <w:tc>
          <w:tcPr>
            <w:tcW w:w="994"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4 086</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financier</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77</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258</w:t>
            </w:r>
          </w:p>
        </w:tc>
        <w:tc>
          <w:tcPr>
            <w:tcW w:w="994"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-182</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Résultat courant</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-14 073</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-17 978</w:t>
            </w:r>
          </w:p>
        </w:tc>
        <w:tc>
          <w:tcPr>
            <w:tcW w:w="994"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3 905</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exceptionnel</w:t>
            </w:r>
          </w:p>
        </w:tc>
        <w:tc>
          <w:tcPr>
            <w:tcW w:w="1225" w:type="dxa"/>
            <w:tcBorders>
              <w:top w:val="nil"/>
              <w:left w:val="nil"/>
              <w:bottom w:val="nil"/>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159</w:t>
            </w:r>
          </w:p>
        </w:tc>
        <w:tc>
          <w:tcPr>
            <w:tcW w:w="1225" w:type="dxa"/>
            <w:tcBorders>
              <w:top w:val="nil"/>
              <w:left w:val="nil"/>
              <w:bottom w:val="nil"/>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152</w:t>
            </w:r>
          </w:p>
        </w:tc>
        <w:tc>
          <w:tcPr>
            <w:tcW w:w="994" w:type="dxa"/>
            <w:tcBorders>
              <w:top w:val="nil"/>
              <w:left w:val="nil"/>
              <w:bottom w:val="nil"/>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Impôt sur les bénéfices</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2 692</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3 519</w:t>
            </w:r>
          </w:p>
        </w:tc>
        <w:tc>
          <w:tcPr>
            <w:tcW w:w="994"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827</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Résultat de l</w:t>
            </w:r>
            <w:r w:rsidR="004572A0" w:rsidRPr="00C73365">
              <w:rPr>
                <w:rFonts w:asciiTheme="minorHAnsi" w:hAnsiTheme="minorHAnsi" w:cstheme="minorHAnsi"/>
                <w:b/>
                <w:bCs/>
                <w:color w:val="7030A0"/>
                <w:szCs w:val="20"/>
                <w:lang w:val="fr-FR" w:eastAsia="fr-FR"/>
              </w:rPr>
              <w:t>’</w:t>
            </w:r>
            <w:r w:rsidRPr="00C73365">
              <w:rPr>
                <w:rFonts w:asciiTheme="minorHAnsi" w:hAnsiTheme="minorHAnsi" w:cstheme="minorHAnsi"/>
                <w:b/>
                <w:bCs/>
                <w:color w:val="7030A0"/>
                <w:szCs w:val="20"/>
                <w:lang w:val="fr-FR" w:eastAsia="fr-FR"/>
              </w:rPr>
              <w:t>exercice</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-11 223</w:t>
            </w:r>
          </w:p>
        </w:tc>
        <w:tc>
          <w:tcPr>
            <w:tcW w:w="1225"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-14 308</w:t>
            </w:r>
          </w:p>
        </w:tc>
        <w:tc>
          <w:tcPr>
            <w:tcW w:w="994" w:type="dxa"/>
            <w:tcBorders>
              <w:top w:val="nil"/>
              <w:left w:val="nil"/>
              <w:bottom w:val="single" w:sz="8" w:space="0" w:color="7030A0"/>
              <w:right w:val="nil"/>
            </w:tcBorders>
            <w:shd w:val="clear" w:color="auto" w:fill="auto"/>
            <w:vAlign w:val="center"/>
            <w:hideMark/>
          </w:tcPr>
          <w:p w:rsidR="00A96CCA" w:rsidRPr="00C73365" w:rsidRDefault="00A96CC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3 085</w:t>
            </w:r>
          </w:p>
        </w:tc>
      </w:tr>
    </w:tbl>
    <w:p w:rsidR="00DF442F" w:rsidRPr="00C73365" w:rsidRDefault="00D306DB">
      <w:p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br w:type="textWrapping" w:clear="all"/>
      </w: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A96CCA" w:rsidRPr="00C73365" w:rsidRDefault="00A96CCA">
      <w:pPr>
        <w:rPr>
          <w:rFonts w:asciiTheme="minorHAnsi" w:hAnsiTheme="minorHAnsi" w:cstheme="minorHAnsi"/>
          <w:b/>
          <w:color w:val="7030A0"/>
          <w:szCs w:val="20"/>
          <w:lang w:val="fr-FR"/>
        </w:rPr>
      </w:pPr>
    </w:p>
    <w:p w:rsidR="00F46C7B" w:rsidRPr="00C73365" w:rsidRDefault="00FA1CCF" w:rsidP="00FA1CCF">
      <w:pPr>
        <w:pStyle w:val="BlockLeft"/>
        <w:keepNext/>
        <w:jc w:val="center"/>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 xml:space="preserve">Informations financières sélectionnées du </w:t>
      </w:r>
      <w:r>
        <w:rPr>
          <w:rFonts w:asciiTheme="minorHAnsi" w:hAnsiTheme="minorHAnsi" w:cstheme="minorHAnsi"/>
          <w:b/>
          <w:color w:val="7030A0"/>
          <w:lang w:val="fr-FR"/>
        </w:rPr>
        <w:t>bilan</w:t>
      </w:r>
      <w:r w:rsidRPr="00C73365">
        <w:rPr>
          <w:rFonts w:asciiTheme="minorHAnsi" w:hAnsiTheme="minorHAnsi" w:cstheme="minorHAnsi"/>
          <w:b/>
          <w:color w:val="7030A0"/>
          <w:lang w:val="fr-FR"/>
        </w:rPr>
        <w:t> :</w:t>
      </w:r>
    </w:p>
    <w:tbl>
      <w:tblPr>
        <w:tblW w:w="6818" w:type="dxa"/>
        <w:tblInd w:w="1281" w:type="dxa"/>
        <w:tblLayout w:type="fixed"/>
        <w:tblCellMar>
          <w:left w:w="70" w:type="dxa"/>
          <w:right w:w="70" w:type="dxa"/>
        </w:tblCellMar>
        <w:tblLook w:val="04A0" w:firstRow="1" w:lastRow="0" w:firstColumn="1" w:lastColumn="0" w:noHBand="0" w:noVBand="1"/>
      </w:tblPr>
      <w:tblGrid>
        <w:gridCol w:w="3760"/>
        <w:gridCol w:w="1529"/>
        <w:gridCol w:w="1529"/>
      </w:tblGrid>
      <w:tr w:rsidR="00A96CCA" w:rsidRPr="00F25F20" w:rsidTr="00A96CCA">
        <w:trPr>
          <w:trHeight w:val="288"/>
        </w:trPr>
        <w:tc>
          <w:tcPr>
            <w:tcW w:w="3760" w:type="dxa"/>
            <w:tcBorders>
              <w:top w:val="single" w:sz="12" w:space="0" w:color="7030A0"/>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ACTIF</w:t>
            </w:r>
          </w:p>
        </w:tc>
        <w:tc>
          <w:tcPr>
            <w:tcW w:w="1529" w:type="dxa"/>
            <w:tcBorders>
              <w:top w:val="single" w:sz="12" w:space="0" w:color="7030A0"/>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529" w:type="dxa"/>
            <w:tcBorders>
              <w:top w:val="single" w:sz="12" w:space="0" w:color="7030A0"/>
              <w:left w:val="nil"/>
              <w:bottom w:val="nil"/>
              <w:right w:val="nil"/>
            </w:tcBorders>
            <w:shd w:val="clear" w:color="auto" w:fill="auto"/>
            <w:vAlign w:val="center"/>
            <w:hideMark/>
          </w:tcPr>
          <w:p w:rsidR="00A96CCA" w:rsidRPr="00F25F20" w:rsidRDefault="00A96CCA">
            <w:pPr>
              <w:jc w:val="right"/>
              <w:rPr>
                <w:rFonts w:asciiTheme="minorHAnsi" w:hAnsiTheme="minorHAnsi" w:cstheme="minorHAnsi"/>
                <w:b/>
                <w:bCs/>
                <w:color w:val="7030A0"/>
                <w:szCs w:val="20"/>
                <w:lang w:val="fr-FR" w:eastAsia="fr-FR"/>
              </w:rPr>
            </w:pPr>
            <w:r w:rsidRPr="00F25F20">
              <w:rPr>
                <w:rFonts w:asciiTheme="minorHAnsi" w:hAnsiTheme="minorHAnsi" w:cstheme="minorHAnsi"/>
                <w:b/>
                <w:bCs/>
                <w:color w:val="7030A0"/>
                <w:szCs w:val="20"/>
                <w:lang w:val="fr-FR" w:eastAsia="fr-FR"/>
              </w:rPr>
              <w:t>31/12/2016</w:t>
            </w:r>
          </w:p>
        </w:tc>
      </w:tr>
      <w:tr w:rsidR="00A96CCA" w:rsidRPr="00F25F20"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Social</w:t>
            </w:r>
          </w:p>
        </w:tc>
        <w:tc>
          <w:tcPr>
            <w:tcW w:w="1529" w:type="dxa"/>
            <w:tcBorders>
              <w:top w:val="nil"/>
              <w:left w:val="nil"/>
              <w:bottom w:val="single" w:sz="8" w:space="0" w:color="7030A0"/>
              <w:right w:val="nil"/>
            </w:tcBorders>
            <w:shd w:val="clear" w:color="auto" w:fill="auto"/>
            <w:vAlign w:val="center"/>
            <w:hideMark/>
          </w:tcPr>
          <w:p w:rsidR="00A96CCA" w:rsidRPr="00F25F20" w:rsidRDefault="00A96CCA">
            <w:pPr>
              <w:jc w:val="right"/>
              <w:rPr>
                <w:rFonts w:asciiTheme="minorHAnsi" w:hAnsiTheme="minorHAnsi" w:cstheme="minorHAnsi"/>
                <w:b/>
                <w:bCs/>
                <w:color w:val="7030A0"/>
                <w:szCs w:val="20"/>
                <w:lang w:val="fr-FR" w:eastAsia="fr-FR"/>
              </w:rPr>
            </w:pPr>
            <w:r w:rsidRPr="00F25F20">
              <w:rPr>
                <w:rFonts w:asciiTheme="minorHAnsi" w:hAnsiTheme="minorHAnsi" w:cstheme="minorHAnsi"/>
                <w:b/>
                <w:bCs/>
                <w:color w:val="7030A0"/>
                <w:szCs w:val="20"/>
                <w:lang w:val="fr-FR" w:eastAsia="fr-FR"/>
              </w:rPr>
              <w:t>Social</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Actif immobilisé</w:t>
            </w:r>
          </w:p>
        </w:tc>
        <w:tc>
          <w:tcPr>
            <w:tcW w:w="1529"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szCs w:val="20"/>
                <w:lang w:val="fr-FR" w:eastAsia="fr-FR"/>
              </w:rPr>
            </w:pP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Immobilisations incorporelles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32 005</w:t>
            </w: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32 005</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Immobilisations corporelles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202</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191</w:t>
            </w:r>
          </w:p>
        </w:tc>
      </w:tr>
      <w:tr w:rsidR="00A96CCA" w:rsidRPr="00C73365" w:rsidTr="00A96CCA">
        <w:trPr>
          <w:trHeight w:val="288"/>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Immobilisations financières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731</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560</w:t>
            </w:r>
          </w:p>
        </w:tc>
      </w:tr>
      <w:tr w:rsidR="00A96CCA" w:rsidRPr="00C73365" w:rsidTr="00A96CCA">
        <w:trPr>
          <w:trHeight w:val="288"/>
        </w:trPr>
        <w:tc>
          <w:tcPr>
            <w:tcW w:w="3760" w:type="dxa"/>
            <w:tcBorders>
              <w:top w:val="single" w:sz="8" w:space="0" w:color="7030A0"/>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single" w:sz="8" w:space="0" w:color="7030A0"/>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32 939</w:t>
            </w:r>
          </w:p>
        </w:tc>
        <w:tc>
          <w:tcPr>
            <w:tcW w:w="1529" w:type="dxa"/>
            <w:tcBorders>
              <w:top w:val="single" w:sz="8" w:space="0" w:color="7030A0"/>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32 757</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Actif circulant</w:t>
            </w:r>
          </w:p>
        </w:tc>
        <w:tc>
          <w:tcPr>
            <w:tcW w:w="1529"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szCs w:val="20"/>
                <w:lang w:val="fr-FR" w:eastAsia="fr-FR"/>
              </w:rPr>
            </w:pP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Créances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3 647</w:t>
            </w: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4 803</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Instruments de trésorerie </w:t>
            </w:r>
          </w:p>
        </w:tc>
        <w:tc>
          <w:tcPr>
            <w:tcW w:w="1529"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szCs w:val="20"/>
                <w:lang w:val="fr-FR" w:eastAsia="fr-FR"/>
              </w:rPr>
            </w:pP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Valeurs mobilières de placement</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15 151</w:t>
            </w: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15 050</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Disponibilités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1 881</w:t>
            </w: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7 937</w:t>
            </w:r>
          </w:p>
        </w:tc>
      </w:tr>
      <w:tr w:rsidR="00A96CCA" w:rsidRPr="00C73365" w:rsidTr="00A96CCA">
        <w:trPr>
          <w:trHeight w:val="288"/>
        </w:trPr>
        <w:tc>
          <w:tcPr>
            <w:tcW w:w="3760" w:type="dxa"/>
            <w:tcBorders>
              <w:top w:val="nil"/>
              <w:left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Charges constatées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avance</w:t>
            </w:r>
          </w:p>
        </w:tc>
        <w:tc>
          <w:tcPr>
            <w:tcW w:w="1529" w:type="dxa"/>
            <w:tcBorders>
              <w:top w:val="nil"/>
              <w:left w:val="nil"/>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186</w:t>
            </w:r>
          </w:p>
        </w:tc>
        <w:tc>
          <w:tcPr>
            <w:tcW w:w="1529" w:type="dxa"/>
            <w:tcBorders>
              <w:top w:val="nil"/>
              <w:left w:val="nil"/>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51</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Avances et acomptes versés sur commande</w:t>
            </w:r>
          </w:p>
        </w:tc>
        <w:tc>
          <w:tcPr>
            <w:tcW w:w="1529" w:type="dxa"/>
            <w:tcBorders>
              <w:top w:val="nil"/>
              <w:left w:val="nil"/>
              <w:bottom w:val="single" w:sz="8" w:space="0" w:color="7030A0"/>
              <w:right w:val="nil"/>
            </w:tcBorders>
            <w:shd w:val="clear" w:color="auto" w:fill="auto"/>
            <w:vAlign w:val="center"/>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12</w:t>
            </w:r>
          </w:p>
        </w:tc>
        <w:tc>
          <w:tcPr>
            <w:tcW w:w="1529" w:type="dxa"/>
            <w:tcBorders>
              <w:top w:val="nil"/>
              <w:left w:val="nil"/>
              <w:bottom w:val="single" w:sz="8" w:space="0" w:color="7030A0"/>
              <w:right w:val="nil"/>
            </w:tcBorders>
            <w:shd w:val="clear" w:color="auto" w:fill="auto"/>
            <w:vAlign w:val="center"/>
          </w:tcPr>
          <w:p w:rsidR="00A96CCA" w:rsidRPr="00C73365" w:rsidRDefault="00A96CCA">
            <w:pPr>
              <w:jc w:val="right"/>
              <w:rPr>
                <w:rFonts w:asciiTheme="minorHAnsi" w:hAnsiTheme="minorHAnsi" w:cstheme="minorHAnsi"/>
                <w:color w:val="000000"/>
                <w:szCs w:val="20"/>
                <w:lang w:val="fr-FR" w:eastAsia="fr-FR"/>
              </w:rPr>
            </w:pP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20 876</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27 841</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Ecart de conversion actif</w:t>
            </w:r>
          </w:p>
        </w:tc>
        <w:tc>
          <w:tcPr>
            <w:tcW w:w="1529" w:type="dxa"/>
            <w:tcBorders>
              <w:top w:val="nil"/>
              <w:left w:val="nil"/>
              <w:bottom w:val="single" w:sz="8" w:space="0" w:color="7030A0"/>
              <w:right w:val="nil"/>
            </w:tcBorders>
            <w:shd w:val="clear" w:color="auto" w:fill="auto"/>
            <w:noWrap/>
            <w:vAlign w:val="center"/>
          </w:tcPr>
          <w:p w:rsidR="00A96CCA" w:rsidRPr="00C73365" w:rsidRDefault="00A96CCA">
            <w:pPr>
              <w:jc w:val="right"/>
              <w:rPr>
                <w:rFonts w:asciiTheme="minorHAnsi" w:hAnsiTheme="minorHAnsi" w:cstheme="minorHAnsi"/>
                <w:color w:val="000000"/>
                <w:szCs w:val="20"/>
                <w:lang w:val="fr-FR" w:eastAsia="fr-FR"/>
              </w:rPr>
            </w:pPr>
          </w:p>
        </w:tc>
        <w:tc>
          <w:tcPr>
            <w:tcW w:w="1529" w:type="dxa"/>
            <w:tcBorders>
              <w:top w:val="nil"/>
              <w:left w:val="nil"/>
              <w:bottom w:val="single" w:sz="8" w:space="0" w:color="7030A0"/>
              <w:right w:val="nil"/>
            </w:tcBorders>
            <w:shd w:val="clear" w:color="auto" w:fill="auto"/>
            <w:vAlign w:val="center"/>
          </w:tcPr>
          <w:p w:rsidR="00A96CCA" w:rsidRPr="00C73365" w:rsidRDefault="00A96CCA">
            <w:pPr>
              <w:jc w:val="right"/>
              <w:rPr>
                <w:rFonts w:asciiTheme="minorHAnsi" w:hAnsiTheme="minorHAnsi" w:cstheme="minorHAnsi"/>
                <w:color w:val="000000"/>
                <w:szCs w:val="20"/>
                <w:lang w:val="fr-FR" w:eastAsia="fr-FR"/>
              </w:rPr>
            </w:pP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 Général</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53 815 </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60 597</w:t>
            </w:r>
          </w:p>
        </w:tc>
      </w:tr>
      <w:tr w:rsidR="00A96CCA" w:rsidRPr="00F25F20"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PASSIF</w:t>
            </w:r>
          </w:p>
        </w:tc>
        <w:tc>
          <w:tcPr>
            <w:tcW w:w="1529" w:type="dxa"/>
            <w:vMerge w:val="restart"/>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p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Social</w:t>
            </w:r>
          </w:p>
        </w:tc>
        <w:tc>
          <w:tcPr>
            <w:tcW w:w="1529" w:type="dxa"/>
            <w:vMerge w:val="restart"/>
            <w:tcBorders>
              <w:top w:val="nil"/>
              <w:left w:val="nil"/>
              <w:bottom w:val="single" w:sz="8" w:space="0" w:color="7030A0"/>
              <w:right w:val="nil"/>
            </w:tcBorders>
            <w:shd w:val="clear" w:color="auto" w:fill="auto"/>
            <w:vAlign w:val="center"/>
            <w:hideMark/>
          </w:tcPr>
          <w:p w:rsidR="00A96CCA" w:rsidRPr="00F25F20" w:rsidRDefault="00A96CCA">
            <w:pPr>
              <w:jc w:val="right"/>
              <w:rPr>
                <w:rFonts w:asciiTheme="minorHAnsi" w:hAnsiTheme="minorHAnsi" w:cstheme="minorHAnsi"/>
                <w:b/>
                <w:bCs/>
                <w:color w:val="7030A0"/>
                <w:szCs w:val="20"/>
                <w:lang w:val="fr-FR" w:eastAsia="fr-FR"/>
              </w:rPr>
            </w:pPr>
            <w:r w:rsidRPr="00F25F20">
              <w:rPr>
                <w:rFonts w:asciiTheme="minorHAnsi" w:hAnsiTheme="minorHAnsi" w:cstheme="minorHAnsi"/>
                <w:b/>
                <w:bCs/>
                <w:color w:val="7030A0"/>
                <w:szCs w:val="20"/>
                <w:lang w:val="fr-FR" w:eastAsia="fr-FR"/>
              </w:rPr>
              <w:t>31/12/2016</w:t>
            </w:r>
          </w:p>
          <w:p w:rsidR="00A96CCA" w:rsidRPr="00F25F20" w:rsidRDefault="00A96CCA">
            <w:pPr>
              <w:jc w:val="right"/>
              <w:rPr>
                <w:rFonts w:asciiTheme="minorHAnsi" w:hAnsiTheme="minorHAnsi" w:cstheme="minorHAnsi"/>
                <w:b/>
                <w:bCs/>
                <w:color w:val="7030A0"/>
                <w:szCs w:val="20"/>
                <w:lang w:val="fr-FR" w:eastAsia="fr-FR"/>
              </w:rPr>
            </w:pPr>
            <w:r w:rsidRPr="00F25F20">
              <w:rPr>
                <w:rFonts w:asciiTheme="minorHAnsi" w:hAnsiTheme="minorHAnsi" w:cstheme="minorHAnsi"/>
                <w:b/>
                <w:bCs/>
                <w:color w:val="7030A0"/>
                <w:szCs w:val="20"/>
                <w:lang w:val="fr-FR" w:eastAsia="fr-FR"/>
              </w:rPr>
              <w:t>Social</w:t>
            </w:r>
          </w:p>
        </w:tc>
      </w:tr>
      <w:tr w:rsidR="00A96CCA" w:rsidRPr="00F25F20"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vMerge/>
            <w:tcBorders>
              <w:top w:val="nil"/>
              <w:left w:val="nil"/>
              <w:bottom w:val="single" w:sz="8" w:space="0" w:color="7030A0"/>
              <w:right w:val="nil"/>
            </w:tcBorders>
            <w:vAlign w:val="center"/>
            <w:hideMark/>
          </w:tcPr>
          <w:p w:rsidR="00A96CCA" w:rsidRPr="00C73365" w:rsidRDefault="00A96CCA">
            <w:pPr>
              <w:rPr>
                <w:rFonts w:asciiTheme="minorHAnsi" w:hAnsiTheme="minorHAnsi" w:cstheme="minorHAnsi"/>
                <w:b/>
                <w:bCs/>
                <w:color w:val="7030A0"/>
                <w:szCs w:val="20"/>
                <w:lang w:val="fr-FR" w:eastAsia="fr-FR"/>
              </w:rPr>
            </w:pPr>
          </w:p>
        </w:tc>
        <w:tc>
          <w:tcPr>
            <w:tcW w:w="1529" w:type="dxa"/>
            <w:vMerge/>
            <w:tcBorders>
              <w:top w:val="nil"/>
              <w:left w:val="nil"/>
              <w:bottom w:val="single" w:sz="8" w:space="0" w:color="7030A0"/>
              <w:right w:val="nil"/>
            </w:tcBorders>
            <w:vAlign w:val="center"/>
            <w:hideMark/>
          </w:tcPr>
          <w:p w:rsidR="00A96CCA" w:rsidRPr="00F25F20" w:rsidRDefault="00A96CCA" w:rsidP="00F25F20">
            <w:pPr>
              <w:jc w:val="right"/>
              <w:rPr>
                <w:rFonts w:asciiTheme="minorHAnsi" w:hAnsiTheme="minorHAnsi" w:cstheme="minorHAnsi"/>
                <w:b/>
                <w:bCs/>
                <w:color w:val="7030A0"/>
                <w:szCs w:val="20"/>
                <w:lang w:val="fr-FR" w:eastAsia="fr-FR"/>
              </w:rPr>
            </w:pP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Capitaux propres</w:t>
            </w: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43 916</w:t>
            </w: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54 510</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Avances conditionnées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4 264</w:t>
            </w: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2 208</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Provisions pour risques et charges</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27</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16</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48 207</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56 734</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Dettes</w:t>
            </w:r>
          </w:p>
        </w:tc>
        <w:tc>
          <w:tcPr>
            <w:tcW w:w="1529"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b/>
                <w:bCs/>
                <w:color w:val="000000"/>
                <w:szCs w:val="20"/>
                <w:lang w:val="fr-FR" w:eastAsia="fr-FR"/>
              </w:rPr>
            </w:pPr>
          </w:p>
        </w:tc>
        <w:tc>
          <w:tcPr>
            <w:tcW w:w="1529" w:type="dxa"/>
            <w:tcBorders>
              <w:top w:val="nil"/>
              <w:left w:val="nil"/>
              <w:bottom w:val="nil"/>
              <w:right w:val="nil"/>
            </w:tcBorders>
            <w:shd w:val="clear" w:color="auto" w:fill="auto"/>
            <w:vAlign w:val="center"/>
            <w:hideMark/>
          </w:tcPr>
          <w:p w:rsidR="00A96CCA" w:rsidRPr="00C73365" w:rsidRDefault="00A96CCA">
            <w:pPr>
              <w:jc w:val="right"/>
              <w:rPr>
                <w:rFonts w:asciiTheme="minorHAnsi" w:hAnsiTheme="minorHAnsi" w:cstheme="minorHAnsi"/>
                <w:szCs w:val="20"/>
                <w:lang w:val="fr-FR" w:eastAsia="fr-FR"/>
              </w:rPr>
            </w:pP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Emprunts obligataires convertibles </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92</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61</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Emprunts et dettes financières – Autres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170</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255</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Fournisseurs et comptes rattachés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4 219</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2 571</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Dettes fiscales et sociales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1 102</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974</w:t>
            </w:r>
          </w:p>
        </w:tc>
      </w:tr>
      <w:tr w:rsidR="00A96CCA" w:rsidRPr="00C73365" w:rsidTr="00A96CCA">
        <w:trPr>
          <w:trHeight w:val="276"/>
        </w:trPr>
        <w:tc>
          <w:tcPr>
            <w:tcW w:w="3760" w:type="dxa"/>
            <w:tcBorders>
              <w:top w:val="nil"/>
              <w:left w:val="nil"/>
              <w:bottom w:val="nil"/>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Autres dettes</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22</w:t>
            </w:r>
          </w:p>
        </w:tc>
        <w:tc>
          <w:tcPr>
            <w:tcW w:w="1529" w:type="dxa"/>
            <w:tcBorders>
              <w:top w:val="nil"/>
              <w:left w:val="nil"/>
              <w:bottom w:val="nil"/>
              <w:right w:val="nil"/>
            </w:tcBorders>
            <w:shd w:val="clear" w:color="auto" w:fill="auto"/>
            <w:noWrap/>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Produits constatés d’avance</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5 604</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3 863</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Ecart de conversion passif</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szCs w:val="20"/>
              </w:rPr>
              <w:t>4</w:t>
            </w:r>
          </w:p>
        </w:tc>
        <w:tc>
          <w:tcPr>
            <w:tcW w:w="1529" w:type="dxa"/>
            <w:tcBorders>
              <w:top w:val="nil"/>
              <w:left w:val="nil"/>
              <w:bottom w:val="single" w:sz="8" w:space="0" w:color="7030A0"/>
              <w:right w:val="nil"/>
            </w:tcBorders>
            <w:shd w:val="clear" w:color="auto" w:fill="auto"/>
            <w:vAlign w:val="center"/>
            <w:hideMark/>
          </w:tcPr>
          <w:p w:rsidR="00A96CCA" w:rsidRPr="00C73365" w:rsidRDefault="00A96CCA">
            <w:pPr>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r>
      <w:tr w:rsidR="00A96CCA" w:rsidRPr="00C73365" w:rsidTr="00A96CCA">
        <w:trPr>
          <w:trHeight w:val="288"/>
        </w:trPr>
        <w:tc>
          <w:tcPr>
            <w:tcW w:w="3760" w:type="dxa"/>
            <w:tcBorders>
              <w:top w:val="nil"/>
              <w:left w:val="nil"/>
              <w:bottom w:val="single" w:sz="8" w:space="0" w:color="7030A0"/>
              <w:right w:val="nil"/>
            </w:tcBorders>
            <w:shd w:val="clear" w:color="auto" w:fill="auto"/>
            <w:noWrap/>
            <w:vAlign w:val="center"/>
            <w:hideMark/>
          </w:tcPr>
          <w:p w:rsidR="00A96CCA" w:rsidRPr="00C73365" w:rsidRDefault="00A96CC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 Général</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53 815</w:t>
            </w:r>
          </w:p>
        </w:tc>
        <w:tc>
          <w:tcPr>
            <w:tcW w:w="1529" w:type="dxa"/>
            <w:tcBorders>
              <w:top w:val="nil"/>
              <w:left w:val="nil"/>
              <w:bottom w:val="single" w:sz="8" w:space="0" w:color="7030A0"/>
              <w:right w:val="nil"/>
            </w:tcBorders>
            <w:shd w:val="clear" w:color="auto" w:fill="auto"/>
            <w:noWrap/>
            <w:vAlign w:val="center"/>
            <w:hideMark/>
          </w:tcPr>
          <w:p w:rsidR="00A96CCA" w:rsidRPr="00C73365" w:rsidRDefault="00A96CC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60 597</w:t>
            </w:r>
          </w:p>
        </w:tc>
      </w:tr>
    </w:tbl>
    <w:p w:rsidR="00214528" w:rsidRPr="00C73365" w:rsidRDefault="00214528">
      <w:pPr>
        <w:pStyle w:val="BlockLeft"/>
        <w:keepNext/>
        <w:rPr>
          <w:rFonts w:asciiTheme="minorHAnsi" w:hAnsiTheme="minorHAnsi" w:cstheme="minorHAnsi"/>
          <w:b/>
          <w:color w:val="7030A0"/>
          <w:lang w:val="fr-FR"/>
        </w:rPr>
      </w:pPr>
      <w:r w:rsidRPr="00C73365">
        <w:rPr>
          <w:rFonts w:asciiTheme="minorHAnsi" w:hAnsiTheme="minorHAnsi" w:cstheme="minorHAnsi"/>
          <w:b/>
          <w:color w:val="7030A0"/>
          <w:lang w:val="fr-FR"/>
        </w:rPr>
        <w:br w:type="page"/>
      </w:r>
    </w:p>
    <w:p w:rsidR="009E2026" w:rsidRPr="00C73365" w:rsidRDefault="009E2026">
      <w:pPr>
        <w:pStyle w:val="BlockLeft"/>
        <w:keepNext/>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Informations financières sélectionnées des flux de trésorerie :</w:t>
      </w:r>
    </w:p>
    <w:tbl>
      <w:tblPr>
        <w:tblW w:w="8928" w:type="dxa"/>
        <w:tblLayout w:type="fixed"/>
        <w:tblCellMar>
          <w:left w:w="70" w:type="dxa"/>
          <w:right w:w="70" w:type="dxa"/>
        </w:tblCellMar>
        <w:tblLook w:val="04A0" w:firstRow="1" w:lastRow="0" w:firstColumn="1" w:lastColumn="0" w:noHBand="0" w:noVBand="1"/>
      </w:tblPr>
      <w:tblGrid>
        <w:gridCol w:w="4960"/>
        <w:gridCol w:w="1529"/>
        <w:gridCol w:w="1308"/>
        <w:gridCol w:w="1131"/>
      </w:tblGrid>
      <w:tr w:rsidR="009E2026" w:rsidRPr="00B729AF" w:rsidTr="0032557C">
        <w:trPr>
          <w:trHeight w:val="852"/>
        </w:trPr>
        <w:tc>
          <w:tcPr>
            <w:tcW w:w="4960" w:type="dxa"/>
            <w:tcBorders>
              <w:top w:val="single" w:sz="12" w:space="0" w:color="7030A0"/>
              <w:left w:val="nil"/>
              <w:bottom w:val="single" w:sz="8" w:space="0" w:color="7030A0"/>
              <w:right w:val="nil"/>
            </w:tcBorders>
            <w:shd w:val="clear" w:color="auto" w:fill="auto"/>
            <w:vAlign w:val="center"/>
            <w:hideMark/>
          </w:tcPr>
          <w:p w:rsidR="009E2026" w:rsidRPr="00C73365" w:rsidRDefault="009E2026"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tcBorders>
              <w:top w:val="single" w:sz="12" w:space="0" w:color="7030A0"/>
              <w:left w:val="nil"/>
              <w:bottom w:val="single" w:sz="8" w:space="0" w:color="7030A0"/>
              <w:right w:val="nil"/>
            </w:tcBorders>
            <w:shd w:val="clear" w:color="auto" w:fill="auto"/>
            <w:vAlign w:val="center"/>
            <w:hideMark/>
          </w:tcPr>
          <w:p w:rsidR="009E2026" w:rsidRPr="00C73365" w:rsidRDefault="009E2026"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w:t>
            </w:r>
            <w:r w:rsidR="00342FB5" w:rsidRPr="00C73365">
              <w:rPr>
                <w:rFonts w:asciiTheme="minorHAnsi" w:hAnsiTheme="minorHAnsi" w:cstheme="minorHAnsi"/>
                <w:b/>
                <w:bCs/>
                <w:color w:val="7030A0"/>
                <w:szCs w:val="20"/>
                <w:lang w:val="fr-FR" w:eastAsia="fr-FR"/>
              </w:rPr>
              <w:t>2017</w:t>
            </w:r>
          </w:p>
        </w:tc>
        <w:tc>
          <w:tcPr>
            <w:tcW w:w="1308" w:type="dxa"/>
            <w:tcBorders>
              <w:top w:val="single" w:sz="12" w:space="0" w:color="7030A0"/>
              <w:left w:val="nil"/>
              <w:bottom w:val="single" w:sz="8" w:space="0" w:color="7030A0"/>
              <w:right w:val="nil"/>
            </w:tcBorders>
            <w:shd w:val="clear" w:color="auto" w:fill="auto"/>
            <w:vAlign w:val="center"/>
            <w:hideMark/>
          </w:tcPr>
          <w:p w:rsidR="009E2026" w:rsidRPr="00B729AF" w:rsidRDefault="009E2026" w:rsidP="00A96CCA">
            <w:pPr>
              <w:spacing w:after="0"/>
              <w:jc w:val="right"/>
              <w:rPr>
                <w:rFonts w:asciiTheme="minorHAnsi" w:hAnsiTheme="minorHAnsi" w:cstheme="minorHAnsi"/>
                <w:b/>
                <w:bCs/>
                <w:color w:val="7030A0"/>
                <w:szCs w:val="20"/>
                <w:lang w:val="fr-FR" w:eastAsia="fr-FR"/>
              </w:rPr>
            </w:pPr>
            <w:r w:rsidRPr="00B729AF">
              <w:rPr>
                <w:rFonts w:asciiTheme="minorHAnsi" w:hAnsiTheme="minorHAnsi" w:cstheme="minorHAnsi"/>
                <w:b/>
                <w:bCs/>
                <w:color w:val="7030A0"/>
                <w:szCs w:val="20"/>
                <w:lang w:val="fr-FR" w:eastAsia="fr-FR"/>
              </w:rPr>
              <w:t>31/12/</w:t>
            </w:r>
            <w:r w:rsidR="00342FB5" w:rsidRPr="00B729AF">
              <w:rPr>
                <w:rFonts w:asciiTheme="minorHAnsi" w:hAnsiTheme="minorHAnsi" w:cstheme="minorHAnsi"/>
                <w:b/>
                <w:bCs/>
                <w:color w:val="7030A0"/>
                <w:szCs w:val="20"/>
                <w:lang w:val="fr-FR" w:eastAsia="fr-FR"/>
              </w:rPr>
              <w:t>2016</w:t>
            </w:r>
          </w:p>
        </w:tc>
        <w:tc>
          <w:tcPr>
            <w:tcW w:w="1131" w:type="dxa"/>
            <w:tcBorders>
              <w:top w:val="single" w:sz="12" w:space="0" w:color="7030A0"/>
              <w:left w:val="nil"/>
              <w:bottom w:val="single" w:sz="8" w:space="0" w:color="7030A0"/>
              <w:right w:val="nil"/>
            </w:tcBorders>
            <w:shd w:val="clear" w:color="auto" w:fill="auto"/>
            <w:vAlign w:val="center"/>
            <w:hideMark/>
          </w:tcPr>
          <w:p w:rsidR="009E2026" w:rsidRPr="00B729AF" w:rsidRDefault="009E2026" w:rsidP="00A96CCA">
            <w:pPr>
              <w:spacing w:after="0"/>
              <w:jc w:val="right"/>
              <w:rPr>
                <w:rFonts w:asciiTheme="minorHAnsi" w:hAnsiTheme="minorHAnsi" w:cstheme="minorHAnsi"/>
                <w:b/>
                <w:bCs/>
                <w:color w:val="7030A0"/>
                <w:szCs w:val="20"/>
                <w:lang w:val="fr-FR" w:eastAsia="fr-FR"/>
              </w:rPr>
            </w:pPr>
            <w:r w:rsidRPr="00B729AF">
              <w:rPr>
                <w:rFonts w:asciiTheme="minorHAnsi" w:hAnsiTheme="minorHAnsi" w:cstheme="minorHAnsi"/>
                <w:b/>
                <w:bCs/>
                <w:color w:val="7030A0"/>
                <w:szCs w:val="20"/>
                <w:lang w:val="fr-FR" w:eastAsia="fr-FR"/>
              </w:rPr>
              <w:t>Variation</w:t>
            </w:r>
          </w:p>
        </w:tc>
      </w:tr>
      <w:tr w:rsidR="009E2026" w:rsidRPr="00F06F79" w:rsidTr="0032557C">
        <w:trPr>
          <w:trHeight w:val="276"/>
        </w:trPr>
        <w:tc>
          <w:tcPr>
            <w:tcW w:w="4960" w:type="dxa"/>
            <w:tcBorders>
              <w:top w:val="nil"/>
              <w:left w:val="nil"/>
              <w:bottom w:val="nil"/>
              <w:right w:val="nil"/>
            </w:tcBorders>
            <w:shd w:val="clear" w:color="auto" w:fill="auto"/>
            <w:noWrap/>
            <w:vAlign w:val="center"/>
            <w:hideMark/>
          </w:tcPr>
          <w:p w:rsidR="009E2026" w:rsidRPr="00C73365" w:rsidRDefault="009E2026"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liés à l</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9E2026" w:rsidRPr="00C73365" w:rsidRDefault="009E2026" w:rsidP="00A96CCA">
            <w:pPr>
              <w:spacing w:after="0"/>
              <w:rPr>
                <w:rFonts w:asciiTheme="minorHAnsi" w:hAnsiTheme="minorHAnsi" w:cstheme="minorHAnsi"/>
                <w:b/>
                <w:bCs/>
                <w:color w:val="000000"/>
                <w:szCs w:val="20"/>
                <w:lang w:val="fr-FR" w:eastAsia="fr-FR"/>
              </w:rPr>
            </w:pPr>
          </w:p>
        </w:tc>
        <w:tc>
          <w:tcPr>
            <w:tcW w:w="1308" w:type="dxa"/>
            <w:tcBorders>
              <w:top w:val="nil"/>
              <w:left w:val="nil"/>
              <w:bottom w:val="nil"/>
              <w:right w:val="nil"/>
            </w:tcBorders>
            <w:shd w:val="clear" w:color="auto" w:fill="auto"/>
            <w:vAlign w:val="center"/>
            <w:hideMark/>
          </w:tcPr>
          <w:p w:rsidR="009E2026" w:rsidRPr="00C73365" w:rsidRDefault="009E2026" w:rsidP="00A96CCA">
            <w:pPr>
              <w:spacing w:after="0"/>
              <w:jc w:val="right"/>
              <w:rPr>
                <w:rFonts w:asciiTheme="minorHAnsi" w:hAnsiTheme="minorHAnsi" w:cstheme="minorHAnsi"/>
                <w:szCs w:val="20"/>
                <w:lang w:val="fr-FR" w:eastAsia="fr-FR"/>
              </w:rPr>
            </w:pPr>
          </w:p>
        </w:tc>
        <w:tc>
          <w:tcPr>
            <w:tcW w:w="1131" w:type="dxa"/>
            <w:tcBorders>
              <w:top w:val="nil"/>
              <w:left w:val="nil"/>
              <w:bottom w:val="nil"/>
              <w:right w:val="nil"/>
            </w:tcBorders>
            <w:shd w:val="clear" w:color="auto" w:fill="auto"/>
            <w:vAlign w:val="center"/>
            <w:hideMark/>
          </w:tcPr>
          <w:p w:rsidR="009E2026" w:rsidRPr="00C73365" w:rsidRDefault="009E2026" w:rsidP="00A96CCA">
            <w:pPr>
              <w:spacing w:after="0"/>
              <w:jc w:val="right"/>
              <w:rPr>
                <w:rFonts w:asciiTheme="minorHAnsi" w:hAnsiTheme="minorHAnsi" w:cstheme="minorHAnsi"/>
                <w:szCs w:val="20"/>
                <w:lang w:val="fr-FR" w:eastAsia="fr-FR"/>
              </w:rPr>
            </w:pP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-14 150</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-18 236</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4 086</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Amortissements provisions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exclusion des provisions sur actif circulant)</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93</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-35</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128</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créances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724</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-595</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1 319</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1 647</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-237</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1 884</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Flux net de trésorerie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-11 686</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-19 103</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7 418</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Frais financiers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Produits financiers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116</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136</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w:t>
            </w:r>
          </w:p>
        </w:tc>
      </w:tr>
      <w:tr w:rsidR="006B2CAE" w:rsidRPr="00F06F79"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Charges exceptionnelles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Produits exceptionnels liés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autres créances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2979</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3 312</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-333</w:t>
            </w:r>
          </w:p>
        </w:tc>
      </w:tr>
      <w:tr w:rsidR="006B2CAE" w:rsidRPr="00C73365" w:rsidTr="0032557C">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autres dettes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152</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59</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93</w:t>
            </w:r>
          </w:p>
        </w:tc>
      </w:tr>
      <w:tr w:rsidR="006B2CAE" w:rsidRPr="00C73365" w:rsidTr="0032557C">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Flux Net de trésorerie généré par l</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activité (A)</w:t>
            </w:r>
          </w:p>
        </w:tc>
        <w:tc>
          <w:tcPr>
            <w:tcW w:w="1529" w:type="dxa"/>
            <w:tcBorders>
              <w:top w:val="single" w:sz="8"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-8 449</w:t>
            </w:r>
          </w:p>
        </w:tc>
        <w:tc>
          <w:tcPr>
            <w:tcW w:w="1308" w:type="dxa"/>
            <w:tcBorders>
              <w:top w:val="single" w:sz="8"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-15 608</w:t>
            </w:r>
          </w:p>
        </w:tc>
        <w:tc>
          <w:tcPr>
            <w:tcW w:w="1131" w:type="dxa"/>
            <w:tcBorders>
              <w:top w:val="single" w:sz="8"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7159</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 à l</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investissement</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szCs w:val="20"/>
                <w:lang w:val="fr-FR" w:eastAsia="fr-FR"/>
              </w:rPr>
            </w:pPr>
            <w:r w:rsidRPr="00C73365">
              <w:rPr>
                <w:rFonts w:asciiTheme="minorHAnsi" w:hAnsiTheme="minorHAnsi" w:cstheme="minorHAnsi"/>
                <w:color w:val="000000"/>
                <w:szCs w:val="20"/>
              </w:rPr>
              <w:t>0</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Acquisitions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-979</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-721</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-258</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Cessions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1014</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588</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426</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Réduction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 financières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40</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40</w:t>
            </w:r>
          </w:p>
        </w:tc>
      </w:tr>
      <w:tr w:rsidR="006B2CAE" w:rsidRPr="00C73365" w:rsidTr="0032557C">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et créances relatives aux investissements</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-180</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39</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-219</w:t>
            </w:r>
          </w:p>
        </w:tc>
      </w:tr>
      <w:tr w:rsidR="006B2CAE" w:rsidRPr="00C73365" w:rsidTr="0032557C">
        <w:trPr>
          <w:trHeight w:val="288"/>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Flux Net de trésorerie lié aux opérations d</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investissement (B)</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-105</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-94</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-11</w:t>
            </w:r>
          </w:p>
        </w:tc>
      </w:tr>
      <w:tr w:rsidR="006B2CAE" w:rsidRPr="00C73365" w:rsidTr="0032557C">
        <w:trPr>
          <w:trHeight w:val="288"/>
        </w:trPr>
        <w:tc>
          <w:tcPr>
            <w:tcW w:w="4960" w:type="dxa"/>
            <w:tcBorders>
              <w:top w:val="single" w:sz="8" w:space="0" w:color="7030A0"/>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 au financement</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szCs w:val="20"/>
                <w:lang w:val="fr-FR" w:eastAsia="fr-FR"/>
              </w:rPr>
            </w:pPr>
            <w:r w:rsidRPr="00C73365">
              <w:rPr>
                <w:rFonts w:asciiTheme="minorHAnsi" w:hAnsiTheme="minorHAnsi" w:cstheme="minorHAnsi"/>
                <w:color w:val="000000"/>
                <w:szCs w:val="20"/>
              </w:rPr>
              <w:t>0</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Augmentation de capital en numéraire et versements par les associés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628</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58</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569</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Emissions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emprunts et avances remboursables encaissées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2056</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29</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2027</w:t>
            </w:r>
          </w:p>
        </w:tc>
      </w:tr>
      <w:tr w:rsidR="006B2CAE" w:rsidRPr="00C73365" w:rsidTr="0032557C">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Remboursements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emprunts et avances remboursables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-85</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-525</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440</w:t>
            </w:r>
          </w:p>
        </w:tc>
      </w:tr>
      <w:tr w:rsidR="006B2CAE" w:rsidRPr="00C73365" w:rsidTr="0032557C">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et créances relatives aux opérations de financement</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r>
      <w:tr w:rsidR="006B2CAE" w:rsidRPr="00C73365" w:rsidTr="0032557C">
        <w:trPr>
          <w:trHeight w:val="288"/>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 Flux Net de trésorerie lié aux opérations de financement </w:t>
            </w:r>
            <w:r w:rsidR="004572A0" w:rsidRPr="00C73365">
              <w:rPr>
                <w:rFonts w:asciiTheme="minorHAnsi" w:hAnsiTheme="minorHAnsi" w:cstheme="minorHAnsi"/>
                <w:color w:val="7030A0"/>
                <w:szCs w:val="20"/>
                <w:lang w:val="fr-FR" w:eastAsia="fr-FR"/>
              </w:rPr>
              <w:t>©</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2599</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-438</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3036</w:t>
            </w:r>
          </w:p>
        </w:tc>
      </w:tr>
      <w:tr w:rsidR="006B2CAE" w:rsidRPr="00C73365" w:rsidTr="0032557C">
        <w:trPr>
          <w:trHeight w:val="276"/>
        </w:trPr>
        <w:tc>
          <w:tcPr>
            <w:tcW w:w="4960" w:type="dxa"/>
            <w:tcBorders>
              <w:top w:val="single" w:sz="8" w:space="0" w:color="7030A0"/>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 de trésorerie (A+B+C)</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-5 955</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-16 140</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10 185</w:t>
            </w:r>
          </w:p>
        </w:tc>
      </w:tr>
      <w:tr w:rsidR="006B2CAE" w:rsidRPr="00C73365" w:rsidTr="0032557C">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Trésorerie d’ouverture</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22 987</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39 127</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-16 140</w:t>
            </w:r>
          </w:p>
        </w:tc>
      </w:tr>
      <w:tr w:rsidR="006B2CAE" w:rsidRPr="00C73365" w:rsidTr="0032557C">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Trésorerie de clôture*</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17 032</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22 987</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-5 955</w:t>
            </w:r>
          </w:p>
        </w:tc>
      </w:tr>
    </w:tbl>
    <w:p w:rsidR="00214528" w:rsidRPr="00C73365" w:rsidRDefault="00214528" w:rsidP="004572A0">
      <w:pPr>
        <w:pStyle w:val="Caption"/>
        <w:rPr>
          <w:rFonts w:asciiTheme="minorHAnsi" w:hAnsiTheme="minorHAnsi" w:cstheme="minorHAnsi"/>
          <w:lang w:val="fr-FR"/>
        </w:rPr>
      </w:pPr>
      <w:r w:rsidRPr="00C73365">
        <w:rPr>
          <w:rFonts w:asciiTheme="minorHAnsi" w:hAnsiTheme="minorHAnsi" w:cstheme="minorHAnsi"/>
          <w:lang w:val="fr-FR"/>
        </w:rPr>
        <w:t>Les montants indiqués en Trésorerie correspondent aux Valeurs Mobilières de Placement et Disponibilités indiquées au Bilan</w:t>
      </w:r>
    </w:p>
    <w:p w:rsidR="00FA1CCF" w:rsidRDefault="00FA1CCF" w:rsidP="00FA1CCF">
      <w:pPr>
        <w:pStyle w:val="ListBullet"/>
        <w:numPr>
          <w:ilvl w:val="0"/>
          <w:numId w:val="0"/>
        </w:numPr>
        <w:rPr>
          <w:rFonts w:asciiTheme="minorHAnsi" w:hAnsiTheme="minorHAnsi" w:cstheme="minorHAnsi"/>
          <w:lang w:val="fr-FR"/>
        </w:rPr>
      </w:pPr>
    </w:p>
    <w:p w:rsidR="00FA1CCF" w:rsidRDefault="00214528" w:rsidP="00FA1CCF">
      <w:pPr>
        <w:pStyle w:val="ListBullet"/>
        <w:numPr>
          <w:ilvl w:val="0"/>
          <w:numId w:val="0"/>
        </w:numPr>
        <w:rPr>
          <w:rFonts w:asciiTheme="minorHAnsi" w:hAnsiTheme="minorHAnsi" w:cstheme="minorHAnsi"/>
          <w:lang w:val="fr-FR"/>
        </w:rPr>
      </w:pPr>
      <w:r w:rsidRPr="00E66FAB">
        <w:rPr>
          <w:rFonts w:asciiTheme="minorHAnsi" w:hAnsiTheme="minorHAnsi" w:cstheme="minorHAnsi"/>
          <w:lang w:val="fr-FR"/>
        </w:rPr>
        <w:t xml:space="preserve">La </w:t>
      </w:r>
      <w:r w:rsidR="00A375B4" w:rsidRPr="00E66FAB">
        <w:rPr>
          <w:rFonts w:asciiTheme="minorHAnsi" w:hAnsiTheme="minorHAnsi" w:cstheme="minorHAnsi"/>
          <w:lang w:val="fr-FR"/>
        </w:rPr>
        <w:t>trésorerie</w:t>
      </w:r>
      <w:r w:rsidRPr="00E66FAB">
        <w:rPr>
          <w:rFonts w:asciiTheme="minorHAnsi" w:hAnsiTheme="minorHAnsi" w:cstheme="minorHAnsi"/>
          <w:lang w:val="fr-FR"/>
        </w:rPr>
        <w:t xml:space="preserve"> financière nette déduction faite des dettes financières de </w:t>
      </w:r>
      <w:r w:rsidR="0085274D" w:rsidRPr="00E66FAB">
        <w:rPr>
          <w:rFonts w:asciiTheme="minorHAnsi" w:hAnsiTheme="minorHAnsi" w:cstheme="minorHAnsi"/>
          <w:lang w:val="fr-FR"/>
        </w:rPr>
        <w:t xml:space="preserve">170 </w:t>
      </w:r>
      <w:r w:rsidR="00EF089C" w:rsidRPr="00E66FAB">
        <w:rPr>
          <w:rFonts w:asciiTheme="minorHAnsi" w:hAnsiTheme="minorHAnsi" w:cstheme="minorHAnsi"/>
          <w:lang w:val="fr-FR"/>
        </w:rPr>
        <w:t>K€</w:t>
      </w:r>
      <w:r w:rsidRPr="00E66FAB">
        <w:rPr>
          <w:rFonts w:asciiTheme="minorHAnsi" w:hAnsiTheme="minorHAnsi" w:cstheme="minorHAnsi"/>
          <w:lang w:val="fr-FR"/>
        </w:rPr>
        <w:t xml:space="preserve"> est de </w:t>
      </w:r>
      <w:r w:rsidR="0085274D" w:rsidRPr="00E66FAB">
        <w:rPr>
          <w:rFonts w:asciiTheme="minorHAnsi" w:hAnsiTheme="minorHAnsi" w:cstheme="minorHAnsi"/>
          <w:lang w:val="fr-FR"/>
        </w:rPr>
        <w:t xml:space="preserve">16 </w:t>
      </w:r>
      <w:r w:rsidR="006B2CAE" w:rsidRPr="00E66FAB">
        <w:rPr>
          <w:rFonts w:asciiTheme="minorHAnsi" w:hAnsiTheme="minorHAnsi" w:cstheme="minorHAnsi"/>
          <w:lang w:val="fr-FR"/>
        </w:rPr>
        <w:t>862</w:t>
      </w:r>
      <w:r w:rsidRPr="00E66FAB">
        <w:rPr>
          <w:rFonts w:asciiTheme="minorHAnsi" w:hAnsiTheme="minorHAnsi" w:cstheme="minorHAnsi"/>
          <w:lang w:val="fr-FR"/>
        </w:rPr>
        <w:t xml:space="preserve"> </w:t>
      </w:r>
      <w:r w:rsidR="00EF089C" w:rsidRPr="00E66FAB">
        <w:rPr>
          <w:rFonts w:asciiTheme="minorHAnsi" w:hAnsiTheme="minorHAnsi" w:cstheme="minorHAnsi"/>
          <w:lang w:val="fr-FR"/>
        </w:rPr>
        <w:t>K€</w:t>
      </w:r>
      <w:r w:rsidR="00992828" w:rsidRPr="00E66FAB">
        <w:rPr>
          <w:rFonts w:asciiTheme="minorHAnsi" w:hAnsiTheme="minorHAnsi" w:cstheme="minorHAnsi"/>
          <w:lang w:val="fr-FR"/>
        </w:rPr>
        <w:t>.</w:t>
      </w:r>
      <w:r w:rsidR="00FA1CCF">
        <w:rPr>
          <w:rFonts w:asciiTheme="minorHAnsi" w:hAnsiTheme="minorHAnsi" w:cstheme="minorHAnsi"/>
          <w:lang w:val="fr-FR"/>
        </w:rPr>
        <w:t xml:space="preserve"> </w:t>
      </w:r>
    </w:p>
    <w:p w:rsidR="00214528" w:rsidRDefault="00214528" w:rsidP="00FA1CCF">
      <w:pPr>
        <w:pStyle w:val="ListBullet"/>
        <w:numPr>
          <w:ilvl w:val="0"/>
          <w:numId w:val="0"/>
        </w:numPr>
        <w:rPr>
          <w:rFonts w:asciiTheme="minorHAnsi" w:hAnsiTheme="minorHAnsi" w:cstheme="minorHAnsi"/>
          <w:lang w:val="fr-FR"/>
        </w:rPr>
      </w:pPr>
      <w:r w:rsidRPr="00C73365">
        <w:rPr>
          <w:rFonts w:asciiTheme="minorHAnsi" w:hAnsiTheme="minorHAnsi" w:cstheme="minorHAnsi"/>
          <w:lang w:val="fr-FR"/>
        </w:rPr>
        <w:t xml:space="preserve">La variation de trésorerie hors augmentation de capital sur l’année 2015 a été de </w:t>
      </w:r>
      <w:r w:rsidR="00972704" w:rsidRPr="00C73365">
        <w:rPr>
          <w:rFonts w:asciiTheme="minorHAnsi" w:hAnsiTheme="minorHAnsi" w:cstheme="minorHAnsi"/>
          <w:lang w:val="fr-FR"/>
        </w:rPr>
        <w:t>-</w:t>
      </w:r>
      <w:r w:rsidRPr="00C73365">
        <w:rPr>
          <w:rFonts w:asciiTheme="minorHAnsi" w:hAnsiTheme="minorHAnsi" w:cstheme="minorHAnsi"/>
          <w:lang w:val="fr-FR"/>
        </w:rPr>
        <w:t xml:space="preserve">19 628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Cette même variation était en 2016 de </w:t>
      </w:r>
      <w:r w:rsidR="0067410E" w:rsidRPr="00C73365">
        <w:rPr>
          <w:rFonts w:asciiTheme="minorHAnsi" w:hAnsiTheme="minorHAnsi" w:cstheme="minorHAnsi"/>
          <w:lang w:val="fr-FR"/>
        </w:rPr>
        <w:t>-</w:t>
      </w:r>
      <w:r w:rsidRPr="00C73365">
        <w:rPr>
          <w:rFonts w:asciiTheme="minorHAnsi" w:hAnsiTheme="minorHAnsi" w:cstheme="minorHAnsi"/>
          <w:lang w:val="fr-FR"/>
        </w:rPr>
        <w:t xml:space="preserve">16 140 </w:t>
      </w:r>
      <w:r w:rsidR="00EF089C" w:rsidRPr="00C73365">
        <w:rPr>
          <w:rFonts w:asciiTheme="minorHAnsi" w:hAnsiTheme="minorHAnsi" w:cstheme="minorHAnsi"/>
          <w:lang w:val="fr-FR"/>
        </w:rPr>
        <w:t>K€</w:t>
      </w:r>
      <w:r w:rsidR="00342FB5" w:rsidRPr="00C73365">
        <w:rPr>
          <w:rFonts w:asciiTheme="minorHAnsi" w:hAnsiTheme="minorHAnsi" w:cstheme="minorHAnsi"/>
          <w:lang w:val="fr-FR"/>
        </w:rPr>
        <w:t xml:space="preserve"> et en 2017 de</w:t>
      </w:r>
      <w:r w:rsidR="0085274D" w:rsidRPr="00C73365">
        <w:rPr>
          <w:rFonts w:asciiTheme="minorHAnsi" w:hAnsiTheme="minorHAnsi" w:cstheme="minorHAnsi"/>
          <w:lang w:val="fr-FR"/>
        </w:rPr>
        <w:t xml:space="preserve"> </w:t>
      </w:r>
      <w:r w:rsidR="0067410E" w:rsidRPr="00C73365">
        <w:rPr>
          <w:rFonts w:asciiTheme="minorHAnsi" w:hAnsiTheme="minorHAnsi" w:cstheme="minorHAnsi"/>
          <w:lang w:val="fr-FR"/>
        </w:rPr>
        <w:t>-</w:t>
      </w:r>
      <w:r w:rsidR="006B2CAE" w:rsidRPr="00C73365">
        <w:rPr>
          <w:rFonts w:asciiTheme="minorHAnsi" w:hAnsiTheme="minorHAnsi" w:cstheme="minorHAnsi"/>
          <w:lang w:val="fr-FR"/>
        </w:rPr>
        <w:t>5 955</w:t>
      </w:r>
      <w:r w:rsidR="0085274D"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00342FB5" w:rsidRPr="00C73365">
        <w:rPr>
          <w:rFonts w:asciiTheme="minorHAnsi" w:hAnsiTheme="minorHAnsi" w:cstheme="minorHAnsi"/>
          <w:lang w:val="fr-FR"/>
        </w:rPr>
        <w:t xml:space="preserve"> </w:t>
      </w:r>
    </w:p>
    <w:p w:rsidR="00F46C7B" w:rsidRPr="00C73365" w:rsidRDefault="00F46C7B" w:rsidP="00A96CCA">
      <w:pPr>
        <w:pStyle w:val="ConmainL1"/>
        <w:numPr>
          <w:ilvl w:val="0"/>
          <w:numId w:val="9"/>
        </w:numPr>
        <w:spacing w:after="120"/>
        <w:rPr>
          <w:rFonts w:asciiTheme="minorHAnsi" w:hAnsiTheme="minorHAnsi" w:cstheme="minorHAnsi"/>
          <w:sz w:val="22"/>
          <w:lang w:val="fr-FR"/>
        </w:rPr>
      </w:pPr>
      <w:bookmarkStart w:id="25" w:name="_Toc302702575"/>
      <w:bookmarkStart w:id="26" w:name="_Toc462673225"/>
      <w:bookmarkStart w:id="27" w:name="_Toc512863885"/>
      <w:r w:rsidRPr="00C73365">
        <w:rPr>
          <w:rFonts w:asciiTheme="minorHAnsi" w:hAnsiTheme="minorHAnsi" w:cstheme="minorHAnsi"/>
          <w:sz w:val="22"/>
          <w:lang w:val="fr-FR"/>
        </w:rPr>
        <w:lastRenderedPageBreak/>
        <w:t>FACTEURS DE RISQUES</w:t>
      </w:r>
      <w:bookmarkEnd w:id="25"/>
      <w:bookmarkEnd w:id="26"/>
      <w:bookmarkEnd w:id="27"/>
    </w:p>
    <w:p w:rsidR="00F46C7B" w:rsidRPr="00C73365" w:rsidRDefault="00F46C7B" w:rsidP="004572A0">
      <w:pPr>
        <w:pStyle w:val="ListContinue"/>
        <w:rPr>
          <w:rFonts w:asciiTheme="minorHAnsi" w:hAnsiTheme="minorHAnsi" w:cstheme="minorHAnsi"/>
          <w:i/>
          <w:lang w:val="fr-FR"/>
        </w:rPr>
      </w:pPr>
      <w:r w:rsidRPr="00C73365">
        <w:rPr>
          <w:rFonts w:asciiTheme="minorHAnsi" w:hAnsiTheme="minorHAnsi" w:cstheme="minorHAnsi"/>
          <w:i/>
          <w:lang w:val="fr-FR"/>
        </w:rPr>
        <w:t>Les investisseurs sont invités à prendre en considération l’ensemble des informations figurant dans le présent document de référence, y compris les facteurs de risques décrits dans le présent chapitre avant de décider d’acquérir ou de souscrire des actions de la Société. Dans le cadre de la préparation du présent document de référence, la Société a procédé à une revue des risques qui pourraient avoir un effet défavorable significatif sur la Société, son activité, sa situation financière ou sa capacité à réaliser ses objectifs et n</w:t>
      </w:r>
      <w:r w:rsidR="004572A0" w:rsidRPr="00C73365">
        <w:rPr>
          <w:rFonts w:asciiTheme="minorHAnsi" w:hAnsiTheme="minorHAnsi" w:cstheme="minorHAnsi"/>
          <w:i/>
          <w:lang w:val="fr-FR"/>
        </w:rPr>
        <w:t>’</w:t>
      </w:r>
      <w:r w:rsidRPr="00C73365">
        <w:rPr>
          <w:rFonts w:asciiTheme="minorHAnsi" w:hAnsiTheme="minorHAnsi" w:cstheme="minorHAnsi"/>
          <w:i/>
          <w:lang w:val="fr-FR"/>
        </w:rPr>
        <w:t>a pas connaissance à ce jour d’autres risques significatifs que ceux présentés. L’attention des investisseurs est toutefois attirée sur le fait que d’autres risques, inconnus ou dont la réalisation n’est pas considérée, à la date d’enregistrement du présent document de référence, comme susceptible d’avoir un effet défavorable sur la Société, son activité, sa situation financière, ses résultats ou ses perspectives, peuvent ou pourraient exister.</w:t>
      </w:r>
    </w:p>
    <w:p w:rsidR="00F46C7B" w:rsidRPr="00C73365" w:rsidRDefault="00502A53" w:rsidP="00A96CCA">
      <w:pPr>
        <w:pStyle w:val="ConmainL2"/>
        <w:numPr>
          <w:ilvl w:val="1"/>
          <w:numId w:val="9"/>
        </w:numPr>
        <w:spacing w:after="120"/>
        <w:rPr>
          <w:rFonts w:asciiTheme="minorHAnsi" w:hAnsiTheme="minorHAnsi" w:cstheme="minorHAnsi"/>
          <w:sz w:val="22"/>
          <w:szCs w:val="22"/>
          <w:lang w:val="fr-FR"/>
        </w:rPr>
      </w:pPr>
      <w:bookmarkStart w:id="28" w:name="_Toc402884119"/>
      <w:bookmarkStart w:id="29" w:name="_Toc462673226"/>
      <w:r w:rsidRPr="00C73365">
        <w:rPr>
          <w:rFonts w:asciiTheme="minorHAnsi" w:hAnsiTheme="minorHAnsi" w:cstheme="minorHAnsi"/>
          <w:sz w:val="22"/>
          <w:szCs w:val="22"/>
          <w:lang w:val="fr-FR"/>
        </w:rPr>
        <w:t xml:space="preserve"> </w:t>
      </w:r>
      <w:bookmarkStart w:id="30" w:name="_Toc512863886"/>
      <w:r w:rsidR="00F46C7B" w:rsidRPr="00C73365">
        <w:rPr>
          <w:rFonts w:asciiTheme="minorHAnsi" w:hAnsiTheme="minorHAnsi" w:cstheme="minorHAnsi"/>
          <w:sz w:val="22"/>
          <w:szCs w:val="22"/>
          <w:lang w:val="fr-FR"/>
        </w:rPr>
        <w:t>Risques liés à l’activité de la Société</w:t>
      </w:r>
      <w:bookmarkEnd w:id="28"/>
      <w:bookmarkEnd w:id="29"/>
      <w:bookmarkEnd w:id="30"/>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L’avenir de la Société repose sur le succès du développement clinique et le cas échéant sur la cession ou concession à un tiers industriel des droits de développement et/ou de commercialisation de l’un de ses produits.</w:t>
      </w:r>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Les facteurs de risques ci-dessous présentent les risques et événements qui sont susceptibles de ralentir, d’interrompre, de rendre plus coûteux, voire d’entraîner l’arrêt pur et simple du développement des projets de la Société, ainsi que les facteurs qui pourraient limiter le développement commercial de ses produits, voire en faire un échec.</w:t>
      </w:r>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Si l’un de ces événements devait se produire, cela aurait un effet défavorable significatif sur l’activité, les perspectives, la situation financière, les résultats et le développement de la Société.</w:t>
      </w:r>
    </w:p>
    <w:p w:rsidR="00F46C7B" w:rsidRPr="00E66FAB" w:rsidRDefault="00F46C7B" w:rsidP="00A96CCA">
      <w:pPr>
        <w:pStyle w:val="ConmainL3"/>
        <w:numPr>
          <w:ilvl w:val="2"/>
          <w:numId w:val="9"/>
        </w:numPr>
        <w:spacing w:after="120"/>
        <w:rPr>
          <w:rFonts w:asciiTheme="minorHAnsi" w:hAnsiTheme="minorHAnsi" w:cstheme="minorHAnsi"/>
          <w:b/>
          <w:color w:val="7030A0"/>
          <w:lang w:val="fr-FR"/>
        </w:rPr>
      </w:pPr>
      <w:r w:rsidRPr="00E66FAB">
        <w:rPr>
          <w:rFonts w:asciiTheme="minorHAnsi" w:hAnsiTheme="minorHAnsi" w:cstheme="minorHAnsi"/>
          <w:b/>
          <w:color w:val="7030A0"/>
          <w:lang w:val="fr-FR"/>
        </w:rPr>
        <w:t>Risques liés au développement clinique et à la commercialisation des candidats médicaments de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mène les programmes cliniques suivants :</w:t>
      </w:r>
    </w:p>
    <w:p w:rsidR="000161A1" w:rsidRPr="00C73365" w:rsidRDefault="000161A1" w:rsidP="00434C49">
      <w:pPr>
        <w:pStyle w:val="ListParagraph"/>
        <w:widowControl w:val="0"/>
        <w:numPr>
          <w:ilvl w:val="0"/>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 xml:space="preserve">ABX464, candidat médicament, est </w:t>
      </w:r>
      <w:r w:rsidRPr="00C73365">
        <w:rPr>
          <w:rFonts w:asciiTheme="minorHAnsi" w:hAnsiTheme="minorHAnsi" w:cstheme="minorHAnsi"/>
          <w:b/>
          <w:lang w:val="fr-FR"/>
        </w:rPr>
        <w:t>en cours de développement clinique dans deux indications thérapeutiques </w:t>
      </w:r>
      <w:r w:rsidRPr="00C73365">
        <w:rPr>
          <w:rFonts w:asciiTheme="minorHAnsi" w:hAnsiTheme="minorHAnsi" w:cstheme="minorHAnsi"/>
          <w:lang w:val="fr-FR"/>
        </w:rPr>
        <w:t>:</w:t>
      </w:r>
    </w:p>
    <w:p w:rsidR="000161A1" w:rsidRPr="00C73365" w:rsidRDefault="000161A1" w:rsidP="00434C49">
      <w:pPr>
        <w:pStyle w:val="ListParagraph"/>
        <w:widowControl w:val="0"/>
        <w:numPr>
          <w:ilvl w:val="1"/>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En premier lieu contre l</w:t>
      </w:r>
      <w:r w:rsidR="00676B81" w:rsidRPr="00C73365">
        <w:rPr>
          <w:rFonts w:asciiTheme="minorHAnsi" w:hAnsiTheme="minorHAnsi" w:cstheme="minorHAnsi"/>
          <w:lang w:val="fr-FR"/>
        </w:rPr>
        <w:t>’infection par le</w:t>
      </w:r>
      <w:r w:rsidRPr="00C73365">
        <w:rPr>
          <w:rFonts w:asciiTheme="minorHAnsi" w:hAnsiTheme="minorHAnsi" w:cstheme="minorHAnsi"/>
          <w:lang w:val="fr-FR"/>
        </w:rPr>
        <w:t xml:space="preserve"> </w:t>
      </w:r>
      <w:r w:rsidRPr="00C73365">
        <w:rPr>
          <w:rFonts w:asciiTheme="minorHAnsi" w:hAnsiTheme="minorHAnsi" w:cstheme="minorHAnsi"/>
          <w:b/>
          <w:lang w:val="fr-FR"/>
        </w:rPr>
        <w:t>VIH</w:t>
      </w:r>
      <w:r w:rsidR="00676B81" w:rsidRPr="00C73365">
        <w:rPr>
          <w:rFonts w:asciiTheme="minorHAnsi" w:hAnsiTheme="minorHAnsi" w:cstheme="minorHAnsi"/>
          <w:lang w:val="fr-FR"/>
        </w:rPr>
        <w:t xml:space="preserve"> </w:t>
      </w:r>
      <w:r w:rsidR="005864DD" w:rsidRPr="00C73365">
        <w:rPr>
          <w:rFonts w:asciiTheme="minorHAnsi" w:hAnsiTheme="minorHAnsi" w:cstheme="minorHAnsi"/>
          <w:lang w:val="fr-FR"/>
        </w:rPr>
        <w:t>(I</w:t>
      </w:r>
      <w:r w:rsidR="00676B81" w:rsidRPr="00C73365">
        <w:rPr>
          <w:rFonts w:asciiTheme="minorHAnsi" w:hAnsiTheme="minorHAnsi" w:cstheme="minorHAnsi"/>
          <w:lang w:val="fr-FR"/>
        </w:rPr>
        <w:t>ndication</w:t>
      </w:r>
      <w:r w:rsidRPr="00C73365">
        <w:rPr>
          <w:rFonts w:asciiTheme="minorHAnsi" w:hAnsiTheme="minorHAnsi" w:cstheme="minorHAnsi"/>
          <w:lang w:val="fr-FR"/>
        </w:rPr>
        <w:t xml:space="preserve"> la plus avancée</w:t>
      </w:r>
      <w:r w:rsidR="005864DD" w:rsidRPr="00C73365">
        <w:rPr>
          <w:rFonts w:asciiTheme="minorHAnsi" w:hAnsiTheme="minorHAnsi" w:cstheme="minorHAnsi"/>
          <w:lang w:val="fr-FR"/>
        </w:rPr>
        <w:t>)</w:t>
      </w:r>
      <w:r w:rsidR="00676B81" w:rsidRPr="00C73365">
        <w:rPr>
          <w:rFonts w:asciiTheme="minorHAnsi" w:hAnsiTheme="minorHAnsi" w:cstheme="minorHAnsi"/>
          <w:lang w:val="fr-FR"/>
        </w:rPr>
        <w:t>. L</w:t>
      </w:r>
      <w:r w:rsidRPr="00C73365">
        <w:rPr>
          <w:rFonts w:asciiTheme="minorHAnsi" w:hAnsiTheme="minorHAnsi" w:cstheme="minorHAnsi"/>
          <w:lang w:val="fr-FR"/>
        </w:rPr>
        <w:t>es résultats de la seconde étude clinique de Phase IIa (ABX464-004) ont été communiqués le 2 mai 2017</w:t>
      </w:r>
      <w:r w:rsidR="00676B81" w:rsidRPr="00C73365">
        <w:rPr>
          <w:rFonts w:asciiTheme="minorHAnsi" w:hAnsiTheme="minorHAnsi" w:cstheme="minorHAnsi"/>
          <w:lang w:val="fr-FR"/>
        </w:rPr>
        <w:t>. U</w:t>
      </w:r>
      <w:r w:rsidRPr="00C73365">
        <w:rPr>
          <w:rFonts w:asciiTheme="minorHAnsi" w:hAnsiTheme="minorHAnsi" w:cstheme="minorHAnsi"/>
          <w:lang w:val="fr-FR"/>
        </w:rPr>
        <w:t>ne troisième étude clinique de Phase IIa (ABX</w:t>
      </w:r>
      <w:r w:rsidR="00643D6F" w:rsidRPr="00C73365">
        <w:rPr>
          <w:rFonts w:asciiTheme="minorHAnsi" w:hAnsiTheme="minorHAnsi" w:cstheme="minorHAnsi"/>
          <w:lang w:val="fr-FR"/>
        </w:rPr>
        <w:t>4</w:t>
      </w:r>
      <w:r w:rsidRPr="00C73365">
        <w:rPr>
          <w:rFonts w:asciiTheme="minorHAnsi" w:hAnsiTheme="minorHAnsi" w:cstheme="minorHAnsi"/>
          <w:lang w:val="fr-FR"/>
        </w:rPr>
        <w:t>64-005) est en cours</w:t>
      </w:r>
      <w:r w:rsidR="00676B81" w:rsidRPr="00C73365">
        <w:rPr>
          <w:rFonts w:asciiTheme="minorHAnsi" w:hAnsiTheme="minorHAnsi" w:cstheme="minorHAnsi"/>
          <w:lang w:val="fr-FR"/>
        </w:rPr>
        <w:t>. L</w:t>
      </w:r>
      <w:r w:rsidRPr="00C73365">
        <w:rPr>
          <w:rFonts w:asciiTheme="minorHAnsi" w:hAnsiTheme="minorHAnsi" w:cstheme="minorHAnsi"/>
          <w:lang w:val="fr-FR"/>
        </w:rPr>
        <w:t xml:space="preserve">es résultats d’un premier groupe de patients ont été communiqués le 28 </w:t>
      </w:r>
      <w:r w:rsidR="00E73A7C">
        <w:rPr>
          <w:rFonts w:asciiTheme="minorHAnsi" w:hAnsiTheme="minorHAnsi" w:cstheme="minorHAnsi"/>
          <w:lang w:val="fr-FR"/>
        </w:rPr>
        <w:t>septembre</w:t>
      </w:r>
      <w:r w:rsidRPr="00C73365">
        <w:rPr>
          <w:rFonts w:asciiTheme="minorHAnsi" w:hAnsiTheme="minorHAnsi" w:cstheme="minorHAnsi"/>
          <w:lang w:val="fr-FR"/>
        </w:rPr>
        <w:t xml:space="preserve"> 2017.</w:t>
      </w:r>
    </w:p>
    <w:p w:rsidR="000161A1" w:rsidRPr="00C73365" w:rsidRDefault="000161A1" w:rsidP="00434C49">
      <w:pPr>
        <w:pStyle w:val="ListParagraph"/>
        <w:widowControl w:val="0"/>
        <w:numPr>
          <w:ilvl w:val="2"/>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 xml:space="preserve">ABX464 est actuellement en phase clinique IIa dans l’indication VIH après les succès successifs de deux phases I d’essai clinique sur volontaires sains et la confirmation de son activité antivirale et de sa bonne tolérance dans une première étude de Phase IIa sur patients naïfs réalisée en 2015. </w:t>
      </w:r>
      <w:r w:rsidR="00676B81" w:rsidRPr="00C73365">
        <w:rPr>
          <w:rFonts w:asciiTheme="minorHAnsi" w:hAnsiTheme="minorHAnsi" w:cstheme="minorHAnsi"/>
          <w:lang w:val="fr-FR"/>
        </w:rPr>
        <w:t>L</w:t>
      </w:r>
      <w:r w:rsidRPr="00C73365">
        <w:rPr>
          <w:rFonts w:asciiTheme="minorHAnsi" w:hAnsiTheme="minorHAnsi" w:cstheme="minorHAnsi"/>
          <w:lang w:val="fr-FR"/>
        </w:rPr>
        <w:t>es résultats de la seconde étude de Phase IIa (ABX464-004) confirme</w:t>
      </w:r>
      <w:r w:rsidR="005864DD" w:rsidRPr="00C73365">
        <w:rPr>
          <w:rFonts w:asciiTheme="minorHAnsi" w:hAnsiTheme="minorHAnsi" w:cstheme="minorHAnsi"/>
          <w:lang w:val="fr-FR"/>
        </w:rPr>
        <w:t>nt</w:t>
      </w:r>
      <w:r w:rsidRPr="00C73365">
        <w:rPr>
          <w:rFonts w:asciiTheme="minorHAnsi" w:hAnsiTheme="minorHAnsi" w:cstheme="minorHAnsi"/>
          <w:lang w:val="fr-FR"/>
        </w:rPr>
        <w:t xml:space="preserve"> la bonne tolérance et démontre</w:t>
      </w:r>
      <w:r w:rsidR="005864DD" w:rsidRPr="00C73365">
        <w:rPr>
          <w:rFonts w:asciiTheme="minorHAnsi" w:hAnsiTheme="minorHAnsi" w:cstheme="minorHAnsi"/>
          <w:lang w:val="fr-FR"/>
        </w:rPr>
        <w:t>nt</w:t>
      </w:r>
      <w:r w:rsidRPr="00C73365">
        <w:rPr>
          <w:rFonts w:asciiTheme="minorHAnsi" w:hAnsiTheme="minorHAnsi" w:cstheme="minorHAnsi"/>
          <w:lang w:val="fr-FR"/>
        </w:rPr>
        <w:t xml:space="preserve"> une activité importante </w:t>
      </w:r>
      <w:r w:rsidR="00676B81" w:rsidRPr="00C73365">
        <w:rPr>
          <w:rFonts w:asciiTheme="minorHAnsi" w:hAnsiTheme="minorHAnsi" w:cstheme="minorHAnsi"/>
          <w:lang w:val="fr-FR"/>
        </w:rPr>
        <w:t xml:space="preserve">d’ABX464 sur la </w:t>
      </w:r>
      <w:r w:rsidRPr="00C73365">
        <w:rPr>
          <w:rFonts w:asciiTheme="minorHAnsi" w:hAnsiTheme="minorHAnsi" w:cstheme="minorHAnsi"/>
          <w:lang w:val="fr-FR"/>
        </w:rPr>
        <w:t xml:space="preserve">réduction de l’ADN viral HIV dans les cellules réservoir sanguines. Cette étude est </w:t>
      </w:r>
      <w:r w:rsidR="00676B81" w:rsidRPr="00C73365">
        <w:rPr>
          <w:rFonts w:asciiTheme="minorHAnsi" w:hAnsiTheme="minorHAnsi" w:cstheme="minorHAnsi"/>
          <w:lang w:val="fr-FR"/>
        </w:rPr>
        <w:t xml:space="preserve">complétée par </w:t>
      </w:r>
      <w:r w:rsidRPr="00C73365">
        <w:rPr>
          <w:rFonts w:asciiTheme="minorHAnsi" w:hAnsiTheme="minorHAnsi" w:cstheme="minorHAnsi"/>
          <w:lang w:val="fr-FR"/>
        </w:rPr>
        <w:t xml:space="preserve">une troisième étude de Phase IIa (ABX464-005) </w:t>
      </w:r>
      <w:r w:rsidR="00676B81" w:rsidRPr="00C73365">
        <w:rPr>
          <w:rFonts w:asciiTheme="minorHAnsi" w:hAnsiTheme="minorHAnsi" w:cstheme="minorHAnsi"/>
          <w:lang w:val="fr-FR"/>
        </w:rPr>
        <w:t>initiée en</w:t>
      </w:r>
      <w:r w:rsidRPr="00C73365">
        <w:rPr>
          <w:rFonts w:asciiTheme="minorHAnsi" w:hAnsiTheme="minorHAnsi" w:cstheme="minorHAnsi"/>
          <w:lang w:val="fr-FR"/>
        </w:rPr>
        <w:t xml:space="preserve"> avril 2017</w:t>
      </w:r>
      <w:r w:rsidR="00676B81" w:rsidRPr="00C73365">
        <w:rPr>
          <w:rFonts w:asciiTheme="minorHAnsi" w:hAnsiTheme="minorHAnsi" w:cstheme="minorHAnsi"/>
          <w:lang w:val="fr-FR"/>
        </w:rPr>
        <w:t>.</w:t>
      </w:r>
      <w:r w:rsidRPr="00C73365">
        <w:rPr>
          <w:rFonts w:asciiTheme="minorHAnsi" w:hAnsiTheme="minorHAnsi" w:cstheme="minorHAnsi"/>
          <w:lang w:val="fr-FR"/>
        </w:rPr>
        <w:t xml:space="preserve"> </w:t>
      </w:r>
      <w:r w:rsidR="00676B81" w:rsidRPr="00C73365">
        <w:rPr>
          <w:rFonts w:asciiTheme="minorHAnsi" w:hAnsiTheme="minorHAnsi" w:cstheme="minorHAnsi"/>
          <w:lang w:val="fr-FR"/>
        </w:rPr>
        <w:t>L</w:t>
      </w:r>
      <w:r w:rsidRPr="00C73365">
        <w:rPr>
          <w:rFonts w:asciiTheme="minorHAnsi" w:hAnsiTheme="minorHAnsi" w:cstheme="minorHAnsi"/>
          <w:lang w:val="fr-FR"/>
        </w:rPr>
        <w:t xml:space="preserve">es résultats d’un premier groupe de patients traités pendant 4 semaines ont été communiqués en </w:t>
      </w:r>
      <w:r w:rsidR="00E73A7C">
        <w:rPr>
          <w:rFonts w:asciiTheme="minorHAnsi" w:hAnsiTheme="minorHAnsi" w:cstheme="minorHAnsi"/>
          <w:lang w:val="fr-FR"/>
        </w:rPr>
        <w:t>septembre</w:t>
      </w:r>
      <w:r w:rsidRPr="00C73365">
        <w:rPr>
          <w:rFonts w:asciiTheme="minorHAnsi" w:hAnsiTheme="minorHAnsi" w:cstheme="minorHAnsi"/>
          <w:lang w:val="fr-FR"/>
        </w:rPr>
        <w:t xml:space="preserve"> 2017. Ces derniers confirment l’activité d’ABX464 </w:t>
      </w:r>
      <w:r w:rsidR="00676B81" w:rsidRPr="00C73365">
        <w:rPr>
          <w:rFonts w:asciiTheme="minorHAnsi" w:hAnsiTheme="minorHAnsi" w:cstheme="minorHAnsi"/>
          <w:lang w:val="fr-FR"/>
        </w:rPr>
        <w:t>sur la réduction de l’ADN viral HIV dans les cellules réservoir sanguines</w:t>
      </w:r>
      <w:r w:rsidRPr="00C73365">
        <w:rPr>
          <w:rFonts w:asciiTheme="minorHAnsi" w:hAnsiTheme="minorHAnsi" w:cstheme="minorHAnsi"/>
          <w:lang w:val="fr-FR"/>
        </w:rPr>
        <w:t xml:space="preserve">. Les résultats d’un deuxième groupe de patients traités pendant 3 mois sont attendus au cours du </w:t>
      </w:r>
      <w:r w:rsidR="00300FAA" w:rsidRPr="00C73365">
        <w:rPr>
          <w:rFonts w:asciiTheme="minorHAnsi" w:hAnsiTheme="minorHAnsi" w:cstheme="minorHAnsi"/>
          <w:lang w:val="fr-FR"/>
        </w:rPr>
        <w:t>3</w:t>
      </w:r>
      <w:r w:rsidR="00300FAA" w:rsidRPr="00C73365">
        <w:rPr>
          <w:rFonts w:asciiTheme="minorHAnsi" w:hAnsiTheme="minorHAnsi" w:cstheme="minorHAnsi"/>
          <w:vertAlign w:val="superscript"/>
          <w:lang w:val="fr-FR"/>
        </w:rPr>
        <w:t>ème</w:t>
      </w:r>
      <w:r w:rsidR="00300FAA" w:rsidRPr="00C73365">
        <w:rPr>
          <w:rFonts w:asciiTheme="minorHAnsi" w:hAnsiTheme="minorHAnsi" w:cstheme="minorHAnsi"/>
          <w:lang w:val="fr-FR"/>
        </w:rPr>
        <w:t xml:space="preserve"> </w:t>
      </w:r>
      <w:r w:rsidRPr="00C73365">
        <w:rPr>
          <w:rFonts w:asciiTheme="minorHAnsi" w:hAnsiTheme="minorHAnsi" w:cstheme="minorHAnsi"/>
          <w:lang w:val="fr-FR"/>
        </w:rPr>
        <w:t>trimestre 2018.</w:t>
      </w:r>
    </w:p>
    <w:p w:rsidR="000161A1" w:rsidRPr="00C73365" w:rsidRDefault="000161A1" w:rsidP="00434C49">
      <w:pPr>
        <w:pStyle w:val="ListParagraph"/>
        <w:widowControl w:val="0"/>
        <w:numPr>
          <w:ilvl w:val="2"/>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Par ailleurs, deux études de phase IIb sont en cours de préparation (ABX464-006 &amp; ABX464-007) avec un démarrage prévu au cours du</w:t>
      </w:r>
      <w:r w:rsidR="00300FAA" w:rsidRPr="00C73365">
        <w:rPr>
          <w:rFonts w:asciiTheme="minorHAnsi" w:hAnsiTheme="minorHAnsi" w:cstheme="minorHAnsi"/>
          <w:lang w:val="fr-FR"/>
        </w:rPr>
        <w:t xml:space="preserve"> 4</w:t>
      </w:r>
      <w:r w:rsidR="00300FAA" w:rsidRPr="00C73365">
        <w:rPr>
          <w:rFonts w:asciiTheme="minorHAnsi" w:hAnsiTheme="minorHAnsi" w:cstheme="minorHAnsi"/>
          <w:vertAlign w:val="superscript"/>
          <w:lang w:val="fr-FR"/>
        </w:rPr>
        <w:t>ème</w:t>
      </w:r>
      <w:r w:rsidR="00300FAA" w:rsidRPr="00C73365">
        <w:rPr>
          <w:rFonts w:asciiTheme="minorHAnsi" w:hAnsiTheme="minorHAnsi" w:cstheme="minorHAnsi"/>
          <w:lang w:val="fr-FR"/>
        </w:rPr>
        <w:t xml:space="preserve"> </w:t>
      </w:r>
      <w:r w:rsidRPr="00C73365">
        <w:rPr>
          <w:rFonts w:asciiTheme="minorHAnsi" w:hAnsiTheme="minorHAnsi" w:cstheme="minorHAnsi"/>
          <w:lang w:val="fr-FR"/>
        </w:rPr>
        <w:t>trimestre 2018.</w:t>
      </w:r>
    </w:p>
    <w:p w:rsidR="000161A1" w:rsidRPr="00C73365" w:rsidRDefault="000161A1" w:rsidP="00434C49">
      <w:pPr>
        <w:pStyle w:val="ListParagraph"/>
        <w:widowControl w:val="0"/>
        <w:numPr>
          <w:ilvl w:val="1"/>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 xml:space="preserve">En second lieu contre les </w:t>
      </w:r>
      <w:r w:rsidRPr="00C73365">
        <w:rPr>
          <w:rFonts w:asciiTheme="minorHAnsi" w:hAnsiTheme="minorHAnsi" w:cstheme="minorHAnsi"/>
          <w:b/>
          <w:lang w:val="fr-FR"/>
        </w:rPr>
        <w:t>maladies inflammatoires</w:t>
      </w:r>
      <w:r w:rsidRPr="00C73365">
        <w:rPr>
          <w:rFonts w:asciiTheme="minorHAnsi" w:hAnsiTheme="minorHAnsi" w:cstheme="minorHAnsi"/>
          <w:lang w:val="fr-FR"/>
        </w:rPr>
        <w:t>, en visant tout d’abord une maladie inflammatoire chronique de l’intestin</w:t>
      </w:r>
      <w:r w:rsidR="004F6A1E" w:rsidRPr="00C73365">
        <w:rPr>
          <w:rFonts w:asciiTheme="minorHAnsi" w:hAnsiTheme="minorHAnsi" w:cstheme="minorHAnsi"/>
          <w:lang w:val="fr-FR"/>
        </w:rPr>
        <w:t> </w:t>
      </w:r>
      <w:r w:rsidR="00DB60E5" w:rsidRPr="00C73365">
        <w:rPr>
          <w:rFonts w:asciiTheme="minorHAnsi" w:hAnsiTheme="minorHAnsi" w:cstheme="minorHAnsi"/>
          <w:lang w:val="fr-FR"/>
        </w:rPr>
        <w:t xml:space="preserve">(MICI) </w:t>
      </w:r>
      <w:r w:rsidR="004F6A1E" w:rsidRPr="00C73365">
        <w:rPr>
          <w:rFonts w:asciiTheme="minorHAnsi" w:hAnsiTheme="minorHAnsi" w:cstheme="minorHAnsi"/>
          <w:lang w:val="fr-FR"/>
        </w:rPr>
        <w:t>:</w:t>
      </w:r>
      <w:r w:rsidRPr="00C73365">
        <w:rPr>
          <w:rFonts w:asciiTheme="minorHAnsi" w:hAnsiTheme="minorHAnsi" w:cstheme="minorHAnsi"/>
          <w:lang w:val="fr-FR"/>
        </w:rPr>
        <w:t xml:space="preserve"> la rectocolite hémorragique (RCH)</w:t>
      </w:r>
      <w:r w:rsidR="004F6A1E" w:rsidRPr="00C73365">
        <w:rPr>
          <w:rFonts w:asciiTheme="minorHAnsi" w:hAnsiTheme="minorHAnsi" w:cstheme="minorHAnsi"/>
          <w:lang w:val="fr-FR"/>
        </w:rPr>
        <w:t>. U</w:t>
      </w:r>
      <w:r w:rsidRPr="00C73365">
        <w:rPr>
          <w:rFonts w:asciiTheme="minorHAnsi" w:hAnsiTheme="minorHAnsi" w:cstheme="minorHAnsi"/>
          <w:lang w:val="fr-FR"/>
        </w:rPr>
        <w:t>ne étude de Phase IIa sur 8 semaines de traitement (ABX464-101) est en cours. Cette première étude est suivie d’une étude de maintenance (ABX464-102) autorisant un traitement avec ABX464 de 12 mois.</w:t>
      </w:r>
    </w:p>
    <w:p w:rsidR="000161A1" w:rsidRPr="00C73365" w:rsidRDefault="000161A1" w:rsidP="00434C49">
      <w:pPr>
        <w:pStyle w:val="ListParagraph"/>
        <w:widowControl w:val="0"/>
        <w:numPr>
          <w:ilvl w:val="2"/>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 xml:space="preserve">À partir d’un essai préclinique positif sur un modèle animal reconnu en matière de pathologie inflammatoire, réalisé fin 2016, une seconde indication thérapeutique d’ABX464 a été identifiée. Une étude de Phase IIa est ainsi en cours de de recrutement. Elle vise à mesurer l’activité de la molécule dans la rectocolite hémorragique ; une </w:t>
      </w:r>
      <w:r w:rsidRPr="00C73365">
        <w:rPr>
          <w:rFonts w:asciiTheme="minorHAnsi" w:hAnsiTheme="minorHAnsi" w:cstheme="minorHAnsi"/>
          <w:lang w:val="fr-FR"/>
        </w:rPr>
        <w:lastRenderedPageBreak/>
        <w:t xml:space="preserve">maladie inflammatoire chronique de l’intestin. Les premiers résultats de cette étude sont attendus à partir de </w:t>
      </w:r>
      <w:r w:rsidR="00E73A7C">
        <w:rPr>
          <w:rFonts w:asciiTheme="minorHAnsi" w:hAnsiTheme="minorHAnsi" w:cstheme="minorHAnsi"/>
          <w:lang w:val="fr-FR"/>
        </w:rPr>
        <w:t>septembre</w:t>
      </w:r>
      <w:r w:rsidRPr="00C73365">
        <w:rPr>
          <w:rFonts w:asciiTheme="minorHAnsi" w:hAnsiTheme="minorHAnsi" w:cstheme="minorHAnsi"/>
          <w:lang w:val="fr-FR"/>
        </w:rPr>
        <w:t xml:space="preserve"> 2018. </w:t>
      </w:r>
    </w:p>
    <w:p w:rsidR="004F6A1E" w:rsidRPr="00C73365" w:rsidRDefault="000161A1" w:rsidP="00434C49">
      <w:pPr>
        <w:pStyle w:val="ListParagraph"/>
        <w:widowControl w:val="0"/>
        <w:numPr>
          <w:ilvl w:val="0"/>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ABX196, candidat</w:t>
      </w:r>
      <w:r w:rsidR="004F6A1E" w:rsidRPr="00C73365">
        <w:rPr>
          <w:rFonts w:asciiTheme="minorHAnsi" w:hAnsiTheme="minorHAnsi" w:cstheme="minorHAnsi"/>
          <w:lang w:val="fr-FR"/>
        </w:rPr>
        <w:t xml:space="preserve"> « stimulation</w:t>
      </w:r>
      <w:r w:rsidRPr="00C73365">
        <w:rPr>
          <w:rFonts w:asciiTheme="minorHAnsi" w:hAnsiTheme="minorHAnsi" w:cstheme="minorHAnsi"/>
          <w:lang w:val="fr-FR"/>
        </w:rPr>
        <w:t xml:space="preserve"> immunitaire », a démontré en 2017 une activité </w:t>
      </w:r>
      <w:r w:rsidR="005864DD" w:rsidRPr="00C73365">
        <w:rPr>
          <w:rFonts w:asciiTheme="minorHAnsi" w:hAnsiTheme="minorHAnsi" w:cstheme="minorHAnsi"/>
          <w:lang w:val="fr-FR"/>
        </w:rPr>
        <w:t xml:space="preserve">antitumorale </w:t>
      </w:r>
      <w:r w:rsidRPr="00C73365">
        <w:rPr>
          <w:rFonts w:asciiTheme="minorHAnsi" w:hAnsiTheme="minorHAnsi" w:cstheme="minorHAnsi"/>
          <w:lang w:val="fr-FR"/>
        </w:rPr>
        <w:t>dans de multiples modèles animaux en oncologie</w:t>
      </w:r>
      <w:r w:rsidR="005864DD" w:rsidRPr="00C73365">
        <w:rPr>
          <w:rFonts w:asciiTheme="minorHAnsi" w:hAnsiTheme="minorHAnsi" w:cstheme="minorHAnsi"/>
          <w:lang w:val="fr-FR"/>
        </w:rPr>
        <w:t xml:space="preserve"> et notamment l’hépatocarcinome</w:t>
      </w:r>
      <w:r w:rsidRPr="00C73365">
        <w:rPr>
          <w:rFonts w:asciiTheme="minorHAnsi" w:hAnsiTheme="minorHAnsi" w:cstheme="minorHAnsi"/>
          <w:lang w:val="fr-FR"/>
        </w:rPr>
        <w:t xml:space="preserve">. </w:t>
      </w:r>
    </w:p>
    <w:p w:rsidR="000161A1" w:rsidRPr="00C73365" w:rsidRDefault="00EF089C" w:rsidP="00434C49">
      <w:pPr>
        <w:pStyle w:val="ListParagraph"/>
        <w:widowControl w:val="0"/>
        <w:numPr>
          <w:ilvl w:val="2"/>
          <w:numId w:val="79"/>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ABIVAX</w:t>
      </w:r>
      <w:r w:rsidR="004F6A1E" w:rsidRPr="00C73365">
        <w:rPr>
          <w:rFonts w:asciiTheme="minorHAnsi" w:hAnsiTheme="minorHAnsi" w:cstheme="minorHAnsi"/>
          <w:lang w:val="fr-FR"/>
        </w:rPr>
        <w:t xml:space="preserve"> prépare u</w:t>
      </w:r>
      <w:r w:rsidR="000161A1" w:rsidRPr="00C73365">
        <w:rPr>
          <w:rFonts w:asciiTheme="minorHAnsi" w:hAnsiTheme="minorHAnsi" w:cstheme="minorHAnsi"/>
          <w:lang w:val="fr-FR"/>
        </w:rPr>
        <w:t>n essai clinique de preuve de concept associant ABX196 au nivolumab (</w:t>
      </w:r>
      <w:bookmarkStart w:id="31" w:name="_Hlk510468406"/>
      <w:r w:rsidR="000161A1" w:rsidRPr="00C73365">
        <w:rPr>
          <w:rFonts w:asciiTheme="minorHAnsi" w:hAnsiTheme="minorHAnsi" w:cstheme="minorHAnsi"/>
          <w:lang w:val="fr-FR"/>
        </w:rPr>
        <w:t xml:space="preserve">OPDIVO®) </w:t>
      </w:r>
      <w:bookmarkEnd w:id="31"/>
      <w:r w:rsidR="00DB60E5" w:rsidRPr="00C73365">
        <w:rPr>
          <w:rFonts w:asciiTheme="minorHAnsi" w:hAnsiTheme="minorHAnsi" w:cstheme="minorHAnsi"/>
          <w:lang w:val="fr-FR"/>
        </w:rPr>
        <w:t xml:space="preserve">et/ou au pembrolizumab (KEYTRUDA®) </w:t>
      </w:r>
      <w:r w:rsidR="00946B00" w:rsidRPr="00C73365">
        <w:rPr>
          <w:rFonts w:asciiTheme="minorHAnsi" w:hAnsiTheme="minorHAnsi" w:cstheme="minorHAnsi"/>
          <w:lang w:val="fr-FR"/>
        </w:rPr>
        <w:t xml:space="preserve">chez des patients souffrant d’un hépatocarcinome avancé. Cet essai clinique </w:t>
      </w:r>
      <w:r w:rsidR="000161A1" w:rsidRPr="00C73365">
        <w:rPr>
          <w:rFonts w:asciiTheme="minorHAnsi" w:hAnsiTheme="minorHAnsi" w:cstheme="minorHAnsi"/>
          <w:lang w:val="fr-FR"/>
        </w:rPr>
        <w:t>sera initié courant 2018.</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travaille également entre autres sur les programmes précliniques suivants :</w:t>
      </w:r>
    </w:p>
    <w:p w:rsidR="009F21D3" w:rsidRPr="00E66FAB" w:rsidRDefault="009F21D3" w:rsidP="00434C49">
      <w:pPr>
        <w:pStyle w:val="ListBullet2"/>
        <w:numPr>
          <w:ilvl w:val="0"/>
          <w:numId w:val="57"/>
        </w:numPr>
        <w:rPr>
          <w:rFonts w:asciiTheme="minorHAnsi" w:hAnsiTheme="minorHAnsi" w:cstheme="minorHAnsi"/>
          <w:lang w:val="fr-FR"/>
        </w:rPr>
      </w:pPr>
      <w:r w:rsidRPr="00E66FAB">
        <w:rPr>
          <w:rFonts w:asciiTheme="minorHAnsi" w:hAnsiTheme="minorHAnsi" w:cstheme="minorHAnsi"/>
          <w:lang w:val="fr-FR"/>
        </w:rPr>
        <w:t>ABX544, candidat « lead » pour le traitement d’Ebola à partir d’anticorps polyclonaux ;</w:t>
      </w:r>
    </w:p>
    <w:p w:rsidR="00946B00" w:rsidRPr="00E66FAB" w:rsidRDefault="00946B00" w:rsidP="00434C49">
      <w:pPr>
        <w:pStyle w:val="ListBullet2"/>
        <w:numPr>
          <w:ilvl w:val="0"/>
          <w:numId w:val="57"/>
        </w:numPr>
        <w:rPr>
          <w:rFonts w:asciiTheme="minorHAnsi" w:hAnsiTheme="minorHAnsi" w:cstheme="minorHAnsi"/>
          <w:lang w:val="fr-FR"/>
        </w:rPr>
      </w:pPr>
      <w:r w:rsidRPr="00E66FAB">
        <w:rPr>
          <w:rFonts w:asciiTheme="minorHAnsi" w:hAnsiTheme="minorHAnsi" w:cstheme="minorHAnsi"/>
          <w:lang w:val="fr-FR"/>
        </w:rPr>
        <w:t>Molécules en cours de « lead optimization » dans d’autres indications virales (</w:t>
      </w:r>
      <w:r w:rsidR="00A3483A" w:rsidRPr="00E66FAB">
        <w:rPr>
          <w:rFonts w:asciiTheme="minorHAnsi" w:hAnsiTheme="minorHAnsi" w:cstheme="minorHAnsi"/>
          <w:lang w:val="fr-FR"/>
        </w:rPr>
        <w:t xml:space="preserve">Dengue, </w:t>
      </w:r>
      <w:r w:rsidRPr="00E66FAB">
        <w:rPr>
          <w:rFonts w:asciiTheme="minorHAnsi" w:hAnsiTheme="minorHAnsi" w:cstheme="minorHAnsi"/>
          <w:lang w:val="fr-FR"/>
        </w:rPr>
        <w:t>Virus Respiratoire Syncitial et Virus de la Grippe).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développement d’un candidat médicament est un processus long et coûteux et à l’issue incertaine, se déroulant en plusieurs phases dont l’objectif est de démontrer le bénéfice thérapeutique apporté par le candidat médicament pour une ou plusieurs indications données. Tout échec lors d’une des différentes phases précliniques et cliniques pour une indication donnée pourrait retarder le développement, la production et la commercialisation du produit thérapeutique concerné voire entraîner l’arrêt de son développement.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Lors des essais cliniques, la Société pourrait rencontrer des difficultés à déterminer et recruter le profil adéquat de patients. Ce profil pourrait également varier en fonction des différentes phases desdits essais cliniques. Le recrutement de patients pourrait alors ne pas être effectué selon un calendrier compatible avec les moyens financiers de la Société. </w:t>
      </w:r>
    </w:p>
    <w:p w:rsidR="00F46C7B" w:rsidRPr="00C73365" w:rsidRDefault="00F46C7B" w:rsidP="004572A0">
      <w:pPr>
        <w:pStyle w:val="Salutation"/>
        <w:rPr>
          <w:rFonts w:asciiTheme="minorHAnsi" w:hAnsiTheme="minorHAnsi" w:cstheme="minorHAnsi"/>
          <w:lang w:val="fr-FR"/>
        </w:rPr>
      </w:pPr>
      <w:r w:rsidRPr="00C73365">
        <w:rPr>
          <w:rFonts w:asciiTheme="minorHAnsi" w:hAnsiTheme="minorHAnsi" w:cstheme="minorHAnsi"/>
          <w:lang w:val="fr-FR"/>
        </w:rPr>
        <w:t xml:space="preserve">A chaque phase de développement clinique, la Société doit demander l’autorisation des autorités compétentes des différents pays selon son plan de développement pour effectuer les essais cliniques, puis présenter les résultats de ses études cliniques aux mêmes autorités. Les autorités peuvent refuser les autorisations nécessaires aux essais cliniques, avoir des exigences complémentaires, par exemple, relativement aux protocoles d’étude, aux caractéristiques des patients, aux durées de traitement, au suivi post traitement, à certaines divergences d’interprétation des résultats entre agences réglementaires locales et, le cas échéant, exiger des études supplémentaires. Tout refus ou décision des autorités sanitaires de demander des essais ou examens complémentaires serait de nature à interrompre ou retarder le développement des produits concernés. L’absence ou le retard de réponse thérapeutique pourrait également retarder, voire interrompre, le développement des candidats médicaments de la Société.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ne peut garantir que ses développements de candidats médicaments aboutiront un jour, ni a fortiori dans des délais compatibles avec ses ressources financières ou les besoins du marché. Tout échec ou retard dans le développement de ces produits aurait un effet défavorable très significatif sur l’activité de la Société, ses résultats, sa situation financière et ses perspectives.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Enfin, l’apparition d’effets secondaires que les connaissances actuelles ne permettent pas d’identifier pourrait entrainer un retard dans le développement des candidats médicaments de la Société, voire son interruption. Au surplus, si, après leur autorisation de mise sur le marché (« </w:t>
      </w:r>
      <w:r w:rsidRPr="00C73365">
        <w:rPr>
          <w:rFonts w:asciiTheme="minorHAnsi" w:hAnsiTheme="minorHAnsi" w:cstheme="minorHAnsi"/>
          <w:b/>
          <w:lang w:val="fr-FR"/>
        </w:rPr>
        <w:t>AMM</w:t>
      </w:r>
      <w:r w:rsidRPr="00C73365">
        <w:rPr>
          <w:rFonts w:asciiTheme="minorHAnsi" w:hAnsiTheme="minorHAnsi" w:cstheme="minorHAnsi"/>
          <w:lang w:val="fr-FR"/>
        </w:rPr>
        <w:t xml:space="preserve"> ») obtenue par la Société ou ses partenaires ou licenciés, les produits de la Société entraînaient des effets secondaires inacceptables ou non repérés pendant la période d’essais cliniques, leur commercialisation et/ou leurs perspectives de marché seraient </w:t>
      </w:r>
      <w:r w:rsidR="00E66FAB" w:rsidRPr="00C73365">
        <w:rPr>
          <w:rFonts w:asciiTheme="minorHAnsi" w:hAnsiTheme="minorHAnsi" w:cstheme="minorHAnsi"/>
          <w:lang w:val="fr-FR"/>
        </w:rPr>
        <w:t>mises</w:t>
      </w:r>
      <w:r w:rsidRPr="00C73365">
        <w:rPr>
          <w:rFonts w:asciiTheme="minorHAnsi" w:hAnsiTheme="minorHAnsi" w:cstheme="minorHAnsi"/>
          <w:lang w:val="fr-FR"/>
        </w:rPr>
        <w:t xml:space="preserve"> en cause, ce qui aurait un effet défavorable très significatif sur son activité, ses perspectives, sa situation financière, ses résultats et son développement.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C’est dans ce contexte que les plans de recherche et développement des projets et candidats médicaments constituant le portefeuille de R&amp;D de la Société ont évolué par rapport à ce qui avait été présenté dans le Document de Base enregistré le 19 Mai 2015 sous le numéro l.15-040 dans le cadre de l’introduction en bourse de la Société. Cette évolution est explicitée au chapitre 6 paragraphe 6.2.1. </w:t>
      </w:r>
      <w:r w:rsidR="00C32E9A" w:rsidRPr="00C73365">
        <w:rPr>
          <w:rFonts w:asciiTheme="minorHAnsi" w:hAnsiTheme="minorHAnsi" w:cstheme="minorHAnsi"/>
          <w:lang w:val="fr-FR"/>
        </w:rPr>
        <w:t>au sein</w:t>
      </w:r>
      <w:r w:rsidRPr="00C73365">
        <w:rPr>
          <w:rFonts w:asciiTheme="minorHAnsi" w:hAnsiTheme="minorHAnsi" w:cstheme="minorHAnsi"/>
          <w:lang w:val="fr-FR"/>
        </w:rPr>
        <w:t xml:space="preserve"> </w:t>
      </w:r>
      <w:r w:rsidR="00C32E9A" w:rsidRPr="00C73365">
        <w:rPr>
          <w:rFonts w:asciiTheme="minorHAnsi" w:hAnsiTheme="minorHAnsi" w:cstheme="minorHAnsi"/>
          <w:lang w:val="fr-FR"/>
        </w:rPr>
        <w:t>d’</w:t>
      </w:r>
      <w:r w:rsidRPr="00C73365">
        <w:rPr>
          <w:rFonts w:asciiTheme="minorHAnsi" w:hAnsiTheme="minorHAnsi" w:cstheme="minorHAnsi"/>
          <w:lang w:val="fr-FR"/>
        </w:rPr>
        <w:t>un tableau de passage entre la situation du portefeuille telle que présentée dans ce Document de Base et la situation actuelle à la date de l’enregistrement de ce Document de Référence.</w:t>
      </w:r>
    </w:p>
    <w:p w:rsidR="009F21D3" w:rsidRPr="00C73365" w:rsidRDefault="009F21D3" w:rsidP="004572A0">
      <w:pPr>
        <w:pStyle w:val="BodyText"/>
        <w:rPr>
          <w:rFonts w:asciiTheme="minorHAnsi" w:hAnsiTheme="minorHAnsi" w:cstheme="minorHAnsi"/>
          <w:b/>
          <w:lang w:val="fr-FR"/>
        </w:rPr>
      </w:pPr>
      <w:r w:rsidRPr="00C73365">
        <w:rPr>
          <w:rFonts w:asciiTheme="minorHAnsi" w:hAnsiTheme="minorHAnsi" w:cstheme="minorHAnsi"/>
          <w:b/>
          <w:lang w:val="fr-FR"/>
        </w:rPr>
        <w:t>L’absence de produits commercialisés sur le marché du même type pour le traitement des infections par le VIH, l’Ebola ou la Dengue génère de nombreuses inconnues</w:t>
      </w:r>
      <w:r w:rsidR="00946B00" w:rsidRPr="00C73365">
        <w:rPr>
          <w:rFonts w:asciiTheme="minorHAnsi" w:hAnsiTheme="minorHAnsi" w:cstheme="minorHAnsi"/>
          <w:b/>
          <w:lang w:val="fr-FR"/>
        </w:rPr>
        <w:t>.</w:t>
      </w:r>
    </w:p>
    <w:p w:rsidR="009F21D3" w:rsidRPr="00C73365" w:rsidRDefault="009F21D3"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La Société développe des candidats médicaments contre les infections par le VIH, l’Ebola</w:t>
      </w:r>
      <w:r w:rsidR="004F6A1E" w:rsidRPr="00C73365">
        <w:rPr>
          <w:rFonts w:asciiTheme="minorHAnsi" w:hAnsiTheme="minorHAnsi" w:cstheme="minorHAnsi"/>
          <w:lang w:val="fr-FR"/>
        </w:rPr>
        <w:t xml:space="preserve"> </w:t>
      </w:r>
      <w:r w:rsidRPr="00C73365">
        <w:rPr>
          <w:rFonts w:asciiTheme="minorHAnsi" w:hAnsiTheme="minorHAnsi" w:cstheme="minorHAnsi"/>
          <w:lang w:val="fr-FR"/>
        </w:rPr>
        <w:t>ou la Dengue, et vise d’autres infections virales. A date, il n’existe pas de traitements immunologiques ou d’antiviraux de ce type dont la mise sur le marché aurait été autorisée par les autorités règlementaires compétentes.</w:t>
      </w:r>
    </w:p>
    <w:p w:rsidR="009F21D3" w:rsidRPr="00C73365" w:rsidRDefault="009F21D3" w:rsidP="004572A0">
      <w:pPr>
        <w:pStyle w:val="BodyText"/>
        <w:rPr>
          <w:rFonts w:asciiTheme="minorHAnsi" w:hAnsiTheme="minorHAnsi" w:cstheme="minorHAnsi"/>
          <w:lang w:val="fr-FR"/>
        </w:rPr>
      </w:pPr>
      <w:r w:rsidRPr="00C73365">
        <w:rPr>
          <w:rFonts w:asciiTheme="minorHAnsi" w:hAnsiTheme="minorHAnsi" w:cstheme="minorHAnsi"/>
          <w:lang w:val="fr-FR"/>
        </w:rPr>
        <w:t>De ce fait, les perspectives de développement et de rentabilité d’ABX464,</w:t>
      </w:r>
      <w:r w:rsidR="0040340E" w:rsidRPr="00C73365">
        <w:rPr>
          <w:rFonts w:asciiTheme="minorHAnsi" w:hAnsiTheme="minorHAnsi" w:cstheme="minorHAnsi"/>
          <w:lang w:val="fr-FR"/>
        </w:rPr>
        <w:t xml:space="preserve"> </w:t>
      </w:r>
      <w:r w:rsidRPr="00C73365">
        <w:rPr>
          <w:rFonts w:asciiTheme="minorHAnsi" w:hAnsiTheme="minorHAnsi" w:cstheme="minorHAnsi"/>
          <w:lang w:val="fr-FR"/>
        </w:rPr>
        <w:t>et des candidats médicaments précliniques, leur in</w:t>
      </w:r>
      <w:r w:rsidR="00C32E9A" w:rsidRPr="00C73365">
        <w:rPr>
          <w:rFonts w:asciiTheme="minorHAnsi" w:hAnsiTheme="minorHAnsi" w:cstheme="minorHAnsi"/>
          <w:lang w:val="fr-FR"/>
        </w:rPr>
        <w:t>n</w:t>
      </w:r>
      <w:r w:rsidRPr="00C73365">
        <w:rPr>
          <w:rFonts w:asciiTheme="minorHAnsi" w:hAnsiTheme="minorHAnsi" w:cstheme="minorHAnsi"/>
          <w:lang w:val="fr-FR"/>
        </w:rPr>
        <w:t>ocuité, leur efficacité ainsi que leur acceptation par les patients, les médecins et les organismes payeurs, sont incertaines. Les tests sur les animaux ne sont pas nécessairement prédictifs des résultats qui seront obtenus chez l’homme. Les résultats positifs d’ABX464 dans le cadre d’études cliniques de Phase I ou de Phase IIa ou ceux de tous les produits du portefeuille lors de leur phases de recherche ou précliniques peuvent ne pas être confirmés par les phases ultérieures. Une telle situation aurait un impact défavorable très significatif sur l’activité, les résultats, la situation financière et le développement de la Société.</w:t>
      </w:r>
    </w:p>
    <w:p w:rsidR="00F46C7B" w:rsidRPr="00E66FAB" w:rsidRDefault="00F46C7B" w:rsidP="00A96CCA">
      <w:pPr>
        <w:pStyle w:val="ConmainL3"/>
        <w:numPr>
          <w:ilvl w:val="2"/>
          <w:numId w:val="9"/>
        </w:numPr>
        <w:spacing w:after="120"/>
        <w:ind w:hanging="1271"/>
        <w:rPr>
          <w:rFonts w:asciiTheme="minorHAnsi" w:hAnsiTheme="minorHAnsi" w:cstheme="minorHAnsi"/>
          <w:b/>
          <w:color w:val="7030A0"/>
          <w:lang w:val="fr-FR"/>
        </w:rPr>
      </w:pPr>
      <w:r w:rsidRPr="00E66FAB">
        <w:rPr>
          <w:rFonts w:asciiTheme="minorHAnsi" w:hAnsiTheme="minorHAnsi" w:cstheme="minorHAnsi"/>
          <w:b/>
          <w:color w:val="7030A0"/>
          <w:lang w:val="fr-FR"/>
        </w:rPr>
        <w:t>Risques liés aux technologies de la Société et des partenaires de la Société avec qui elle a conclu des accords de licence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différents candidats médicaments développés par la Société sont issus de technologies propriétaires ou licenciées auprès de partenaires académiques de premier plan : Scripps Research Institute (La Jolla), Université de Chicago, Université Brigham Young (Salt Lake City), Institut Génétique Moléculaire de Montpellier (CNRS), Institut Curie. Si les études cliniques menées par la Société venaient à révéler des problèmes de sécurité et/ou d’efficacité thérapeutique ou si l’utilisation d’une des plateformes violait un droit de propriété intellectuelle détenu par un tiers, cela pourrait remettre en cause l’utilisation et le fonctionnement même de certaines plateformes technologiques de la Société et requérir de nouveaux efforts de recherche et développement ainsi que des délais et des coûts supplémentaires pour remédier à ces difficultés, sans garantie de succès. Le développement d’une partie du portefeuille produits de la Société en serait affecté ce qui aurait un effet défavorable significatif sur l’activité, les perspectives, le développement, la situation financière et les résultats de la Société.</w:t>
      </w:r>
    </w:p>
    <w:p w:rsidR="00F46C7B" w:rsidRPr="00E66FAB" w:rsidRDefault="00F46C7B" w:rsidP="00A96CCA">
      <w:pPr>
        <w:pStyle w:val="ConmainL3"/>
        <w:numPr>
          <w:ilvl w:val="2"/>
          <w:numId w:val="9"/>
        </w:numPr>
        <w:tabs>
          <w:tab w:val="num" w:pos="720"/>
        </w:tabs>
        <w:spacing w:after="120"/>
        <w:ind w:left="1440"/>
        <w:rPr>
          <w:rFonts w:asciiTheme="minorHAnsi" w:hAnsiTheme="minorHAnsi" w:cstheme="minorHAnsi"/>
          <w:b/>
          <w:color w:val="7030A0"/>
          <w:lang w:val="fr-FR"/>
        </w:rPr>
      </w:pPr>
      <w:r w:rsidRPr="00E66FAB">
        <w:rPr>
          <w:rFonts w:asciiTheme="minorHAnsi" w:hAnsiTheme="minorHAnsi" w:cstheme="minorHAnsi"/>
          <w:b/>
          <w:color w:val="7030A0"/>
          <w:lang w:val="fr-FR"/>
        </w:rPr>
        <w:t>Risques liés au marché et à la concurrence</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Société ne peut garantir le succès commercial des candidats médicaments qu’elle développe</w:t>
      </w:r>
      <w:r w:rsidR="004661C4" w:rsidRPr="00C73365">
        <w:rPr>
          <w:rFonts w:asciiTheme="minorHAnsi" w:hAnsiTheme="minorHAnsi" w:cstheme="minorHAnsi"/>
          <w:b/>
          <w:lang w:val="fr-FR"/>
        </w:rPr>
        <w:t xml:space="preserve"> </w:t>
      </w:r>
      <w:r w:rsidRPr="00C73365">
        <w:rPr>
          <w:rFonts w:asciiTheme="minorHAnsi" w:hAnsiTheme="minorHAnsi" w:cstheme="minorHAnsi"/>
          <w:b/>
          <w:lang w:val="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Si la Société et/ou l</w:t>
      </w:r>
      <w:r w:rsidR="004572A0" w:rsidRPr="00C73365">
        <w:rPr>
          <w:rFonts w:asciiTheme="minorHAnsi" w:hAnsiTheme="minorHAnsi" w:cstheme="minorHAnsi"/>
          <w:lang w:val="fr-FR"/>
        </w:rPr>
        <w:t>’</w:t>
      </w:r>
      <w:r w:rsidRPr="00C73365">
        <w:rPr>
          <w:rFonts w:asciiTheme="minorHAnsi" w:hAnsiTheme="minorHAnsi" w:cstheme="minorHAnsi"/>
          <w:lang w:val="fr-FR"/>
        </w:rPr>
        <w:t>un ou plusieurs de ses partenaires commerciaux réussissent à obtenir une AMM leur permettant de commercialiser les produits thérapeutiques développés par la Société, il pourrait néanmoins leur falloir du temps pour gagner l’adhésion de la communauté médicale, des prescripteurs de soins et des tiers payants.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degré d’acceptation par le marché de chaque produit de la Société dépendra de plusieurs facteurs, et notamment : </w:t>
      </w:r>
    </w:p>
    <w:p w:rsidR="00F46C7B" w:rsidRPr="00E66FAB" w:rsidRDefault="00F46C7B" w:rsidP="00434C49">
      <w:pPr>
        <w:pStyle w:val="ListBullet2"/>
        <w:numPr>
          <w:ilvl w:val="0"/>
          <w:numId w:val="70"/>
        </w:numPr>
        <w:rPr>
          <w:rFonts w:asciiTheme="minorHAnsi" w:hAnsiTheme="minorHAnsi" w:cstheme="minorHAnsi"/>
          <w:lang w:val="fr-FR"/>
        </w:rPr>
      </w:pPr>
      <w:r w:rsidRPr="00E66FAB">
        <w:rPr>
          <w:rFonts w:asciiTheme="minorHAnsi" w:hAnsiTheme="minorHAnsi" w:cstheme="minorHAnsi"/>
          <w:lang w:val="fr-FR"/>
        </w:rPr>
        <w:t>de la perception du bénéfice thérapeutique du produit par les prescripteurs ;</w:t>
      </w:r>
    </w:p>
    <w:p w:rsidR="00F46C7B" w:rsidRPr="00E66FAB" w:rsidRDefault="00F46C7B" w:rsidP="00434C49">
      <w:pPr>
        <w:pStyle w:val="ListBullet2"/>
        <w:numPr>
          <w:ilvl w:val="0"/>
          <w:numId w:val="70"/>
        </w:numPr>
        <w:rPr>
          <w:rFonts w:asciiTheme="minorHAnsi" w:hAnsiTheme="minorHAnsi" w:cstheme="minorHAnsi"/>
          <w:lang w:val="fr-FR"/>
        </w:rPr>
      </w:pPr>
      <w:r w:rsidRPr="00E66FAB">
        <w:rPr>
          <w:rFonts w:asciiTheme="minorHAnsi" w:hAnsiTheme="minorHAnsi" w:cstheme="minorHAnsi"/>
          <w:lang w:val="fr-FR"/>
        </w:rPr>
        <w:t xml:space="preserve">des politiques de soin mises en place par les différents états dans lesquels la Société envisage de commercialiser ses produits; </w:t>
      </w:r>
    </w:p>
    <w:p w:rsidR="00F46C7B" w:rsidRPr="00E66FAB" w:rsidRDefault="00F46C7B" w:rsidP="00434C49">
      <w:pPr>
        <w:pStyle w:val="ListBullet2"/>
        <w:numPr>
          <w:ilvl w:val="0"/>
          <w:numId w:val="70"/>
        </w:numPr>
        <w:rPr>
          <w:rFonts w:asciiTheme="minorHAnsi" w:hAnsiTheme="minorHAnsi" w:cstheme="minorHAnsi"/>
          <w:lang w:val="fr-FR"/>
        </w:rPr>
      </w:pPr>
      <w:r w:rsidRPr="00E66FAB">
        <w:rPr>
          <w:rFonts w:asciiTheme="minorHAnsi" w:hAnsiTheme="minorHAnsi" w:cstheme="minorHAnsi"/>
          <w:lang w:val="fr-FR"/>
        </w:rPr>
        <w:t xml:space="preserve">de la survenance éventuelle d’effets indésirables une fois l’AMM obtenue ; </w:t>
      </w:r>
    </w:p>
    <w:p w:rsidR="00F46C7B" w:rsidRPr="00E66FAB" w:rsidRDefault="00F46C7B" w:rsidP="00434C49">
      <w:pPr>
        <w:pStyle w:val="ListBullet2"/>
        <w:numPr>
          <w:ilvl w:val="0"/>
          <w:numId w:val="70"/>
        </w:numPr>
        <w:rPr>
          <w:rFonts w:asciiTheme="minorHAnsi" w:hAnsiTheme="minorHAnsi" w:cstheme="minorHAnsi"/>
          <w:lang w:val="fr-FR"/>
        </w:rPr>
      </w:pPr>
      <w:r w:rsidRPr="00E66FAB">
        <w:rPr>
          <w:rFonts w:asciiTheme="minorHAnsi" w:hAnsiTheme="minorHAnsi" w:cstheme="minorHAnsi"/>
          <w:lang w:val="fr-FR"/>
        </w:rPr>
        <w:t>de la facilité d’utilisation du produit, liée notamment à son mode d’administration ;</w:t>
      </w:r>
    </w:p>
    <w:p w:rsidR="007358A1" w:rsidRPr="00C73365" w:rsidRDefault="007358A1" w:rsidP="00434C49">
      <w:pPr>
        <w:pStyle w:val="ListParagraph"/>
        <w:numPr>
          <w:ilvl w:val="0"/>
          <w:numId w:val="70"/>
        </w:numPr>
        <w:autoSpaceDE w:val="0"/>
        <w:autoSpaceDN w:val="0"/>
        <w:adjustRightInd w:val="0"/>
        <w:rPr>
          <w:rFonts w:asciiTheme="minorHAnsi" w:hAnsiTheme="minorHAnsi" w:cstheme="minorHAnsi"/>
          <w:lang w:val="fr-FR"/>
        </w:rPr>
      </w:pPr>
      <w:r w:rsidRPr="00C73365">
        <w:rPr>
          <w:rFonts w:asciiTheme="minorHAnsi" w:hAnsiTheme="minorHAnsi" w:cstheme="minorHAnsi"/>
          <w:lang w:val="fr-FR"/>
        </w:rPr>
        <w:t xml:space="preserve">du coût du traitement ; </w:t>
      </w:r>
    </w:p>
    <w:p w:rsidR="00F46C7B" w:rsidRPr="00E66FAB" w:rsidRDefault="00F46C7B" w:rsidP="00434C49">
      <w:pPr>
        <w:pStyle w:val="ListBullet2"/>
        <w:numPr>
          <w:ilvl w:val="0"/>
          <w:numId w:val="70"/>
        </w:numPr>
        <w:rPr>
          <w:rFonts w:asciiTheme="minorHAnsi" w:hAnsiTheme="minorHAnsi" w:cstheme="minorHAnsi"/>
          <w:lang w:val="fr-FR"/>
        </w:rPr>
      </w:pPr>
      <w:r w:rsidRPr="00E66FAB">
        <w:rPr>
          <w:rFonts w:asciiTheme="minorHAnsi" w:hAnsiTheme="minorHAnsi" w:cstheme="minorHAnsi"/>
          <w:lang w:val="fr-FR"/>
        </w:rPr>
        <w:t xml:space="preserve">des politiques de remboursement des gouvernements et autres tiers ; </w:t>
      </w:r>
    </w:p>
    <w:p w:rsidR="00F46C7B" w:rsidRPr="00E66FAB" w:rsidRDefault="00F46C7B" w:rsidP="00434C49">
      <w:pPr>
        <w:pStyle w:val="ListBullet2"/>
        <w:numPr>
          <w:ilvl w:val="0"/>
          <w:numId w:val="70"/>
        </w:numPr>
        <w:rPr>
          <w:rFonts w:asciiTheme="minorHAnsi" w:hAnsiTheme="minorHAnsi" w:cstheme="minorHAnsi"/>
          <w:lang w:val="fr-FR"/>
        </w:rPr>
      </w:pPr>
      <w:r w:rsidRPr="00E66FAB">
        <w:rPr>
          <w:rFonts w:asciiTheme="minorHAnsi" w:hAnsiTheme="minorHAnsi" w:cstheme="minorHAnsi"/>
          <w:lang w:val="fr-FR"/>
        </w:rPr>
        <w:t>de la mise en œuvre efficace d’une stratégie de publication scientifique ; et</w:t>
      </w:r>
    </w:p>
    <w:p w:rsidR="00F46C7B" w:rsidRPr="00E66FAB" w:rsidRDefault="00F46C7B" w:rsidP="00434C49">
      <w:pPr>
        <w:pStyle w:val="ListBullet2"/>
        <w:numPr>
          <w:ilvl w:val="0"/>
          <w:numId w:val="70"/>
        </w:numPr>
        <w:rPr>
          <w:rFonts w:asciiTheme="minorHAnsi" w:hAnsiTheme="minorHAnsi" w:cstheme="minorHAnsi"/>
          <w:lang w:val="fr-FR"/>
        </w:rPr>
      </w:pPr>
      <w:r w:rsidRPr="00E66FAB">
        <w:rPr>
          <w:rFonts w:asciiTheme="minorHAnsi" w:hAnsiTheme="minorHAnsi" w:cstheme="minorHAnsi"/>
          <w:lang w:val="fr-FR"/>
        </w:rPr>
        <w:t xml:space="preserve">du développement d’un ou plusieurs produits concurrents pour la même indication.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Même si les produits développés par la Société sont susceptibles d’apporter une réponse thérapeutique à un besoin non satisfait à ce jour, une mauvaise pénétration du marché, résultant d’un ou plusieurs des facteurs décrits ci-dessus, aurait un effet défavorable sur leur commercialisation et sur la capacité de la Société à générer des profits, ce qui aurait un impact négatif sur son activité, ses perspectives, sa situation financière, ses résultats et son développement. </w:t>
      </w:r>
    </w:p>
    <w:p w:rsidR="009F21D3" w:rsidRPr="00C73365" w:rsidRDefault="009F21D3"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L</w:t>
      </w:r>
      <w:r w:rsidR="00121CE3" w:rsidRPr="00C73365">
        <w:rPr>
          <w:rFonts w:asciiTheme="minorHAnsi" w:hAnsiTheme="minorHAnsi" w:cstheme="minorHAnsi"/>
          <w:b/>
          <w:lang w:val="fr-FR"/>
        </w:rPr>
        <w:t>’avenir de la</w:t>
      </w:r>
      <w:r w:rsidRPr="00C73365">
        <w:rPr>
          <w:rFonts w:asciiTheme="minorHAnsi" w:hAnsiTheme="minorHAnsi" w:cstheme="minorHAnsi"/>
          <w:b/>
          <w:lang w:val="fr-FR"/>
        </w:rPr>
        <w:t xml:space="preserve"> Société</w:t>
      </w:r>
      <w:r w:rsidR="00121CE3" w:rsidRPr="00C73365">
        <w:rPr>
          <w:rFonts w:asciiTheme="minorHAnsi" w:hAnsiTheme="minorHAnsi" w:cstheme="minorHAnsi"/>
          <w:b/>
          <w:lang w:val="fr-FR"/>
        </w:rPr>
        <w:t xml:space="preserve"> pourrait</w:t>
      </w:r>
      <w:r w:rsidRPr="00C73365">
        <w:rPr>
          <w:rFonts w:asciiTheme="minorHAnsi" w:hAnsiTheme="minorHAnsi" w:cstheme="minorHAnsi"/>
          <w:b/>
          <w:lang w:val="fr-FR"/>
        </w:rPr>
        <w:t xml:space="preserve"> dépend</w:t>
      </w:r>
      <w:r w:rsidR="00121CE3" w:rsidRPr="00C73365">
        <w:rPr>
          <w:rFonts w:asciiTheme="minorHAnsi" w:hAnsiTheme="minorHAnsi" w:cstheme="minorHAnsi"/>
          <w:b/>
          <w:lang w:val="fr-FR"/>
        </w:rPr>
        <w:t>re</w:t>
      </w:r>
      <w:r w:rsidRPr="00C73365">
        <w:rPr>
          <w:rFonts w:asciiTheme="minorHAnsi" w:hAnsiTheme="minorHAnsi" w:cstheme="minorHAnsi"/>
          <w:b/>
          <w:lang w:val="fr-FR"/>
        </w:rPr>
        <w:t xml:space="preserve"> d</w:t>
      </w:r>
      <w:r w:rsidR="00121CE3" w:rsidRPr="00C73365">
        <w:rPr>
          <w:rFonts w:asciiTheme="minorHAnsi" w:hAnsiTheme="minorHAnsi" w:cstheme="minorHAnsi"/>
          <w:b/>
          <w:lang w:val="fr-FR"/>
        </w:rPr>
        <w:t>e</w:t>
      </w:r>
      <w:r w:rsidRPr="00C73365">
        <w:rPr>
          <w:rFonts w:asciiTheme="minorHAnsi" w:hAnsiTheme="minorHAnsi" w:cstheme="minorHAnsi"/>
          <w:b/>
          <w:lang w:val="fr-FR"/>
        </w:rPr>
        <w:t xml:space="preserve"> ses programmes de développement clinique les plus avancés, </w:t>
      </w:r>
      <w:r w:rsidR="00EE75ED" w:rsidRPr="00C73365">
        <w:rPr>
          <w:rFonts w:asciiTheme="minorHAnsi" w:hAnsiTheme="minorHAnsi" w:cstheme="minorHAnsi"/>
          <w:b/>
          <w:lang w:val="fr-FR"/>
        </w:rPr>
        <w:t>notamment</w:t>
      </w:r>
      <w:r w:rsidRPr="00C73365">
        <w:rPr>
          <w:rFonts w:asciiTheme="minorHAnsi" w:hAnsiTheme="minorHAnsi" w:cstheme="minorHAnsi"/>
          <w:b/>
          <w:lang w:val="fr-FR"/>
        </w:rPr>
        <w:t xml:space="preserve"> </w:t>
      </w:r>
      <w:r w:rsidR="00E32CFE" w:rsidRPr="00C73365">
        <w:rPr>
          <w:rFonts w:asciiTheme="minorHAnsi" w:hAnsiTheme="minorHAnsi" w:cstheme="minorHAnsi"/>
          <w:b/>
          <w:lang w:val="fr-FR"/>
        </w:rPr>
        <w:t>ABX464</w:t>
      </w:r>
      <w:r w:rsidRPr="00C73365">
        <w:rPr>
          <w:rFonts w:asciiTheme="minorHAnsi" w:hAnsiTheme="minorHAnsi" w:cstheme="minorHAnsi"/>
          <w:b/>
          <w:lang w:val="fr-FR"/>
        </w:rPr>
        <w:t xml:space="preserve">, en comparaison </w:t>
      </w:r>
      <w:r w:rsidR="00121CE3" w:rsidRPr="00C73365">
        <w:rPr>
          <w:rFonts w:asciiTheme="minorHAnsi" w:hAnsiTheme="minorHAnsi" w:cstheme="minorHAnsi"/>
          <w:b/>
          <w:lang w:val="fr-FR"/>
        </w:rPr>
        <w:t>au</w:t>
      </w:r>
      <w:r w:rsidRPr="00C73365">
        <w:rPr>
          <w:rFonts w:asciiTheme="minorHAnsi" w:hAnsiTheme="minorHAnsi" w:cstheme="minorHAnsi"/>
          <w:b/>
          <w:lang w:val="fr-FR"/>
        </w:rPr>
        <w:t xml:space="preserve"> stade de développement moins avancé des autres produits</w:t>
      </w:r>
    </w:p>
    <w:p w:rsidR="009F21D3" w:rsidRPr="00C73365" w:rsidRDefault="009F21D3" w:rsidP="004572A0">
      <w:pPr>
        <w:pStyle w:val="BodyText"/>
        <w:rPr>
          <w:rFonts w:asciiTheme="minorHAnsi" w:hAnsiTheme="minorHAnsi" w:cstheme="minorHAnsi"/>
          <w:lang w:val="fr-FR"/>
        </w:rPr>
      </w:pPr>
      <w:r w:rsidRPr="00C73365">
        <w:rPr>
          <w:rFonts w:asciiTheme="minorHAnsi" w:hAnsiTheme="minorHAnsi" w:cstheme="minorHAnsi"/>
          <w:lang w:val="fr-FR"/>
        </w:rPr>
        <w:t>ABX464, petite molécule antivirale contre le VIH et contre la maladie inflammatoire chronique de l’intestin, est le candidat médicament de la Société dont le processus de développement est le plus avancé.</w:t>
      </w:r>
    </w:p>
    <w:p w:rsidR="009F21D3" w:rsidRPr="00C73365" w:rsidRDefault="00EE75ED" w:rsidP="004572A0">
      <w:pPr>
        <w:pStyle w:val="BodyText"/>
        <w:rPr>
          <w:rFonts w:asciiTheme="minorHAnsi" w:hAnsiTheme="minorHAnsi" w:cstheme="minorHAnsi"/>
          <w:lang w:val="fr-FR"/>
        </w:rPr>
      </w:pPr>
      <w:r w:rsidRPr="00C73365">
        <w:rPr>
          <w:rFonts w:asciiTheme="minorHAnsi" w:hAnsiTheme="minorHAnsi" w:cstheme="minorHAnsi"/>
          <w:lang w:val="fr-FR"/>
        </w:rPr>
        <w:t>L’ABX</w:t>
      </w:r>
      <w:r w:rsidR="009F21D3" w:rsidRPr="00C73365">
        <w:rPr>
          <w:rFonts w:asciiTheme="minorHAnsi" w:hAnsiTheme="minorHAnsi" w:cstheme="minorHAnsi"/>
          <w:lang w:val="fr-FR"/>
        </w:rPr>
        <w:t xml:space="preserve">464 a exigé et pourra continuer d’exiger de la Société des investissements conséquents en temps et en ressources financières, ainsi que l’attention toute particulière d’un personnel très qualifié. En conséquence, si la Société ne parvenait pas à obtenir des résultats probants lors des essais de phase II d’ABX464, ses perspectives et sa situation financière seraient affectées défavorablement de manière significative. </w:t>
      </w:r>
    </w:p>
    <w:p w:rsidR="009F21D3" w:rsidRPr="00C73365" w:rsidRDefault="009F21D3"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La Société ne peut garantir l’absence de concurrents sur les marchés </w:t>
      </w:r>
      <w:r w:rsidR="00121CE3" w:rsidRPr="00C73365">
        <w:rPr>
          <w:rFonts w:asciiTheme="minorHAnsi" w:hAnsiTheme="minorHAnsi" w:cstheme="minorHAnsi"/>
          <w:b/>
          <w:lang w:val="fr-FR"/>
        </w:rPr>
        <w:t>cibles</w:t>
      </w:r>
    </w:p>
    <w:p w:rsidR="009F21D3" w:rsidRPr="00C73365" w:rsidRDefault="009F21D3" w:rsidP="004572A0">
      <w:pPr>
        <w:pStyle w:val="BodyText"/>
        <w:rPr>
          <w:rFonts w:asciiTheme="minorHAnsi" w:hAnsiTheme="minorHAnsi" w:cstheme="minorHAnsi"/>
          <w:lang w:val="fr-FR"/>
        </w:rPr>
      </w:pPr>
      <w:r w:rsidRPr="00C73365">
        <w:rPr>
          <w:rFonts w:asciiTheme="minorHAnsi" w:hAnsiTheme="minorHAnsi" w:cstheme="minorHAnsi"/>
          <w:lang w:val="fr-FR"/>
        </w:rPr>
        <w:t>De nombreux laboratoires pharmaceutiques, sociétés de biotechnologie, institutions, universités et autres organismes de recherche sont activement engagés dans la recherche, la découverte, le développement et la commercialisation de réponses thérapeutiques au traitement des infections par le VIH, l’Ebola, la Dengue, autres infections virales, ainsi que la maladie inflammatoire chronique de l’intestin</w:t>
      </w:r>
      <w:r w:rsidR="00643D6F" w:rsidRPr="00C73365">
        <w:rPr>
          <w:rFonts w:asciiTheme="minorHAnsi" w:hAnsiTheme="minorHAnsi" w:cstheme="minorHAnsi"/>
          <w:lang w:val="fr-FR"/>
        </w:rPr>
        <w:t xml:space="preserve"> et le cancer hépatocellulaire.</w:t>
      </w:r>
    </w:p>
    <w:p w:rsidR="009F21D3" w:rsidRPr="00C73365" w:rsidRDefault="009F21D3" w:rsidP="004572A0">
      <w:pPr>
        <w:pStyle w:val="BodyText"/>
        <w:rPr>
          <w:rFonts w:asciiTheme="minorHAnsi" w:hAnsiTheme="minorHAnsi" w:cstheme="minorHAnsi"/>
          <w:lang w:val="fr-FR"/>
        </w:rPr>
      </w:pPr>
      <w:r w:rsidRPr="00C73365">
        <w:rPr>
          <w:rFonts w:asciiTheme="minorHAnsi" w:hAnsiTheme="minorHAnsi" w:cstheme="minorHAnsi"/>
          <w:lang w:val="fr-FR"/>
        </w:rPr>
        <w:t>Si les marchés du traitement du VIH</w:t>
      </w:r>
      <w:r w:rsidR="00643D6F" w:rsidRPr="00C73365">
        <w:rPr>
          <w:rFonts w:asciiTheme="minorHAnsi" w:hAnsiTheme="minorHAnsi" w:cstheme="minorHAnsi"/>
          <w:lang w:val="fr-FR"/>
        </w:rPr>
        <w:t xml:space="preserve">, </w:t>
      </w:r>
      <w:r w:rsidRPr="00C73365">
        <w:rPr>
          <w:rFonts w:asciiTheme="minorHAnsi" w:hAnsiTheme="minorHAnsi" w:cstheme="minorHAnsi"/>
          <w:lang w:val="fr-FR"/>
        </w:rPr>
        <w:t xml:space="preserve">de la maladie inflammatoire chronique de l’intestin </w:t>
      </w:r>
      <w:r w:rsidR="00643D6F" w:rsidRPr="00C73365">
        <w:rPr>
          <w:rFonts w:asciiTheme="minorHAnsi" w:hAnsiTheme="minorHAnsi" w:cstheme="minorHAnsi"/>
          <w:lang w:val="fr-FR"/>
        </w:rPr>
        <w:t xml:space="preserve">et du cancer hépatocellulaire </w:t>
      </w:r>
      <w:r w:rsidRPr="00C73365">
        <w:rPr>
          <w:rFonts w:asciiTheme="minorHAnsi" w:hAnsiTheme="minorHAnsi" w:cstheme="minorHAnsi"/>
          <w:lang w:val="fr-FR"/>
        </w:rPr>
        <w:t xml:space="preserve">se caractérisent par une concurrence intense, la concurrence est plus faible </w:t>
      </w:r>
      <w:r w:rsidR="00643D6F" w:rsidRPr="00C73365">
        <w:rPr>
          <w:rFonts w:asciiTheme="minorHAnsi" w:hAnsiTheme="minorHAnsi" w:cstheme="minorHAnsi"/>
          <w:lang w:val="fr-FR"/>
        </w:rPr>
        <w:t xml:space="preserve">à ce jour </w:t>
      </w:r>
      <w:r w:rsidRPr="00C73365">
        <w:rPr>
          <w:rFonts w:asciiTheme="minorHAnsi" w:hAnsiTheme="minorHAnsi" w:cstheme="minorHAnsi"/>
          <w:lang w:val="fr-FR"/>
        </w:rPr>
        <w:t>pour le développement de candidats médicaments pour le traitement de la Dengue</w:t>
      </w:r>
      <w:r w:rsidR="004F6A1E" w:rsidRPr="00C73365">
        <w:rPr>
          <w:rFonts w:asciiTheme="minorHAnsi" w:hAnsiTheme="minorHAnsi" w:cstheme="minorHAnsi"/>
          <w:lang w:val="fr-FR"/>
        </w:rPr>
        <w:t xml:space="preserve"> et</w:t>
      </w:r>
      <w:r w:rsidRPr="00C73365">
        <w:rPr>
          <w:rFonts w:asciiTheme="minorHAnsi" w:hAnsiTheme="minorHAnsi" w:cstheme="minorHAnsi"/>
          <w:lang w:val="fr-FR"/>
        </w:rPr>
        <w:t xml:space="preserve"> d’Ebola. Néanmoins pour ces derniers marchés, le potentiel de développement est tel que l</w:t>
      </w:r>
      <w:r w:rsidR="004572A0" w:rsidRPr="00C73365">
        <w:rPr>
          <w:rFonts w:asciiTheme="minorHAnsi" w:hAnsiTheme="minorHAnsi" w:cstheme="minorHAnsi"/>
          <w:lang w:val="fr-FR"/>
        </w:rPr>
        <w:t>’</w:t>
      </w:r>
      <w:r w:rsidRPr="00C73365">
        <w:rPr>
          <w:rFonts w:asciiTheme="minorHAnsi" w:hAnsiTheme="minorHAnsi" w:cstheme="minorHAnsi"/>
          <w:lang w:val="fr-FR"/>
        </w:rPr>
        <w:t>arrivée de nouveaux concurrents est fort probable. Certaines entreprises actives dans le secteur des vaccins thérapeutiques ou d’autres ayant une antériorité dans le développement d’antiviraux disposent de moyens beaucoup plus importants que ceux de la Société et pourront décider de développer des produits concurrents en y consacrant des ressources et une expérience en matière de développement clinique, gestion, fabrication, commercialisation et recherche beaucoup plus importantes que celles de la Société.</w:t>
      </w:r>
    </w:p>
    <w:p w:rsidR="009F21D3" w:rsidRPr="00C73365" w:rsidRDefault="009F21D3" w:rsidP="004572A0">
      <w:pPr>
        <w:pStyle w:val="BodyText"/>
        <w:rPr>
          <w:rFonts w:asciiTheme="minorHAnsi" w:hAnsiTheme="minorHAnsi" w:cstheme="minorHAnsi"/>
          <w:lang w:val="fr-FR"/>
        </w:rPr>
      </w:pPr>
      <w:r w:rsidRPr="00C73365">
        <w:rPr>
          <w:rFonts w:asciiTheme="minorHAnsi" w:hAnsiTheme="minorHAnsi" w:cstheme="minorHAnsi"/>
          <w:lang w:val="fr-FR"/>
        </w:rPr>
        <w:t>De tels événements auraient un effet défavorable significatif sur l’activité de la Société, ses résultats, sa situation financière et ses perspectives de développement.</w:t>
      </w:r>
    </w:p>
    <w:p w:rsidR="00F46C7B" w:rsidRPr="00E66FAB" w:rsidRDefault="00F46C7B" w:rsidP="00A96CCA">
      <w:pPr>
        <w:pStyle w:val="ConmainL3"/>
        <w:keepLines/>
        <w:numPr>
          <w:ilvl w:val="2"/>
          <w:numId w:val="9"/>
        </w:numPr>
        <w:tabs>
          <w:tab w:val="num" w:pos="720"/>
        </w:tabs>
        <w:spacing w:after="120"/>
        <w:ind w:left="1440"/>
        <w:rPr>
          <w:rFonts w:asciiTheme="minorHAnsi" w:hAnsiTheme="minorHAnsi" w:cstheme="minorHAnsi"/>
          <w:b/>
          <w:color w:val="7030A0"/>
          <w:lang w:val="fr-FR"/>
        </w:rPr>
      </w:pPr>
      <w:r w:rsidRPr="00E66FAB">
        <w:rPr>
          <w:rFonts w:asciiTheme="minorHAnsi" w:hAnsiTheme="minorHAnsi" w:cstheme="minorHAnsi"/>
          <w:b/>
          <w:color w:val="7030A0"/>
          <w:lang w:val="fr-FR"/>
        </w:rPr>
        <w:t>Risques liés au développement commercial et stratégique de la Société</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Société pourrait ne pas trouver de partenaires industriels pour poursuivre le développement clinique et commercial d’ABX464</w:t>
      </w:r>
      <w:r w:rsidR="00121CE3" w:rsidRPr="00C73365">
        <w:rPr>
          <w:rFonts w:asciiTheme="minorHAnsi" w:hAnsiTheme="minorHAnsi" w:cstheme="minorHAnsi"/>
          <w:b/>
          <w:lang w:val="fr-FR"/>
        </w:rPr>
        <w:t xml:space="preserve"> ou d’ABX196</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devra conclure des partenariats de licence et de distribution avec des établissements pharmaceutiques, afin de financer l’achèvement du développement clinique de son candidat stimulant immunitaire ABX196 </w:t>
      </w:r>
      <w:r w:rsidR="00643D6F" w:rsidRPr="00C73365">
        <w:rPr>
          <w:rFonts w:asciiTheme="minorHAnsi" w:hAnsiTheme="minorHAnsi" w:cstheme="minorHAnsi"/>
          <w:lang w:val="fr-FR"/>
        </w:rPr>
        <w:t xml:space="preserve">en combinaison oncologique, </w:t>
      </w:r>
      <w:r w:rsidRPr="00C73365">
        <w:rPr>
          <w:rFonts w:asciiTheme="minorHAnsi" w:hAnsiTheme="minorHAnsi" w:cstheme="minorHAnsi"/>
          <w:lang w:val="fr-FR"/>
        </w:rPr>
        <w:t>ou de son candidat antiviral ABX464 pour le traitement du VIH</w:t>
      </w:r>
      <w:r w:rsidR="009F21D3" w:rsidRPr="00C73365">
        <w:rPr>
          <w:rFonts w:asciiTheme="minorHAnsi" w:hAnsiTheme="minorHAnsi" w:cstheme="minorHAnsi"/>
          <w:lang w:val="fr-FR"/>
        </w:rPr>
        <w:t xml:space="preserve"> et de la maladie inflammatoire </w:t>
      </w:r>
      <w:r w:rsidR="008863E8" w:rsidRPr="00C73365">
        <w:rPr>
          <w:rFonts w:asciiTheme="minorHAnsi" w:hAnsiTheme="minorHAnsi" w:cstheme="minorHAnsi"/>
          <w:lang w:val="fr-FR"/>
        </w:rPr>
        <w:t xml:space="preserve">chronique </w:t>
      </w:r>
      <w:r w:rsidR="009F21D3" w:rsidRPr="00C73365">
        <w:rPr>
          <w:rFonts w:asciiTheme="minorHAnsi" w:hAnsiTheme="minorHAnsi" w:cstheme="minorHAnsi"/>
          <w:lang w:val="fr-FR"/>
        </w:rPr>
        <w:t>de l’intestin</w:t>
      </w:r>
      <w:r w:rsidRPr="00C73365">
        <w:rPr>
          <w:rFonts w:asciiTheme="minorHAnsi" w:hAnsiTheme="minorHAnsi" w:cstheme="minorHAnsi"/>
          <w:lang w:val="fr-FR"/>
        </w:rPr>
        <w:t>. La Société devra, par conséquent, trouver des partenaires ayant la capacité suffisante pour réaliser des essais cliniques de phases I et/ou II et/ou III à l’échelle nationale ou internationale, produire à l’échelle industrielle, distribuer et commercialiser les immunothérapies ou antiviraux comme ABX196 ou ABX464. Si la Société venait à conclure de tels partenariats, la commercialisation de ses produits dépendrait donc en partie des efforts de développements cliniques, industriels, marketing et commerciaux déployés par ses partenaire</w:t>
      </w:r>
      <w:r w:rsidR="009F21D3" w:rsidRPr="00C73365">
        <w:rPr>
          <w:rFonts w:asciiTheme="minorHAnsi" w:hAnsiTheme="minorHAnsi" w:cstheme="minorHAnsi"/>
          <w:lang w:val="fr-FR"/>
        </w:rPr>
        <w:t>s</w:t>
      </w:r>
      <w:r w:rsidRPr="00C73365">
        <w:rPr>
          <w:rFonts w:asciiTheme="minorHAnsi" w:hAnsiTheme="minorHAnsi" w:cstheme="minorHAnsi"/>
          <w:lang w:val="fr-FR"/>
        </w:rPr>
        <w:t xml:space="preserve"> commerciaux ainsi que de la capacité de ces partenaires à produire et vendre ABX196 ou ABX464. Toute défaillance de la part de ces partenaires aurait des conséquences défavorables pour la Société, son développement et ses perspectives.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Il est possible également que la Société ne parvienne pas à conclure de partenariat à des conditions économiquement raisonnables. Ceci aurait un effet défavorable très significatif sur l’activité, les perspectives, la situation financière, les résultats et le développement de la Société.</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L’obtention des autorisations de mise sur le marché et autres certifications préalables à toute commercialisation peut s’avérer incertaine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Europe, aux Etats-Unis et au Japon, ainsi que dans de nombreux autres pays, l</w:t>
      </w:r>
      <w:r w:rsidR="004572A0" w:rsidRPr="00C73365">
        <w:rPr>
          <w:rFonts w:asciiTheme="minorHAnsi" w:hAnsiTheme="minorHAnsi" w:cstheme="minorHAnsi"/>
          <w:lang w:val="fr-FR"/>
        </w:rPr>
        <w:t>’</w:t>
      </w:r>
      <w:r w:rsidRPr="00C73365">
        <w:rPr>
          <w:rFonts w:asciiTheme="minorHAnsi" w:hAnsiTheme="minorHAnsi" w:cstheme="minorHAnsi"/>
          <w:lang w:val="fr-FR"/>
        </w:rPr>
        <w:t>accès au marché des médicaments est contrôlé et la mise sur le marché doit être autorisée par une autorité de régulation. Ce dossier d’enregistrement est la plupart du temps déposé auprès d’une autorité nationale de santé sauf dans le cas de l’Union Européenne où il existe une procédure centralisée de revue des dossiers d’enregistrement (Agence Européenne du Médicament).</w:t>
      </w:r>
      <w:r w:rsidRPr="00C73365">
        <w:rPr>
          <w:rFonts w:asciiTheme="minorHAnsi" w:hAnsiTheme="minorHAnsi" w:cstheme="minorHAnsi"/>
          <w:color w:val="0070C0"/>
          <w:lang w:val="fr-FR"/>
        </w:rPr>
        <w:t xml:space="preserv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L</w:t>
      </w:r>
      <w:r w:rsidR="004572A0" w:rsidRPr="00C73365">
        <w:rPr>
          <w:rFonts w:asciiTheme="minorHAnsi" w:hAnsiTheme="minorHAnsi" w:cstheme="minorHAnsi"/>
          <w:lang w:val="fr-FR"/>
        </w:rPr>
        <w:t>’</w:t>
      </w:r>
      <w:r w:rsidRPr="00C73365">
        <w:rPr>
          <w:rFonts w:asciiTheme="minorHAnsi" w:hAnsiTheme="minorHAnsi" w:cstheme="minorHAnsi"/>
          <w:lang w:val="fr-FR"/>
        </w:rPr>
        <w:t>obtention de l</w:t>
      </w:r>
      <w:r w:rsidR="004572A0" w:rsidRPr="00C73365">
        <w:rPr>
          <w:rFonts w:asciiTheme="minorHAnsi" w:hAnsiTheme="minorHAnsi" w:cstheme="minorHAnsi"/>
          <w:lang w:val="fr-FR"/>
        </w:rPr>
        <w:t>’</w:t>
      </w:r>
      <w:r w:rsidRPr="00C73365">
        <w:rPr>
          <w:rFonts w:asciiTheme="minorHAnsi" w:hAnsiTheme="minorHAnsi" w:cstheme="minorHAnsi"/>
          <w:lang w:val="fr-FR"/>
        </w:rPr>
        <w:t>AMM (Autorisation de Mise sur le Marché), obtenue par pays ou zone géographique dans le cas de l’Union Européenne, suppose le respect des normes contraignantes imposées par les autorités réglementaires et la communication aux autorités de nombreuses informations concernant le nouveau produit, qu</w:t>
      </w:r>
      <w:r w:rsidR="004572A0" w:rsidRPr="00C73365">
        <w:rPr>
          <w:rFonts w:asciiTheme="minorHAnsi" w:hAnsiTheme="minorHAnsi" w:cstheme="minorHAnsi"/>
          <w:lang w:val="fr-FR"/>
        </w:rPr>
        <w:t>’</w:t>
      </w:r>
      <w:r w:rsidRPr="00C73365">
        <w:rPr>
          <w:rFonts w:asciiTheme="minorHAnsi" w:hAnsiTheme="minorHAnsi" w:cstheme="minorHAnsi"/>
          <w:lang w:val="fr-FR"/>
        </w:rPr>
        <w:t>il s</w:t>
      </w:r>
      <w:r w:rsidR="004572A0" w:rsidRPr="00C73365">
        <w:rPr>
          <w:rFonts w:asciiTheme="minorHAnsi" w:hAnsiTheme="minorHAnsi" w:cstheme="minorHAnsi"/>
          <w:lang w:val="fr-FR"/>
        </w:rPr>
        <w:t>’</w:t>
      </w:r>
      <w:r w:rsidRPr="00C73365">
        <w:rPr>
          <w:rFonts w:asciiTheme="minorHAnsi" w:hAnsiTheme="minorHAnsi" w:cstheme="minorHAnsi"/>
          <w:lang w:val="fr-FR"/>
        </w:rPr>
        <w:t>agisse de sa toxicité, son dosage, sa qualité, son efficacité et son innocuité. Le processus d</w:t>
      </w:r>
      <w:r w:rsidR="004572A0" w:rsidRPr="00C73365">
        <w:rPr>
          <w:rFonts w:asciiTheme="minorHAnsi" w:hAnsiTheme="minorHAnsi" w:cstheme="minorHAnsi"/>
          <w:lang w:val="fr-FR"/>
        </w:rPr>
        <w:t>’</w:t>
      </w:r>
      <w:r w:rsidRPr="00C73365">
        <w:rPr>
          <w:rFonts w:asciiTheme="minorHAnsi" w:hAnsiTheme="minorHAnsi" w:cstheme="minorHAnsi"/>
          <w:lang w:val="fr-FR"/>
        </w:rPr>
        <w:t>obtention est long et coûteux, le résultat de ce processus restant incertain. La Société veille donc à respecter en permanence les bonnes pratiques afin de ne pas hypothéquer ses chances, à terme, d’obtenir directement, ou par l</w:t>
      </w:r>
      <w:r w:rsidR="004572A0" w:rsidRPr="00C73365">
        <w:rPr>
          <w:rFonts w:asciiTheme="minorHAnsi" w:hAnsiTheme="minorHAnsi" w:cstheme="minorHAnsi"/>
          <w:lang w:val="fr-FR"/>
        </w:rPr>
        <w:t>’</w:t>
      </w:r>
      <w:r w:rsidRPr="00C73365">
        <w:rPr>
          <w:rFonts w:asciiTheme="minorHAnsi" w:hAnsiTheme="minorHAnsi" w:cstheme="minorHAnsi"/>
          <w:lang w:val="fr-FR"/>
        </w:rPr>
        <w:t>intermédiaire de ses partenaires commerciaux, une AMM pour les produits qu</w:t>
      </w:r>
      <w:r w:rsidR="004572A0" w:rsidRPr="00C73365">
        <w:rPr>
          <w:rFonts w:asciiTheme="minorHAnsi" w:hAnsiTheme="minorHAnsi" w:cstheme="minorHAnsi"/>
          <w:lang w:val="fr-FR"/>
        </w:rPr>
        <w:t>’</w:t>
      </w:r>
      <w:r w:rsidRPr="00C73365">
        <w:rPr>
          <w:rFonts w:asciiTheme="minorHAnsi" w:hAnsiTheme="minorHAnsi" w:cstheme="minorHAnsi"/>
          <w:lang w:val="fr-FR"/>
        </w:rPr>
        <w:t>elle développe. L’obtention d’une AMM dans un pays donné ou une zone géographique donnée ne conduit pas systématiquement ni immédiatement à l’obtention d’AMM dans d’autres pays.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Pour obtenir l</w:t>
      </w:r>
      <w:r w:rsidR="004572A0" w:rsidRPr="00C73365">
        <w:rPr>
          <w:rFonts w:asciiTheme="minorHAnsi" w:hAnsiTheme="minorHAnsi" w:cstheme="minorHAnsi"/>
          <w:lang w:val="fr-FR"/>
        </w:rPr>
        <w:t>’</w:t>
      </w:r>
      <w:r w:rsidRPr="00C73365">
        <w:rPr>
          <w:rFonts w:asciiTheme="minorHAnsi" w:hAnsiTheme="minorHAnsi" w:cstheme="minorHAnsi"/>
          <w:lang w:val="fr-FR"/>
        </w:rPr>
        <w:t>AMM d</w:t>
      </w:r>
      <w:r w:rsidR="004572A0" w:rsidRPr="00C73365">
        <w:rPr>
          <w:rFonts w:asciiTheme="minorHAnsi" w:hAnsiTheme="minorHAnsi" w:cstheme="minorHAnsi"/>
          <w:lang w:val="fr-FR"/>
        </w:rPr>
        <w:t>’</w:t>
      </w:r>
      <w:r w:rsidRPr="00C73365">
        <w:rPr>
          <w:rFonts w:asciiTheme="minorHAnsi" w:hAnsiTheme="minorHAnsi" w:cstheme="minorHAnsi"/>
          <w:lang w:val="fr-FR"/>
        </w:rPr>
        <w:t>un produit de la Société, la Société et/ou le partenaire retenu pour le produit concerné pourrait être amené à réaliser des essais précliniques sur l</w:t>
      </w:r>
      <w:r w:rsidR="004572A0" w:rsidRPr="00C73365">
        <w:rPr>
          <w:rFonts w:asciiTheme="minorHAnsi" w:hAnsiTheme="minorHAnsi" w:cstheme="minorHAnsi"/>
          <w:lang w:val="fr-FR"/>
        </w:rPr>
        <w:t>’</w:t>
      </w:r>
      <w:r w:rsidRPr="00C73365">
        <w:rPr>
          <w:rFonts w:asciiTheme="minorHAnsi" w:hAnsiTheme="minorHAnsi" w:cstheme="minorHAnsi"/>
          <w:lang w:val="fr-FR"/>
        </w:rPr>
        <w:t>animal et des essais cliniques complets sur l</w:t>
      </w:r>
      <w:r w:rsidR="004572A0" w:rsidRPr="00C73365">
        <w:rPr>
          <w:rFonts w:asciiTheme="minorHAnsi" w:hAnsiTheme="minorHAnsi" w:cstheme="minorHAnsi"/>
          <w:lang w:val="fr-FR"/>
        </w:rPr>
        <w:t>’</w:t>
      </w:r>
      <w:r w:rsidRPr="00C73365">
        <w:rPr>
          <w:rFonts w:asciiTheme="minorHAnsi" w:hAnsiTheme="minorHAnsi" w:cstheme="minorHAnsi"/>
          <w:lang w:val="fr-FR"/>
        </w:rPr>
        <w:t>homme afin de démontrer la sécurité et l</w:t>
      </w:r>
      <w:r w:rsidR="004572A0" w:rsidRPr="00C73365">
        <w:rPr>
          <w:rFonts w:asciiTheme="minorHAnsi" w:hAnsiTheme="minorHAnsi" w:cstheme="minorHAnsi"/>
          <w:lang w:val="fr-FR"/>
        </w:rPr>
        <w:t>’</w:t>
      </w:r>
      <w:r w:rsidRPr="00C73365">
        <w:rPr>
          <w:rFonts w:asciiTheme="minorHAnsi" w:hAnsiTheme="minorHAnsi" w:cstheme="minorHAnsi"/>
          <w:lang w:val="fr-FR"/>
        </w:rPr>
        <w:t>efficacité du produit. Dans le cas où des patients viendraient à être exposés à des risques imprévus et graves, la Société, le partenaire concerné ou les autorités réglementaires pourraient choisir de suspendre ou de mettre fin à ces essais cliniques.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maintien ou l’obtention d’un certificat de Bonnes Pratiques de Fabrication ou « </w:t>
      </w:r>
      <w:r w:rsidRPr="00C73365">
        <w:rPr>
          <w:rFonts w:asciiTheme="minorHAnsi" w:hAnsiTheme="minorHAnsi" w:cstheme="minorHAnsi"/>
          <w:i/>
          <w:lang w:val="fr-FR"/>
        </w:rPr>
        <w:t>Good Manufacturing Practices</w:t>
      </w:r>
      <w:r w:rsidRPr="00C73365">
        <w:rPr>
          <w:rFonts w:asciiTheme="minorHAnsi" w:hAnsiTheme="minorHAnsi" w:cstheme="minorHAnsi"/>
          <w:lang w:val="fr-FR"/>
        </w:rPr>
        <w:t xml:space="preserve"> » (« GMP ») par la Société et/ou ses futurs partenaires pourrai</w:t>
      </w:r>
      <w:r w:rsidR="00370D90" w:rsidRPr="00C73365">
        <w:rPr>
          <w:rFonts w:asciiTheme="minorHAnsi" w:hAnsiTheme="minorHAnsi" w:cstheme="minorHAnsi"/>
          <w:lang w:val="fr-FR"/>
        </w:rPr>
        <w:t>en</w:t>
      </w:r>
      <w:r w:rsidRPr="00C73365">
        <w:rPr>
          <w:rFonts w:asciiTheme="minorHAnsi" w:hAnsiTheme="minorHAnsi" w:cstheme="minorHAnsi"/>
          <w:lang w:val="fr-FR"/>
        </w:rPr>
        <w:t xml:space="preserve">t s’avérer nécessaire à la fabrication des immunothérapies ou antiviraux que la Société développe (à des fins d’essais cliniques ou dans la phase de commercialisation). La Société ne peut garantir qu’elle-même et/ou ses partenaires obtiendront ou parviendront à maintenir ce certificat, ni que certaines contraintes supplémentaires liées à ce certificat ne leur seront pas imposées à l’avenir.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A défaut d’obtention d’AMM et/ou de certificat GMP, les produits concernés ne pourront être fabriqués ou commercialisés par la Société et/ou ses partenaires. En outre, un produit pourrait ne pas obtenir une AMM ou un certificat GMP sur une zone géographique donnée, ce qui pourrait en restreindre significativement la commercialisation. Enfin, bien que régulièrement obtenu, une AMM ou un certificat GMP peut être suspendu, notamment en cas de non-respect des règles de fabrication ou de découverte d’un effet indésirable.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réalisation de l’un ou de plusieurs de ces événements auraient un effet défavorable significatif sur l’activité, les perspectives, la situation financière, les résultats et le développement de la Société.</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Société dispose d’une expérience limitée dans la vente, le marketing et la distribution</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manque d’expérience dans les domaines de la vente, du marketing et de la distribution. Elle doit développer sa propre capacité de marketing et de vente, soit seule, soit avec des partenaires, une fois les AMM obtenues.</w:t>
      </w:r>
    </w:p>
    <w:p w:rsidR="00610453"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le cadre de la mise en place de son infrastructure de vente et de marketing, elle aura besoin d’engager des dépenses supplémentaires, de mobiliser des ressources de gestion, de mettre en œuvre de nouvelles compétences et de prendre le temps nécessaire pour mettre en place l’organisation et la structure appropriées pour supporter les produits, conformément à la législation en vigueur et, plus généralement, optimiser les efforts de commercialisation.</w:t>
      </w:r>
    </w:p>
    <w:p w:rsidR="00F46C7B" w:rsidRPr="00E66FAB" w:rsidRDefault="00F46C7B" w:rsidP="00A96CCA">
      <w:pPr>
        <w:pStyle w:val="ConmainL2"/>
        <w:numPr>
          <w:ilvl w:val="1"/>
          <w:numId w:val="9"/>
        </w:numPr>
        <w:spacing w:after="120"/>
        <w:rPr>
          <w:rFonts w:asciiTheme="minorHAnsi" w:hAnsiTheme="minorHAnsi" w:cstheme="minorHAnsi"/>
          <w:sz w:val="22"/>
          <w:szCs w:val="22"/>
          <w:lang w:val="fr-FR"/>
        </w:rPr>
      </w:pPr>
      <w:bookmarkStart w:id="32" w:name="_Toc402884120"/>
      <w:bookmarkStart w:id="33" w:name="_Toc462673227"/>
      <w:bookmarkStart w:id="34" w:name="_Toc467835573"/>
      <w:bookmarkStart w:id="35" w:name="_Toc512863887"/>
      <w:r w:rsidRPr="00E66FAB">
        <w:rPr>
          <w:rFonts w:asciiTheme="minorHAnsi" w:hAnsiTheme="minorHAnsi" w:cstheme="minorHAnsi"/>
          <w:sz w:val="22"/>
          <w:szCs w:val="22"/>
          <w:lang w:val="fr-FR"/>
        </w:rPr>
        <w:t>Risques liés à l’organisation de la Société</w:t>
      </w:r>
      <w:bookmarkEnd w:id="32"/>
      <w:bookmarkEnd w:id="33"/>
      <w:bookmarkEnd w:id="34"/>
      <w:bookmarkEnd w:id="35"/>
    </w:p>
    <w:p w:rsidR="00F46C7B" w:rsidRPr="00C73365" w:rsidRDefault="00F46C7B" w:rsidP="00A96CCA">
      <w:pPr>
        <w:pStyle w:val="ConmainL3"/>
        <w:numPr>
          <w:ilvl w:val="2"/>
          <w:numId w:val="9"/>
        </w:numPr>
        <w:tabs>
          <w:tab w:val="num" w:pos="720"/>
        </w:tabs>
        <w:spacing w:after="120"/>
        <w:ind w:left="1440"/>
        <w:rPr>
          <w:rFonts w:asciiTheme="minorHAnsi" w:hAnsiTheme="minorHAnsi" w:cstheme="minorHAnsi"/>
          <w:b/>
          <w:color w:val="7030A0"/>
          <w:lang w:val="fr-FR"/>
        </w:rPr>
      </w:pPr>
      <w:r w:rsidRPr="00C73365">
        <w:rPr>
          <w:rFonts w:asciiTheme="minorHAnsi" w:hAnsiTheme="minorHAnsi" w:cstheme="minorHAnsi"/>
          <w:b/>
          <w:color w:val="7030A0"/>
          <w:lang w:val="fr-FR"/>
        </w:rPr>
        <w:t>Risques de dépendance vis-à-vis de tiers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L’approvisionnement en matières premières spécifiques et produits nécessaires à la réalisation des essais cliniques et à la fabrication des produits de la Société n’est pas garanti</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est dépendante de tiers pour son approvisionnement en divers matériaux, produits chimiques ou biologiques qui sont nécessaires à la production des immunothérapies, d’adjuvants ou d’antiviraux expérimentaux destinés à la réalisation de ses essais cliniques et, à terme, des immunothérapies, adjuvants ou antiviraux développés par la Société.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L’approvisionnement de la Société</w:t>
      </w:r>
      <w:r w:rsidR="00202AA0">
        <w:rPr>
          <w:rFonts w:asciiTheme="minorHAnsi" w:hAnsiTheme="minorHAnsi" w:cstheme="minorHAnsi"/>
          <w:lang w:val="fr-FR"/>
        </w:rPr>
        <w:t xml:space="preserve"> concernant</w:t>
      </w:r>
      <w:r w:rsidRPr="00C73365">
        <w:rPr>
          <w:rFonts w:asciiTheme="minorHAnsi" w:hAnsiTheme="minorHAnsi" w:cstheme="minorHAnsi"/>
          <w:lang w:val="fr-FR"/>
        </w:rPr>
        <w:t xml:space="preserve"> ces matériaux et produits pourrait être réduit ou interrompu. Dans un tel cas, la Société pourrait ne pas être capable de trouver d’autres fournisseurs de matériaux ou produits chimiques ou biologiques de qualité et à un coût acceptable et dans des volumes appropriés. Si un fournisseur ou fabricant lui faisait défaut ou si son approvisionnement en produits et matériaux était réduit ou interrompu, la Société pourrait ne pas être capable de continuer à développer, faire produire, puis faire commercialiser ses produits à temps et de manière compétitive. De plus, les matériaux et produits de la Société sont soumis à des exigences de fabrication strictes et à des tests rigoureux. Des retards de fabrication de ces matériaux et produits chez les fournisseurs de la Société pourraient </w:t>
      </w:r>
      <w:r w:rsidRPr="00C73365">
        <w:rPr>
          <w:rFonts w:asciiTheme="minorHAnsi" w:hAnsiTheme="minorHAnsi" w:cstheme="minorHAnsi"/>
          <w:lang w:val="fr-FR"/>
        </w:rPr>
        <w:lastRenderedPageBreak/>
        <w:t xml:space="preserve">affecter sa capacité à terminer des essais cliniques et à faire commercialiser ses produits de manière rentable et dans des délais raisonnables.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Si la Société rencontrait des difficultés dans l’approvisionnement de ces matériaux, produits chimiques ou biologiques, si elle n’était pas en mesure de maintenir ses accords d’approvisionnement en vigueur ou de nouer de nouveaux accords pour développer et faire fabriquer ses produits dans le futur, son activité, ses perspectives, sa situation financière, ses résultats et son développement pourraient en être significativement affectés.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Société pourrait se retrouver en situation de dépendance vis-à-vis de ses sous-traitants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le cadre de son développement, la Société a recours à des sous-traitants notamment pour la fabrication de lots de produits finis ou semi-finis destinés aux études précliniques et aux essais cliniques.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Par ailleurs, dans la mesure où elle ne dispose pas, à ce stade de son développement, des ressources humaines et expertises suffisantes pour assurer la réalisation de l’intégralité des essais précliniques réglementaires et cliniques indispensables au développement des vaccins, adjuvants ou antiviraux conçus par la Société, ceux-ci sont confiés à des établissements de soins spécialisés par l’intermédiaire d’entreprises spécialisées dans la gestion des essais cliniques (CRO – Clinical Research Organization) et dans la fourniture de prestations connexes, telles que Eurofins, Delpharm, PCAS, Citoxlab, Simbec Orion</w:t>
      </w:r>
      <w:r w:rsidR="00497FE0" w:rsidRPr="00C73365">
        <w:rPr>
          <w:rFonts w:asciiTheme="minorHAnsi" w:hAnsiTheme="minorHAnsi" w:cstheme="minorHAnsi"/>
          <w:lang w:val="fr-FR"/>
        </w:rPr>
        <w:t xml:space="preserve"> ou ExpreS2ion</w:t>
      </w:r>
      <w:r w:rsidR="000161A1" w:rsidRPr="00C73365">
        <w:rPr>
          <w:rFonts w:asciiTheme="minorHAnsi" w:hAnsiTheme="minorHAnsi" w:cstheme="minorHAnsi"/>
          <w:lang w:val="fr-FR"/>
        </w:rPr>
        <w:t>, Acobiom, Histalim</w:t>
      </w:r>
      <w:r w:rsidRPr="00C73365">
        <w:rPr>
          <w:rFonts w:asciiTheme="minorHAnsi" w:hAnsiTheme="minorHAnsi" w:cstheme="minorHAnsi"/>
          <w:lang w:val="fr-FR"/>
        </w:rPr>
        <w:t>. L’externalisation des essais cliniques engendre des risques et coûts liés à la sélection de ces établissements. Des difficultés opérationnelles pourraient également survenir, en raison notamment de l’éloignement ou de la dispersion géographique des centres d’études cliniques.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Toute défaillance de la part de ces sous-traitants pourrait avoir des conséquences sur le calendrier, voire la poursuite des études cliniques sur les candidats-médicaments ABX464 principalement et à terme sur ABX196</w:t>
      </w:r>
      <w:r w:rsidR="00A3483A" w:rsidRPr="00C73365">
        <w:rPr>
          <w:rFonts w:asciiTheme="minorHAnsi" w:hAnsiTheme="minorHAnsi" w:cstheme="minorHAnsi"/>
          <w:lang w:val="fr-FR"/>
        </w:rPr>
        <w:t xml:space="preserve"> et </w:t>
      </w:r>
      <w:r w:rsidRPr="00C73365">
        <w:rPr>
          <w:rFonts w:asciiTheme="minorHAnsi" w:hAnsiTheme="minorHAnsi" w:cstheme="minorHAnsi"/>
          <w:lang w:val="fr-FR"/>
        </w:rPr>
        <w:t xml:space="preserve">ABX544, ainsi que sur la qualité des données qui doit répondre à des normes strictes (Bonnes Pratiques Cliniques, Bonnes Pratiques de Fabrication ou l’« ICH Harmonised Tripartite Guideline for Good Clinical Practice ») imposées par les autorités de tutelle, et donc retarder la commercialisation des produits.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Par ailleurs, la Société ne peut garantir que le montant des dommages éventuels liés aux recherches cliniques des produits qu’elle développe ne seront pas supérieurs au plafond d’indemnisation prévus aux contrats conclus avec les CRO.</w:t>
      </w:r>
    </w:p>
    <w:p w:rsidR="00610453"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De tels événements auraient un effet défavorable significatif sur l’activité, les perspectives, la situation financière, les résultats et le développement de la Société.</w:t>
      </w:r>
    </w:p>
    <w:p w:rsidR="00F46C7B" w:rsidRPr="00C73365" w:rsidRDefault="00F46C7B" w:rsidP="00A96CCA">
      <w:pPr>
        <w:pStyle w:val="ConmainL3"/>
        <w:keepNext w:val="0"/>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La Société pourrait perdre des collaborateurs clés et ne pas être en mesure d’attirer de nouvelles personnes qualifiées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s</w:t>
      </w:r>
      <w:r w:rsidR="00370D90" w:rsidRPr="00C73365">
        <w:rPr>
          <w:rFonts w:asciiTheme="minorHAnsi" w:hAnsiTheme="minorHAnsi" w:cstheme="minorHAnsi"/>
          <w:lang w:val="fr-FR"/>
        </w:rPr>
        <w:t>u</w:t>
      </w:r>
      <w:r w:rsidR="00C056BB">
        <w:rPr>
          <w:rFonts w:asciiTheme="minorHAnsi" w:hAnsiTheme="minorHAnsi" w:cstheme="minorHAnsi"/>
          <w:lang w:val="fr-FR"/>
        </w:rPr>
        <w:t>c</w:t>
      </w:r>
      <w:r w:rsidRPr="00C73365">
        <w:rPr>
          <w:rFonts w:asciiTheme="minorHAnsi" w:hAnsiTheme="minorHAnsi" w:cstheme="minorHAnsi"/>
          <w:lang w:val="fr-FR"/>
        </w:rPr>
        <w:t>cès de la Société dépend largement de l</w:t>
      </w:r>
      <w:r w:rsidR="004572A0" w:rsidRPr="00C73365">
        <w:rPr>
          <w:rFonts w:asciiTheme="minorHAnsi" w:hAnsiTheme="minorHAnsi" w:cstheme="minorHAnsi"/>
          <w:lang w:val="fr-FR"/>
        </w:rPr>
        <w:t>’</w:t>
      </w:r>
      <w:r w:rsidRPr="00C73365">
        <w:rPr>
          <w:rFonts w:asciiTheme="minorHAnsi" w:hAnsiTheme="minorHAnsi" w:cstheme="minorHAnsi"/>
          <w:lang w:val="fr-FR"/>
        </w:rPr>
        <w:t>implication et de l</w:t>
      </w:r>
      <w:r w:rsidR="004572A0" w:rsidRPr="00C73365">
        <w:rPr>
          <w:rFonts w:asciiTheme="minorHAnsi" w:hAnsiTheme="minorHAnsi" w:cstheme="minorHAnsi"/>
          <w:lang w:val="fr-FR"/>
        </w:rPr>
        <w:t>’</w:t>
      </w:r>
      <w:r w:rsidRPr="00C73365">
        <w:rPr>
          <w:rFonts w:asciiTheme="minorHAnsi" w:hAnsiTheme="minorHAnsi" w:cstheme="minorHAnsi"/>
          <w:lang w:val="fr-FR"/>
        </w:rPr>
        <w:t>expertise de ses dirigeants et de son personnel scientifique qualifié. La Société n’a conclu à ce jour aucune assurance dite « homme clef » (police d’assurance invalidité permanente/décès). L’indisponibilité momentanée ou définitive de ces personnes pourrait entraîner</w:t>
      </w:r>
      <w:r w:rsidR="00370D90" w:rsidRPr="00C73365">
        <w:rPr>
          <w:rFonts w:asciiTheme="minorHAnsi" w:hAnsiTheme="minorHAnsi" w:cstheme="minorHAnsi"/>
          <w:lang w:val="fr-FR"/>
        </w:rPr>
        <w:t xml:space="preserve"> </w:t>
      </w:r>
      <w:r w:rsidRPr="00C73365">
        <w:rPr>
          <w:rFonts w:asciiTheme="minorHAnsi" w:hAnsiTheme="minorHAnsi" w:cstheme="minorHAnsi"/>
          <w:lang w:val="fr-FR"/>
        </w:rPr>
        <w:t>:</w:t>
      </w:r>
    </w:p>
    <w:p w:rsidR="00F46C7B" w:rsidRPr="00E66FAB" w:rsidRDefault="00F46C7B" w:rsidP="00434C49">
      <w:pPr>
        <w:pStyle w:val="ListBullet2"/>
        <w:numPr>
          <w:ilvl w:val="0"/>
          <w:numId w:val="58"/>
        </w:numPr>
        <w:rPr>
          <w:rFonts w:asciiTheme="minorHAnsi" w:hAnsiTheme="minorHAnsi" w:cstheme="minorHAnsi"/>
          <w:lang w:val="fr-FR"/>
        </w:rPr>
      </w:pPr>
      <w:r w:rsidRPr="00E66FAB">
        <w:rPr>
          <w:rFonts w:asciiTheme="minorHAnsi" w:hAnsiTheme="minorHAnsi" w:cstheme="minorHAnsi"/>
          <w:lang w:val="fr-FR"/>
        </w:rPr>
        <w:t>des pertes de savoir-faire et la fragilisation de certaines activités, d</w:t>
      </w:r>
      <w:r w:rsidR="004572A0" w:rsidRPr="00E66FAB">
        <w:rPr>
          <w:rFonts w:asciiTheme="minorHAnsi" w:hAnsiTheme="minorHAnsi" w:cstheme="minorHAnsi"/>
          <w:lang w:val="fr-FR"/>
        </w:rPr>
        <w:t>’</w:t>
      </w:r>
      <w:r w:rsidRPr="00E66FAB">
        <w:rPr>
          <w:rFonts w:asciiTheme="minorHAnsi" w:hAnsiTheme="minorHAnsi" w:cstheme="minorHAnsi"/>
          <w:lang w:val="fr-FR"/>
        </w:rPr>
        <w:t>autant plus forte en cas de transfert à la concurrence, ou</w:t>
      </w:r>
    </w:p>
    <w:p w:rsidR="00F46C7B" w:rsidRPr="00E66FAB" w:rsidRDefault="00F46C7B" w:rsidP="00434C49">
      <w:pPr>
        <w:pStyle w:val="ListBullet2"/>
        <w:numPr>
          <w:ilvl w:val="0"/>
          <w:numId w:val="58"/>
        </w:numPr>
        <w:rPr>
          <w:rFonts w:asciiTheme="minorHAnsi" w:hAnsiTheme="minorHAnsi" w:cstheme="minorHAnsi"/>
          <w:lang w:val="fr-FR"/>
        </w:rPr>
      </w:pPr>
      <w:r w:rsidRPr="00E66FAB">
        <w:rPr>
          <w:rFonts w:asciiTheme="minorHAnsi" w:hAnsiTheme="minorHAnsi" w:cstheme="minorHAnsi"/>
          <w:lang w:val="fr-FR"/>
        </w:rPr>
        <w:t>des carences en termes de compétences techniques pouvant ralentir l</w:t>
      </w:r>
      <w:r w:rsidR="004572A0" w:rsidRPr="00E66FAB">
        <w:rPr>
          <w:rFonts w:asciiTheme="minorHAnsi" w:hAnsiTheme="minorHAnsi" w:cstheme="minorHAnsi"/>
          <w:lang w:val="fr-FR"/>
        </w:rPr>
        <w:t>’</w:t>
      </w:r>
      <w:r w:rsidRPr="00E66FAB">
        <w:rPr>
          <w:rFonts w:asciiTheme="minorHAnsi" w:hAnsiTheme="minorHAnsi" w:cstheme="minorHAnsi"/>
          <w:lang w:val="fr-FR"/>
        </w:rPr>
        <w:t>activité et pouvant altérer, à terme, la capacité de la Société à atteindre ses objectifs.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aura par ailleurs besoin dans le futur de recruter de nouveaux cadres dirigeants et du personnel scientifique qualifié pour le développement de ses activités et au fur et à mesure que la Société s’étendra dans les domaines qui nécessiteront un surcroît de compétences, telles que le marketing ou la commercialisation. Elle est en concurrence avec d</w:t>
      </w:r>
      <w:r w:rsidR="004572A0" w:rsidRPr="00C73365">
        <w:rPr>
          <w:rFonts w:asciiTheme="minorHAnsi" w:hAnsiTheme="minorHAnsi" w:cstheme="minorHAnsi"/>
          <w:lang w:val="fr-FR"/>
        </w:rPr>
        <w:t>’</w:t>
      </w:r>
      <w:r w:rsidRPr="00C73365">
        <w:rPr>
          <w:rFonts w:asciiTheme="minorHAnsi" w:hAnsiTheme="minorHAnsi" w:cstheme="minorHAnsi"/>
          <w:lang w:val="fr-FR"/>
        </w:rPr>
        <w:t>autres sociétés, organismes de recherche et institutions académiques notamment pour recruter et fidéliser les personnels scientifiques, techniques et de gestion</w:t>
      </w:r>
      <w:r w:rsidR="00370D90" w:rsidRPr="00C73365">
        <w:rPr>
          <w:rFonts w:asciiTheme="minorHAnsi" w:hAnsiTheme="minorHAnsi" w:cstheme="minorHAnsi"/>
          <w:lang w:val="fr-FR"/>
        </w:rPr>
        <w:t>,</w:t>
      </w:r>
      <w:r w:rsidRPr="00C73365">
        <w:rPr>
          <w:rFonts w:asciiTheme="minorHAnsi" w:hAnsiTheme="minorHAnsi" w:cstheme="minorHAnsi"/>
          <w:lang w:val="fr-FR"/>
        </w:rPr>
        <w:t xml:space="preserve"> hautement qualifiés. Dans la mesure où cette concurrence est intense, la Société pourrait ne pas être en mesure d</w:t>
      </w:r>
      <w:r w:rsidR="004572A0" w:rsidRPr="00C73365">
        <w:rPr>
          <w:rFonts w:asciiTheme="minorHAnsi" w:hAnsiTheme="minorHAnsi" w:cstheme="minorHAnsi"/>
          <w:lang w:val="fr-FR"/>
        </w:rPr>
        <w:t>’</w:t>
      </w:r>
      <w:r w:rsidRPr="00C73365">
        <w:rPr>
          <w:rFonts w:asciiTheme="minorHAnsi" w:hAnsiTheme="minorHAnsi" w:cstheme="minorHAnsi"/>
          <w:lang w:val="fr-FR"/>
        </w:rPr>
        <w:t>attirer ou de retenir ces personnels clés à des conditions qui soient acceptables d</w:t>
      </w:r>
      <w:r w:rsidR="004572A0" w:rsidRPr="00C73365">
        <w:rPr>
          <w:rFonts w:asciiTheme="minorHAnsi" w:hAnsiTheme="minorHAnsi" w:cstheme="minorHAnsi"/>
          <w:lang w:val="fr-FR"/>
        </w:rPr>
        <w:t>’</w:t>
      </w:r>
      <w:r w:rsidRPr="00C73365">
        <w:rPr>
          <w:rFonts w:asciiTheme="minorHAnsi" w:hAnsiTheme="minorHAnsi" w:cstheme="minorHAnsi"/>
          <w:lang w:val="fr-FR"/>
        </w:rPr>
        <w:t>un point de vue économique.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L</w:t>
      </w:r>
      <w:r w:rsidR="004572A0" w:rsidRPr="00C73365">
        <w:rPr>
          <w:rFonts w:asciiTheme="minorHAnsi" w:hAnsiTheme="minorHAnsi" w:cstheme="minorHAnsi"/>
          <w:lang w:val="fr-FR"/>
        </w:rPr>
        <w:t>’</w:t>
      </w:r>
      <w:r w:rsidRPr="00C73365">
        <w:rPr>
          <w:rFonts w:asciiTheme="minorHAnsi" w:hAnsiTheme="minorHAnsi" w:cstheme="minorHAnsi"/>
          <w:lang w:val="fr-FR"/>
        </w:rPr>
        <w:t>incapacité de la Société à attirer et retenir ces personnes clés pourrait l</w:t>
      </w:r>
      <w:r w:rsidR="004572A0" w:rsidRPr="00C73365">
        <w:rPr>
          <w:rFonts w:asciiTheme="minorHAnsi" w:hAnsiTheme="minorHAnsi" w:cstheme="minorHAnsi"/>
          <w:lang w:val="fr-FR"/>
        </w:rPr>
        <w:t>’</w:t>
      </w:r>
      <w:r w:rsidRPr="00C73365">
        <w:rPr>
          <w:rFonts w:asciiTheme="minorHAnsi" w:hAnsiTheme="minorHAnsi" w:cstheme="minorHAnsi"/>
          <w:lang w:val="fr-FR"/>
        </w:rPr>
        <w:t>empêcher globalement d</w:t>
      </w:r>
      <w:r w:rsidR="004572A0" w:rsidRPr="00C73365">
        <w:rPr>
          <w:rFonts w:asciiTheme="minorHAnsi" w:hAnsiTheme="minorHAnsi" w:cstheme="minorHAnsi"/>
          <w:lang w:val="fr-FR"/>
        </w:rPr>
        <w:t>’</w:t>
      </w:r>
      <w:r w:rsidRPr="00C73365">
        <w:rPr>
          <w:rFonts w:asciiTheme="minorHAnsi" w:hAnsiTheme="minorHAnsi" w:cstheme="minorHAnsi"/>
          <w:lang w:val="fr-FR"/>
        </w:rPr>
        <w:t>atteindre ses objectifs et ainsi avoir un effet défavorable significatif sur son activité, ses résultats, sa situation financière, son développement et ses perspectives.</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à la gestion de la croissance de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le cadre de sa stratégie de développement, la Société va devoir recruter du personnel supplémentaire et développer ses capacités opérationnelles, ce qui pourrait fortement mobiliser ses ressources internes.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 cet effet, la Société devra notamment :</w:t>
      </w:r>
    </w:p>
    <w:p w:rsidR="00F46C7B" w:rsidRPr="00E66FAB" w:rsidRDefault="00F46C7B" w:rsidP="00434C49">
      <w:pPr>
        <w:pStyle w:val="ListBullet2"/>
        <w:numPr>
          <w:ilvl w:val="0"/>
          <w:numId w:val="59"/>
        </w:numPr>
        <w:rPr>
          <w:rFonts w:asciiTheme="minorHAnsi" w:hAnsiTheme="minorHAnsi" w:cstheme="minorHAnsi"/>
          <w:lang w:val="fr-FR"/>
        </w:rPr>
      </w:pPr>
      <w:r w:rsidRPr="00E66FAB">
        <w:rPr>
          <w:rFonts w:asciiTheme="minorHAnsi" w:hAnsiTheme="minorHAnsi" w:cstheme="minorHAnsi"/>
          <w:lang w:val="fr-FR"/>
        </w:rPr>
        <w:t>former, gérer, motiver et retenir un nombre d</w:t>
      </w:r>
      <w:r w:rsidR="004572A0" w:rsidRPr="00E66FAB">
        <w:rPr>
          <w:rFonts w:asciiTheme="minorHAnsi" w:hAnsiTheme="minorHAnsi" w:cstheme="minorHAnsi"/>
          <w:lang w:val="fr-FR"/>
        </w:rPr>
        <w:t>’</w:t>
      </w:r>
      <w:r w:rsidRPr="00E66FAB">
        <w:rPr>
          <w:rFonts w:asciiTheme="minorHAnsi" w:hAnsiTheme="minorHAnsi" w:cstheme="minorHAnsi"/>
          <w:lang w:val="fr-FR"/>
        </w:rPr>
        <w:t>employés croissant ;</w:t>
      </w:r>
    </w:p>
    <w:p w:rsidR="00F46C7B" w:rsidRPr="00E66FAB" w:rsidRDefault="00F46C7B" w:rsidP="00434C49">
      <w:pPr>
        <w:pStyle w:val="ListBullet2"/>
        <w:numPr>
          <w:ilvl w:val="0"/>
          <w:numId w:val="59"/>
        </w:numPr>
        <w:rPr>
          <w:rFonts w:asciiTheme="minorHAnsi" w:hAnsiTheme="minorHAnsi" w:cstheme="minorHAnsi"/>
          <w:lang w:val="fr-FR"/>
        </w:rPr>
      </w:pPr>
      <w:r w:rsidRPr="00E66FAB">
        <w:rPr>
          <w:rFonts w:asciiTheme="minorHAnsi" w:hAnsiTheme="minorHAnsi" w:cstheme="minorHAnsi"/>
          <w:lang w:val="fr-FR"/>
        </w:rPr>
        <w:t>anticiper les dépenses liées à cette croissance et les besoins de financement associés ;</w:t>
      </w:r>
    </w:p>
    <w:p w:rsidR="00F46C7B" w:rsidRPr="00E66FAB" w:rsidRDefault="00F46C7B" w:rsidP="00434C49">
      <w:pPr>
        <w:pStyle w:val="ListBullet2"/>
        <w:numPr>
          <w:ilvl w:val="0"/>
          <w:numId w:val="59"/>
        </w:numPr>
        <w:rPr>
          <w:rFonts w:asciiTheme="minorHAnsi" w:hAnsiTheme="minorHAnsi" w:cstheme="minorHAnsi"/>
          <w:lang w:val="fr-FR"/>
        </w:rPr>
      </w:pPr>
      <w:r w:rsidRPr="00E66FAB">
        <w:rPr>
          <w:rFonts w:asciiTheme="minorHAnsi" w:hAnsiTheme="minorHAnsi" w:cstheme="minorHAnsi"/>
          <w:lang w:val="fr-FR"/>
        </w:rPr>
        <w:t xml:space="preserve">gérer la sous-traitance de la production de ses médicaments développés ; </w:t>
      </w:r>
    </w:p>
    <w:p w:rsidR="00F46C7B" w:rsidRPr="00E66FAB" w:rsidRDefault="00F46C7B" w:rsidP="00434C49">
      <w:pPr>
        <w:pStyle w:val="ListBullet2"/>
        <w:numPr>
          <w:ilvl w:val="0"/>
          <w:numId w:val="59"/>
        </w:numPr>
        <w:rPr>
          <w:rFonts w:asciiTheme="minorHAnsi" w:hAnsiTheme="minorHAnsi" w:cstheme="minorHAnsi"/>
          <w:lang w:val="fr-FR"/>
        </w:rPr>
      </w:pPr>
      <w:r w:rsidRPr="00E66FAB">
        <w:rPr>
          <w:rFonts w:asciiTheme="minorHAnsi" w:hAnsiTheme="minorHAnsi" w:cstheme="minorHAnsi"/>
          <w:lang w:val="fr-FR"/>
        </w:rPr>
        <w:t xml:space="preserve">gérer des accords de partenariats avec les partenaires industriels de la Société en charge de poursuivre le développement clinique et la commercialisation des produits de la Société ; </w:t>
      </w:r>
    </w:p>
    <w:p w:rsidR="00F46C7B" w:rsidRPr="00E66FAB" w:rsidRDefault="00F46C7B" w:rsidP="00434C49">
      <w:pPr>
        <w:pStyle w:val="ListBullet2"/>
        <w:numPr>
          <w:ilvl w:val="0"/>
          <w:numId w:val="59"/>
        </w:numPr>
        <w:rPr>
          <w:rFonts w:asciiTheme="minorHAnsi" w:hAnsiTheme="minorHAnsi" w:cstheme="minorHAnsi"/>
          <w:lang w:val="fr-FR"/>
        </w:rPr>
      </w:pPr>
      <w:r w:rsidRPr="00E66FAB">
        <w:rPr>
          <w:rFonts w:asciiTheme="minorHAnsi" w:hAnsiTheme="minorHAnsi" w:cstheme="minorHAnsi"/>
          <w:lang w:val="fr-FR"/>
        </w:rPr>
        <w:t>anticiper la demande pour ses produits et les revenus qu</w:t>
      </w:r>
      <w:r w:rsidR="004572A0" w:rsidRPr="00E66FAB">
        <w:rPr>
          <w:rFonts w:asciiTheme="minorHAnsi" w:hAnsiTheme="minorHAnsi" w:cstheme="minorHAnsi"/>
          <w:lang w:val="fr-FR"/>
        </w:rPr>
        <w:t>’</w:t>
      </w:r>
      <w:r w:rsidRPr="00E66FAB">
        <w:rPr>
          <w:rFonts w:asciiTheme="minorHAnsi" w:hAnsiTheme="minorHAnsi" w:cstheme="minorHAnsi"/>
          <w:lang w:val="fr-FR"/>
        </w:rPr>
        <w:t>ils sont susceptibles de générer ; et</w:t>
      </w:r>
    </w:p>
    <w:p w:rsidR="00F46C7B" w:rsidRPr="00E66FAB" w:rsidRDefault="00F46C7B" w:rsidP="00434C49">
      <w:pPr>
        <w:pStyle w:val="ListBullet2"/>
        <w:numPr>
          <w:ilvl w:val="0"/>
          <w:numId w:val="59"/>
        </w:numPr>
        <w:rPr>
          <w:rFonts w:asciiTheme="minorHAnsi" w:hAnsiTheme="minorHAnsi" w:cstheme="minorHAnsi"/>
          <w:lang w:val="fr-FR"/>
        </w:rPr>
      </w:pPr>
      <w:r w:rsidRPr="00E66FAB">
        <w:rPr>
          <w:rFonts w:asciiTheme="minorHAnsi" w:hAnsiTheme="minorHAnsi" w:cstheme="minorHAnsi"/>
          <w:lang w:val="fr-FR"/>
        </w:rPr>
        <w:t>augmenter la capacité de ses systèmes informatiques opérationnels, financiers et de gestion existants.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Pour faire face à la demande dans le délai convenu avec ses futurs partenaires, la Société pourrait avoir besoin de conclure de nouveaux contrats de sous-traitance.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incapacité de la Société à gérer la croissance, ou des difficultés inattendues rencontrées pendant son expansion, pourrait avoir un effet défavorable significatif sur son activité, ses résultats, sa situation financière, son développement et ses perspectives</w:t>
      </w:r>
    </w:p>
    <w:p w:rsidR="00F46C7B" w:rsidRPr="00C93577" w:rsidRDefault="00F46C7B" w:rsidP="00A96CCA">
      <w:pPr>
        <w:pStyle w:val="ConmainL2"/>
        <w:numPr>
          <w:ilvl w:val="1"/>
          <w:numId w:val="9"/>
        </w:numPr>
        <w:spacing w:after="120"/>
        <w:rPr>
          <w:rFonts w:asciiTheme="minorHAnsi" w:hAnsiTheme="minorHAnsi" w:cstheme="minorHAnsi"/>
          <w:sz w:val="22"/>
          <w:szCs w:val="22"/>
          <w:lang w:val="fr-FR"/>
        </w:rPr>
      </w:pPr>
      <w:bookmarkStart w:id="36" w:name="_Toc402884121"/>
      <w:bookmarkStart w:id="37" w:name="_Toc462673228"/>
      <w:bookmarkStart w:id="38" w:name="_Toc467835574"/>
      <w:bookmarkStart w:id="39" w:name="_Toc512863888"/>
      <w:r w:rsidRPr="00C93577">
        <w:rPr>
          <w:rFonts w:asciiTheme="minorHAnsi" w:hAnsiTheme="minorHAnsi" w:cstheme="minorHAnsi"/>
          <w:sz w:val="22"/>
          <w:szCs w:val="22"/>
          <w:lang w:val="fr-FR"/>
        </w:rPr>
        <w:t>Risques réglementaires et juridiques</w:t>
      </w:r>
      <w:bookmarkEnd w:id="36"/>
      <w:bookmarkEnd w:id="37"/>
      <w:bookmarkEnd w:id="38"/>
      <w:bookmarkEnd w:id="39"/>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à un cadre réglementaire contraignant et évolutif</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Un des enjeux majeurs pour une société de croissance comme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de réussir à développer, seule ou avec l’aide de partenaires, des produits intégrant ses technologies dans le contexte d</w:t>
      </w:r>
      <w:r w:rsidR="004572A0" w:rsidRPr="00C73365">
        <w:rPr>
          <w:rFonts w:asciiTheme="minorHAnsi" w:hAnsiTheme="minorHAnsi" w:cstheme="minorHAnsi"/>
          <w:lang w:val="fr-FR"/>
        </w:rPr>
        <w:t>’</w:t>
      </w:r>
      <w:r w:rsidRPr="00C73365">
        <w:rPr>
          <w:rFonts w:asciiTheme="minorHAnsi" w:hAnsiTheme="minorHAnsi" w:cstheme="minorHAnsi"/>
          <w:lang w:val="fr-FR"/>
        </w:rPr>
        <w:t>un environnement réglementaire de plus en plus contraignant. En effet, l’industrie pharmaceutique est confrontée à une évolution permanente de son environnement légal et réglementaire et à la surveillance accrue de la part des autorités compétentes que sont notamment l’Agence Nationale de Sécurité du Médicament et des produits de santé (« ANSM ») en France, l’European Medicines Agency (« EMA ») en Europe ou la Food and Drug Administration (« FDA ») aux Etats-Unis ou d’autres autorités réglementaires dans le reste du monde. Corrélativement, le public exige davantage de garanties quant à la sécurité et l’efficacité des médicaments.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autorités de santé encadrent notamment les travaux de recherche et de développement, les études précliniques, les études cliniques, la réglementation des établissements pharmaceutiques, ainsi que la fabrication et la commercialisation des médicaments. Ce renforcement de l</w:t>
      </w:r>
      <w:r w:rsidR="004572A0" w:rsidRPr="00C73365">
        <w:rPr>
          <w:rFonts w:asciiTheme="minorHAnsi" w:hAnsiTheme="minorHAnsi" w:cstheme="minorHAnsi"/>
          <w:lang w:val="fr-FR"/>
        </w:rPr>
        <w:t>’</w:t>
      </w:r>
      <w:r w:rsidRPr="00C73365">
        <w:rPr>
          <w:rFonts w:asciiTheme="minorHAnsi" w:hAnsiTheme="minorHAnsi" w:cstheme="minorHAnsi"/>
          <w:lang w:val="fr-FR"/>
        </w:rPr>
        <w:t>encadrement législatif et réglementaire est commun au monde entier, les exigences variant toutefois d</w:t>
      </w:r>
      <w:r w:rsidR="004572A0" w:rsidRPr="00C73365">
        <w:rPr>
          <w:rFonts w:asciiTheme="minorHAnsi" w:hAnsiTheme="minorHAnsi" w:cstheme="minorHAnsi"/>
          <w:lang w:val="fr-FR"/>
        </w:rPr>
        <w:t>’</w:t>
      </w:r>
      <w:r w:rsidRPr="00C73365">
        <w:rPr>
          <w:rFonts w:asciiTheme="minorHAnsi" w:hAnsiTheme="minorHAnsi" w:cstheme="minorHAnsi"/>
          <w:lang w:val="fr-FR"/>
        </w:rPr>
        <w:t>un pays à l</w:t>
      </w:r>
      <w:r w:rsidR="004572A0" w:rsidRPr="00C73365">
        <w:rPr>
          <w:rFonts w:asciiTheme="minorHAnsi" w:hAnsiTheme="minorHAnsi" w:cstheme="minorHAnsi"/>
          <w:lang w:val="fr-FR"/>
        </w:rPr>
        <w:t>’</w:t>
      </w:r>
      <w:r w:rsidRPr="00C73365">
        <w:rPr>
          <w:rFonts w:asciiTheme="minorHAnsi" w:hAnsiTheme="minorHAnsi" w:cstheme="minorHAnsi"/>
          <w:lang w:val="fr-FR"/>
        </w:rPr>
        <w:t>autre. En particulier, les autorités de santé et notamment l’ANSM, l’EMA ou la FDA ont imposé des exigences de plus en plus lourdes en termes de volume de données demandées afin de démontrer l’efficacité et la sécurité d’un produit. Ces exigences accrues ont ainsi réduit le nombre de produits autorisés par rapport au nombre de dossiers déposés. Les produits commercialisés font en outre l’objet d’une réévaluation régulière du rapport bénéfice/risque après leur autorisation. La découverte tardive de problèmes non décelés au stade de la recherche peut conduire à des restrictions de commercialisation, à la suspension ou au retrait du produit et à un risque de contentieux accru.</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Ainsi le processus d</w:t>
      </w:r>
      <w:r w:rsidR="004572A0" w:rsidRPr="00C73365">
        <w:rPr>
          <w:rFonts w:asciiTheme="minorHAnsi" w:hAnsiTheme="minorHAnsi" w:cstheme="minorHAnsi"/>
          <w:lang w:val="fr-FR"/>
        </w:rPr>
        <w:t>’</w:t>
      </w:r>
      <w:r w:rsidRPr="00C73365">
        <w:rPr>
          <w:rFonts w:asciiTheme="minorHAnsi" w:hAnsiTheme="minorHAnsi" w:cstheme="minorHAnsi"/>
          <w:lang w:val="fr-FR"/>
        </w:rPr>
        <w:t>autorisation est dès lors long et coûteux, pouvant prendre plusieurs années, avec un résultat restant imprévisible.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 xml:space="preserve">Dans la mesure où de nouvelles dispositions légales ou réglementaires entraîneraient une augmentation des coûts d’obtention et de maintien des autorisations de commercialisation des produits, limiteraient les indications ciblées par un produit ou limiteraient la valeur économique d’un nouveau produit pour son inventeur, les perspectives de croissance de l’industrie pharmaceutique et de la Société pourraient s’en trouver réduites.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réalisation de l’un ou de plusieurs de ces risques pourrait avoir un effet défavorable significatif sur l’activité, les perspectives, la situation financière, les résultats et le développement de la Société.</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spécifiques liés aux études précliniques et aux essais cliniques qui seront nécessaires à l’obtention des autorisations de mise sur le marché des produits thérapeutiques de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organisation d’études précliniques sur l’animal et d’essais cliniques sur l’homme est indispensable à l’obtention de l’autorisation de mise sur le marché des produits développés par la Société. Leur réalisation s</w:t>
      </w:r>
      <w:r w:rsidR="004572A0" w:rsidRPr="00C73365">
        <w:rPr>
          <w:rFonts w:asciiTheme="minorHAnsi" w:hAnsiTheme="minorHAnsi" w:cstheme="minorHAnsi"/>
          <w:lang w:val="fr-FR"/>
        </w:rPr>
        <w:t>’</w:t>
      </w:r>
      <w:r w:rsidRPr="00C73365">
        <w:rPr>
          <w:rFonts w:asciiTheme="minorHAnsi" w:hAnsiTheme="minorHAnsi" w:cstheme="minorHAnsi"/>
          <w:lang w:val="fr-FR"/>
        </w:rPr>
        <w:t>échelonne généralement sur plusieurs années et s</w:t>
      </w:r>
      <w:r w:rsidR="004572A0" w:rsidRPr="00C73365">
        <w:rPr>
          <w:rFonts w:asciiTheme="minorHAnsi" w:hAnsiTheme="minorHAnsi" w:cstheme="minorHAnsi"/>
          <w:lang w:val="fr-FR"/>
        </w:rPr>
        <w:t>’</w:t>
      </w:r>
      <w:r w:rsidRPr="00C73365">
        <w:rPr>
          <w:rFonts w:asciiTheme="minorHAnsi" w:hAnsiTheme="minorHAnsi" w:cstheme="minorHAnsi"/>
          <w:lang w:val="fr-FR"/>
        </w:rPr>
        <w:t>avère très coûteuse.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Ces études et essais devant être menés par des centres de recherche préclinique et clinique, leur qualité et l</w:t>
      </w:r>
      <w:r w:rsidR="004572A0" w:rsidRPr="00C73365">
        <w:rPr>
          <w:rFonts w:asciiTheme="minorHAnsi" w:hAnsiTheme="minorHAnsi" w:cstheme="minorHAnsi"/>
          <w:lang w:val="fr-FR"/>
        </w:rPr>
        <w:t>’</w:t>
      </w:r>
      <w:r w:rsidRPr="00C73365">
        <w:rPr>
          <w:rFonts w:asciiTheme="minorHAnsi" w:hAnsiTheme="minorHAnsi" w:cstheme="minorHAnsi"/>
          <w:lang w:val="fr-FR"/>
        </w:rPr>
        <w:t>intérêt qu</w:t>
      </w:r>
      <w:r w:rsidR="004572A0" w:rsidRPr="00C73365">
        <w:rPr>
          <w:rFonts w:asciiTheme="minorHAnsi" w:hAnsiTheme="minorHAnsi" w:cstheme="minorHAnsi"/>
          <w:lang w:val="fr-FR"/>
        </w:rPr>
        <w:t>’</w:t>
      </w:r>
      <w:r w:rsidRPr="00C73365">
        <w:rPr>
          <w:rFonts w:asciiTheme="minorHAnsi" w:hAnsiTheme="minorHAnsi" w:cstheme="minorHAnsi"/>
          <w:lang w:val="fr-FR"/>
        </w:rPr>
        <w:t>ils présenteront dépendra largement de la capacité de la Société et de ses partenaires à sélectionner les centres de recherche préclinique et clinique et, en ce qui concerne les essais sur l’homme, à recruter le nombre de patients nécessaire dans des délais relativement limités afin d</w:t>
      </w:r>
      <w:r w:rsidR="004572A0" w:rsidRPr="00C73365">
        <w:rPr>
          <w:rFonts w:asciiTheme="minorHAnsi" w:hAnsiTheme="minorHAnsi" w:cstheme="minorHAnsi"/>
          <w:lang w:val="fr-FR"/>
        </w:rPr>
        <w:t>’</w:t>
      </w:r>
      <w:r w:rsidRPr="00C73365">
        <w:rPr>
          <w:rFonts w:asciiTheme="minorHAnsi" w:hAnsiTheme="minorHAnsi" w:cstheme="minorHAnsi"/>
          <w:lang w:val="fr-FR"/>
        </w:rPr>
        <w:t>être en mesure de publier des résultats rapidement, ainsi qu</w:t>
      </w:r>
      <w:r w:rsidR="004572A0" w:rsidRPr="00C73365">
        <w:rPr>
          <w:rFonts w:asciiTheme="minorHAnsi" w:hAnsiTheme="minorHAnsi" w:cstheme="minorHAnsi"/>
          <w:lang w:val="fr-FR"/>
        </w:rPr>
        <w:t>’</w:t>
      </w:r>
      <w:r w:rsidRPr="00C73365">
        <w:rPr>
          <w:rFonts w:asciiTheme="minorHAnsi" w:hAnsiTheme="minorHAnsi" w:cstheme="minorHAnsi"/>
          <w:lang w:val="fr-FR"/>
        </w:rPr>
        <w:t>à choisir, le cas échéant, les bons prestataires chargés de la mise en œuvre du protocole d</w:t>
      </w:r>
      <w:r w:rsidR="004572A0" w:rsidRPr="00C73365">
        <w:rPr>
          <w:rFonts w:asciiTheme="minorHAnsi" w:hAnsiTheme="minorHAnsi" w:cstheme="minorHAnsi"/>
          <w:lang w:val="fr-FR"/>
        </w:rPr>
        <w:t>’</w:t>
      </w:r>
      <w:r w:rsidRPr="00C73365">
        <w:rPr>
          <w:rFonts w:asciiTheme="minorHAnsi" w:hAnsiTheme="minorHAnsi" w:cstheme="minorHAnsi"/>
          <w:lang w:val="fr-FR"/>
        </w:rPr>
        <w:t>étude défini par la Société ou ses partenaires. L</w:t>
      </w:r>
      <w:r w:rsidR="004572A0" w:rsidRPr="00C73365">
        <w:rPr>
          <w:rFonts w:asciiTheme="minorHAnsi" w:hAnsiTheme="minorHAnsi" w:cstheme="minorHAnsi"/>
          <w:lang w:val="fr-FR"/>
        </w:rPr>
        <w:t>’</w:t>
      </w:r>
      <w:r w:rsidRPr="00C73365">
        <w:rPr>
          <w:rFonts w:asciiTheme="minorHAnsi" w:hAnsiTheme="minorHAnsi" w:cstheme="minorHAnsi"/>
          <w:lang w:val="fr-FR"/>
        </w:rPr>
        <w:t>éloignement ou la dispersion géographique des centres d</w:t>
      </w:r>
      <w:r w:rsidR="004572A0" w:rsidRPr="00C73365">
        <w:rPr>
          <w:rFonts w:asciiTheme="minorHAnsi" w:hAnsiTheme="minorHAnsi" w:cstheme="minorHAnsi"/>
          <w:lang w:val="fr-FR"/>
        </w:rPr>
        <w:t>’</w:t>
      </w:r>
      <w:r w:rsidRPr="00C73365">
        <w:rPr>
          <w:rFonts w:asciiTheme="minorHAnsi" w:hAnsiTheme="minorHAnsi" w:cstheme="minorHAnsi"/>
          <w:lang w:val="fr-FR"/>
        </w:rPr>
        <w:t>études cliniques ou précliniques peut également soulever des difficultés opérationnelles et logistiques, susceptible d</w:t>
      </w:r>
      <w:r w:rsidR="004572A0" w:rsidRPr="00C73365">
        <w:rPr>
          <w:rFonts w:asciiTheme="minorHAnsi" w:hAnsiTheme="minorHAnsi" w:cstheme="minorHAnsi"/>
          <w:lang w:val="fr-FR"/>
        </w:rPr>
        <w:t>’</w:t>
      </w:r>
      <w:r w:rsidRPr="00C73365">
        <w:rPr>
          <w:rFonts w:asciiTheme="minorHAnsi" w:hAnsiTheme="minorHAnsi" w:cstheme="minorHAnsi"/>
          <w:lang w:val="fr-FR"/>
        </w:rPr>
        <w:t>entraîner des coûts et des délais supplémentaires.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le cas où la Société ou ses partenaires ne parviendraient pas à recruter les patients prévus, ce qui engendrerait des retards dans les études cliniques et la publication de leurs résultats, il en résulterait un décalage dans l</w:t>
      </w:r>
      <w:r w:rsidR="004572A0" w:rsidRPr="00C73365">
        <w:rPr>
          <w:rFonts w:asciiTheme="minorHAnsi" w:hAnsiTheme="minorHAnsi" w:cstheme="minorHAnsi"/>
          <w:lang w:val="fr-FR"/>
        </w:rPr>
        <w:t>’</w:t>
      </w:r>
      <w:r w:rsidRPr="00C73365">
        <w:rPr>
          <w:rFonts w:asciiTheme="minorHAnsi" w:hAnsiTheme="minorHAnsi" w:cstheme="minorHAnsi"/>
          <w:lang w:val="fr-FR"/>
        </w:rPr>
        <w:t>adhésion tant des sociétés savantes que des professionnels des domaines médicaux concernés, et la commercialisation des produits de la Société s</w:t>
      </w:r>
      <w:r w:rsidR="004572A0" w:rsidRPr="00C73365">
        <w:rPr>
          <w:rFonts w:asciiTheme="minorHAnsi" w:hAnsiTheme="minorHAnsi" w:cstheme="minorHAnsi"/>
          <w:lang w:val="fr-FR"/>
        </w:rPr>
        <w:t>’</w:t>
      </w:r>
      <w:r w:rsidRPr="00C73365">
        <w:rPr>
          <w:rFonts w:asciiTheme="minorHAnsi" w:hAnsiTheme="minorHAnsi" w:cstheme="minorHAnsi"/>
          <w:lang w:val="fr-FR"/>
        </w:rPr>
        <w:t>en trouverait affectée, ce qui serait susceptible d</w:t>
      </w:r>
      <w:r w:rsidR="004572A0" w:rsidRPr="00C73365">
        <w:rPr>
          <w:rFonts w:asciiTheme="minorHAnsi" w:hAnsiTheme="minorHAnsi" w:cstheme="minorHAnsi"/>
          <w:lang w:val="fr-FR"/>
        </w:rPr>
        <w:t>’</w:t>
      </w:r>
      <w:r w:rsidRPr="00C73365">
        <w:rPr>
          <w:rFonts w:asciiTheme="minorHAnsi" w:hAnsiTheme="minorHAnsi" w:cstheme="minorHAnsi"/>
          <w:lang w:val="fr-FR"/>
        </w:rPr>
        <w:t>avoir un effet défavorable significatif sur la Société, son activité, sa situation financière, ses résultats, son développement et ses perspectives.</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au remboursement et déremboursement des médicaments et traitements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 l</w:t>
      </w:r>
      <w:r w:rsidR="004572A0" w:rsidRPr="00C73365">
        <w:rPr>
          <w:rFonts w:asciiTheme="minorHAnsi" w:hAnsiTheme="minorHAnsi" w:cstheme="minorHAnsi"/>
          <w:lang w:val="fr-FR"/>
        </w:rPr>
        <w:t>’</w:t>
      </w:r>
      <w:r w:rsidRPr="00C73365">
        <w:rPr>
          <w:rFonts w:asciiTheme="minorHAnsi" w:hAnsiTheme="minorHAnsi" w:cstheme="minorHAnsi"/>
          <w:lang w:val="fr-FR"/>
        </w:rPr>
        <w:t>issue de l</w:t>
      </w:r>
      <w:r w:rsidR="004572A0" w:rsidRPr="00C73365">
        <w:rPr>
          <w:rFonts w:asciiTheme="minorHAnsi" w:hAnsiTheme="minorHAnsi" w:cstheme="minorHAnsi"/>
          <w:lang w:val="fr-FR"/>
        </w:rPr>
        <w:t>’</w:t>
      </w:r>
      <w:r w:rsidRPr="00C73365">
        <w:rPr>
          <w:rFonts w:asciiTheme="minorHAnsi" w:hAnsiTheme="minorHAnsi" w:cstheme="minorHAnsi"/>
          <w:lang w:val="fr-FR"/>
        </w:rPr>
        <w:t>étape d</w:t>
      </w:r>
      <w:r w:rsidR="004572A0" w:rsidRPr="00C73365">
        <w:rPr>
          <w:rFonts w:asciiTheme="minorHAnsi" w:hAnsiTheme="minorHAnsi" w:cstheme="minorHAnsi"/>
          <w:lang w:val="fr-FR"/>
        </w:rPr>
        <w:t>’</w:t>
      </w:r>
      <w:r w:rsidRPr="00C73365">
        <w:rPr>
          <w:rFonts w:asciiTheme="minorHAnsi" w:hAnsiTheme="minorHAnsi" w:cstheme="minorHAnsi"/>
          <w:lang w:val="fr-FR"/>
        </w:rPr>
        <w:t>autorisation réglementaire et une fois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autorisation de mise sur le marché délivrée, débute le processus de fixation du prix de vente des médicaments et de leur taux de remboursement. Les conditions de fixation du prix de vente de remboursement des médicaments échappent au contrôle des sociétés pharmaceutiques. Elles sont respectivement décidées par les commissions et organismes publics compétents ainsi que par les organismes sociaux ou les assurances privées. Dans le contexte actuel de maîtrise des dépenses de santé et de crise économique et financière, la pression sur les prix de vente et le niveau de remboursement s’intensifie du fait notamment des contrôles de prix imposés par de nombreux Etats et de la difficulté accrue à obtenir et maintenir pour les médicaments un taux de remboursement satisfaisant.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ce cadre, il pourrait être demandé à la Société et/ou ses partenaires de réaliser des études supplémentaires sur leurs produits. Ces études engendreraient alors des coûts supplémentaires pour la Société et/ou ses partenaires, des retards de commercialisation et auraient de ce fait un impact sur la situation financière de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possibilité pour la Société de recevoir des royalties de son ou ses partenaires industriels sur la vente de certains ses produits et la capacité de la Société à dégager des profits suffisants sur la commercialisation de ses traitements ou de ceux pour lesquels elle a conclu des contrats de distribution dépendra de ces conditions de remboursement. Si les délais de la procédure de négociation de prix entrainent un décalage significatif de mise sur le marché, si un produit de la Société n’obtient pas un niveau de remboursement approprié ou si le niveau de prix et le taux de remboursement accepté des traitements commercialisés par la Société se trouvent modifiés, sa rentabilité s’en trouverait diminuée.</w:t>
      </w:r>
    </w:p>
    <w:p w:rsidR="00F46C7B"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ne peut non plus garantir qu’elle réussira à maintenir dans le temps le niveau de prix de ses produits ou de ceux pour lesquels des licences lui ont été octroyées, ni le taux de remboursement accepté. Dans ces conditions, son chiffre d’affaires, sa rentabilité et ses perspectives pourraient s’en trouver significativement modifiés.</w:t>
      </w:r>
    </w:p>
    <w:p w:rsidR="00E92A57" w:rsidRPr="00C73365" w:rsidRDefault="00E92A57" w:rsidP="004572A0">
      <w:pPr>
        <w:pStyle w:val="BodyText"/>
        <w:rPr>
          <w:rFonts w:asciiTheme="minorHAnsi" w:hAnsiTheme="minorHAnsi" w:cstheme="minorHAnsi"/>
          <w:lang w:val="fr-FR"/>
        </w:rPr>
      </w:pP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Risques liés aux portefeuilles de brevets et licences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protection des brevets et autres droits de propriété intellectuelle de la Société est incertaine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projet économique de la Société dépend notamment de sa capacité et de celles de ses partenaires à obtenir, maintenir et assurer, contre les tiers, la protection de ses brevets, marques et demandes y afférents ainsi que ses autres droits de propriété intellectuelle ou assimilés (tels que notamment ses secrets commerciaux, secrets d’affaires et son savoir-faire) ou ceux qu’elle est autorisée à exploiter dans le cadre de ses activités. Il est également important, pour la réussite de son activité, que la Société soit en mesure de disposer d’une protection similaire pour l’ensemble de ses autres droits de propriété intellectuelle en Europe, aux Etats-Unis, en Asie et dans d’autres pays clés. La Société, qui y consacre d’importants efforts financiers et humains, entend poursuivre sa politique de protection par de nouveaux dépôts de brevets dès lors qu’elle le jugera opportun. À sa connaissance, sa technologie est à ce jour efficacement protégée par les brevets et les demandes de brevets qu’elle a déposés ou sur lesquels elle dispose d’une licence exclusive.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Cependant, la Société ou ses partenaires pourraient ne pas être en mesure de maintenir la protection de ses droits de propriété intellectuelle et, par là-même, la Société perdrait son avantage technologique et concurrentiel.</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premier lieu, les droits de propriété intellectuelle de la Société et de ses partenaires offrent une protection d’une durée qui peut varier d’un territoire à un autre (cette durée est par exemple, en matière de brevet, de 20 ans à compter de la date de dépôt des demandes de brevets en France et en Europe, étant précisé que cette durée peut être étendue jusqu’à cinq ans supplémentaires en cas de dépôt d’un certificat complémentaire de protection).</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deuxième lieu, la Société et/ou ses partenaires pourraient rencontrer des difficultés dans le cadre du dépôt et de l’examen de certaines de ses demandes de brevets, de marques ou d’autres droits de propriété intellectuelle actuellement en cours d’examen/d’enregistrement. En effet, au moment du dépôt d’une demande de brevet, d’autres brevets peuvent constituer une antériorité opposable mais ne pas être encore publiés. Malgré les recherches d’antériorités et la veille qu’elle effectue, la Société ne peut donc avoir la certitude d’être la première à avoir conçu une invention et à déposer une demande de brevet y afférent ; il convient notamment de rappeler que dans la plupart des pays, la publication des demandes de brevets a lieu 18 mois après le dépôt des demandes elles-mêmes et que les découvertes ne font parfois l’objet d’une publication ou d’une demande de brevet que des mois, voire souvent des années plus tard. De même, à l’occasion du dépôt de l’une de ses marques dans un pays où elle n’est pas couverte, la Société pourrait constater que la marque en question n’est pas disponible dans ce pays. Une nouvelle marque devrait alors être recherchée pour le pays donné ou un accord négocié avec le titulaire du signe antérieur. Il n’existe donc aucune certitude que les demandes actuelles et futures de brevets, marques et autres droits de propriété intellectuelle de la Société donneront lieu à des enregistrements.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troisième lieu, la seule délivrance d’un brevet, d’une marque ou d’autres droits de propriété intellectuelle n’en garantit pas la validité, ni l’opposabilité. En effet, les concurrents de la Société pourraient à tout moment contester la validité ou l’opposabilité des brevets, marques ou demandes y afférents de la Société ou de ses partenaires devant un tribunal ou dans le cadre d’autres procédures spécifiques, ce qui, selon l’issue desdites contestations, pourrait réduire leur portée, aboutir à leur invalidité ou permettre leur contournement par des concurrents. De plus, des évolutions, changements ou des divergences d’interprétation du cadre légal régissant la propriété intellectuelle en Europe, aux Etats-Unis ou dans d’autres pays pourraient permettre à des concurrents d’utiliser les inventions ou les droits de propriété intellectuelle de la Société ou de ses partenaires, de développer ou de commercialiser les produits de la Société ou ses technologies sans compensation financière. En outre, il existe encore certains pays qui ne protègent pas les droits de propriété intellectuelle de la même manière qu’en Europe ou aux Etats-Unis, et les procédures et règles efficaces nécessaires pour assurer la défense des droits de la Société peuvent ne pas exister dans ces pays. Il n’y a donc aucune certitude que les brevets, marques et autres droits de propriété intellectuelle de la Société, existants et futurs, ne seront pas contestés, invalidés ou contournés ou qu’ils procureront une protection efficace face à la concurrence et aux brevets de tiers couvrant des inventions similaires.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conséquence, les droits de la Société sur ses brevets propriétaires ou licenciés, ses marques, les demandes y afférents et autres droits de propriété intellectuelle pourraient ne pas conférer la protection attendue contre la concurrence. La Société ne peut donc garantir de manière certaine</w:t>
      </w:r>
      <w:r w:rsidR="004661C4" w:rsidRPr="00C73365">
        <w:rPr>
          <w:rFonts w:asciiTheme="minorHAnsi" w:hAnsiTheme="minorHAnsi" w:cstheme="minorHAnsi"/>
          <w:lang w:val="fr-FR"/>
        </w:rPr>
        <w:t xml:space="preserve"> </w:t>
      </w:r>
      <w:r w:rsidRPr="00C73365">
        <w:rPr>
          <w:rFonts w:asciiTheme="minorHAnsi" w:hAnsiTheme="minorHAnsi" w:cstheme="minorHAnsi"/>
          <w:lang w:val="fr-FR"/>
        </w:rPr>
        <w:t>:</w:t>
      </w:r>
    </w:p>
    <w:p w:rsidR="00F46C7B" w:rsidRPr="00E66FAB" w:rsidRDefault="00F46C7B" w:rsidP="00434C49">
      <w:pPr>
        <w:pStyle w:val="ListBullet2"/>
        <w:numPr>
          <w:ilvl w:val="0"/>
          <w:numId w:val="60"/>
        </w:numPr>
        <w:rPr>
          <w:rFonts w:asciiTheme="minorHAnsi" w:hAnsiTheme="minorHAnsi" w:cstheme="minorHAnsi"/>
          <w:lang w:val="fr-FR"/>
        </w:rPr>
      </w:pPr>
      <w:r w:rsidRPr="00E66FAB">
        <w:rPr>
          <w:rFonts w:asciiTheme="minorHAnsi" w:hAnsiTheme="minorHAnsi" w:cstheme="minorHAnsi"/>
          <w:lang w:val="fr-FR"/>
        </w:rPr>
        <w:t>qu’elle parviendra à développer de nouvelles inventions qui pourraient faire l’objet d’un dépôt ou d’une délivrance d’un brevet ;</w:t>
      </w:r>
    </w:p>
    <w:p w:rsidR="00F46C7B" w:rsidRPr="00E66FAB" w:rsidRDefault="002D312D" w:rsidP="00434C49">
      <w:pPr>
        <w:pStyle w:val="ListBullet2"/>
        <w:numPr>
          <w:ilvl w:val="0"/>
          <w:numId w:val="60"/>
        </w:numPr>
        <w:rPr>
          <w:rFonts w:asciiTheme="minorHAnsi" w:hAnsiTheme="minorHAnsi" w:cstheme="minorHAnsi"/>
          <w:lang w:val="fr-FR"/>
        </w:rPr>
      </w:pPr>
      <w:r w:rsidRPr="00E66FAB">
        <w:rPr>
          <w:rFonts w:asciiTheme="minorHAnsi" w:hAnsiTheme="minorHAnsi" w:cstheme="minorHAnsi"/>
          <w:lang w:val="fr-FR"/>
        </w:rPr>
        <w:lastRenderedPageBreak/>
        <w:t>que</w:t>
      </w:r>
      <w:r w:rsidR="00CE77A2" w:rsidRPr="00E66FAB">
        <w:rPr>
          <w:rFonts w:asciiTheme="minorHAnsi" w:hAnsiTheme="minorHAnsi" w:cstheme="minorHAnsi"/>
          <w:lang w:val="fr-FR"/>
        </w:rPr>
        <w:t xml:space="preserve"> </w:t>
      </w:r>
      <w:r w:rsidR="00F46C7B" w:rsidRPr="00E66FAB">
        <w:rPr>
          <w:rFonts w:asciiTheme="minorHAnsi" w:hAnsiTheme="minorHAnsi" w:cstheme="minorHAnsi"/>
          <w:lang w:val="fr-FR"/>
        </w:rPr>
        <w:t>les demandes de brevets et autres droits en cours d’examen donneront effectivement lieu à la délivrance de brevets, marques ou autres droits de propriété intellectuelle enregistrés ;</w:t>
      </w:r>
    </w:p>
    <w:p w:rsidR="00F46C7B" w:rsidRPr="00E66FAB" w:rsidRDefault="00F46C7B" w:rsidP="00434C49">
      <w:pPr>
        <w:pStyle w:val="ListBullet2"/>
        <w:numPr>
          <w:ilvl w:val="0"/>
          <w:numId w:val="60"/>
        </w:numPr>
        <w:rPr>
          <w:rFonts w:asciiTheme="minorHAnsi" w:hAnsiTheme="minorHAnsi" w:cstheme="minorHAnsi"/>
          <w:lang w:val="fr-FR"/>
        </w:rPr>
      </w:pPr>
      <w:r w:rsidRPr="00E66FAB">
        <w:rPr>
          <w:rFonts w:asciiTheme="minorHAnsi" w:hAnsiTheme="minorHAnsi" w:cstheme="minorHAnsi"/>
          <w:lang w:val="fr-FR"/>
        </w:rPr>
        <w:t>que les brevets ou autres droits de propriété intellectuelle délivrés à la Société ou ses partenaires ne seront pas contestés, invalidés ou contournés ;</w:t>
      </w:r>
    </w:p>
    <w:p w:rsidR="00F46C7B" w:rsidRPr="00E66FAB" w:rsidRDefault="00F46C7B" w:rsidP="00434C49">
      <w:pPr>
        <w:pStyle w:val="ListBullet2"/>
        <w:numPr>
          <w:ilvl w:val="0"/>
          <w:numId w:val="60"/>
        </w:numPr>
        <w:rPr>
          <w:rFonts w:asciiTheme="minorHAnsi" w:hAnsiTheme="minorHAnsi" w:cstheme="minorHAnsi"/>
          <w:lang w:val="fr-FR"/>
        </w:rPr>
      </w:pPr>
      <w:r w:rsidRPr="00E66FAB">
        <w:rPr>
          <w:rFonts w:asciiTheme="minorHAnsi" w:hAnsiTheme="minorHAnsi" w:cstheme="minorHAnsi"/>
          <w:lang w:val="fr-FR"/>
        </w:rPr>
        <w:t>que le champ de protection conféré par les brevets, les marques et les titres de propriété intellectuelle de la Société ou de ses partenaires est et restera suffisant pour la protéger face à la concurrence et aux brevets, marques et titres de propriété intellectuelle des tiers couvrant des dispositifs, produits, technologies ou développements similaires.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De telles éventualités, si elles devaient intervenir, pourraient avoir des effets négatifs sur la Société et son développement.</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faculté de la Société à poursuivre le développement de certains de ses candidats médicaments basés dépend du maintien en vigueur des licences conclues avec Scripps Research Institute, l’Université de Chicago, Brigham Young University, le CNRS, l’Institut Curie, l’Université de Montpellier 2</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bénéficie de licences consenties par :</w:t>
      </w:r>
    </w:p>
    <w:p w:rsidR="00F46C7B" w:rsidRPr="00E66FAB" w:rsidRDefault="00F46C7B" w:rsidP="00434C49">
      <w:pPr>
        <w:pStyle w:val="ListBullet2"/>
        <w:numPr>
          <w:ilvl w:val="0"/>
          <w:numId w:val="61"/>
        </w:numPr>
        <w:rPr>
          <w:rFonts w:asciiTheme="minorHAnsi" w:hAnsiTheme="minorHAnsi" w:cstheme="minorHAnsi"/>
          <w:lang w:val="fr-FR"/>
        </w:rPr>
      </w:pPr>
      <w:r w:rsidRPr="00E66FAB">
        <w:rPr>
          <w:rFonts w:asciiTheme="minorHAnsi" w:hAnsiTheme="minorHAnsi" w:cstheme="minorHAnsi"/>
          <w:lang w:val="fr-FR"/>
        </w:rPr>
        <w:t xml:space="preserve">Scripps Research Institute, l’Université de Chicago et la Brigham Young University sur certains brevets pour le développement de la plateforme « Stimulation Immunitaire » ayant permis de développer </w:t>
      </w:r>
      <w:r w:rsidR="00E32CFE" w:rsidRPr="00E66FAB">
        <w:rPr>
          <w:rFonts w:asciiTheme="minorHAnsi" w:hAnsiTheme="minorHAnsi" w:cstheme="minorHAnsi"/>
          <w:lang w:val="fr-FR"/>
        </w:rPr>
        <w:t>ABX196</w:t>
      </w:r>
      <w:r w:rsidRPr="00E66FAB">
        <w:rPr>
          <w:rFonts w:asciiTheme="minorHAnsi" w:hAnsiTheme="minorHAnsi" w:cstheme="minorHAnsi"/>
          <w:lang w:val="fr-FR"/>
        </w:rPr>
        <w:t> ;</w:t>
      </w:r>
    </w:p>
    <w:p w:rsidR="00F46C7B" w:rsidRPr="00E66FAB" w:rsidRDefault="00F46C7B" w:rsidP="00434C49">
      <w:pPr>
        <w:pStyle w:val="ListBullet2"/>
        <w:numPr>
          <w:ilvl w:val="0"/>
          <w:numId w:val="61"/>
        </w:numPr>
        <w:rPr>
          <w:rFonts w:asciiTheme="minorHAnsi" w:hAnsiTheme="minorHAnsi" w:cstheme="minorHAnsi"/>
          <w:lang w:val="fr-FR"/>
        </w:rPr>
      </w:pPr>
      <w:r w:rsidRPr="00E66FAB">
        <w:rPr>
          <w:rFonts w:asciiTheme="minorHAnsi" w:hAnsiTheme="minorHAnsi" w:cstheme="minorHAnsi"/>
          <w:lang w:val="fr-FR"/>
        </w:rPr>
        <w:t xml:space="preserve">le CNRS, l’Université de Montpellier 2 et/ou l’Institut Curie sur certains brevets, ou droits de co-propriété sur des brevets issus des coopérations avec le CNRS, l’Université de Montpellier 2 et l’Institut Curie ayant permis de développer l’antiviral ABX464  et de générer une chimiothèque de plus de mille </w:t>
      </w:r>
      <w:r w:rsidR="00370D90" w:rsidRPr="00E66FAB">
        <w:rPr>
          <w:rFonts w:asciiTheme="minorHAnsi" w:hAnsiTheme="minorHAnsi" w:cstheme="minorHAnsi"/>
          <w:lang w:val="fr-FR"/>
        </w:rPr>
        <w:t xml:space="preserve">deux cent </w:t>
      </w:r>
      <w:r w:rsidRPr="00E66FAB">
        <w:rPr>
          <w:rFonts w:asciiTheme="minorHAnsi" w:hAnsiTheme="minorHAnsi" w:cstheme="minorHAnsi"/>
          <w:lang w:val="fr-FR"/>
        </w:rPr>
        <w:t>petites molécules;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Ces contrats de licences prévoient notamment la possibilité pour le donneur de licence de mettre un terme à l’exclusivité consentie ou de résilier les contrats en cas notamment de non-paiement des redevances, de contestation de la validité des brevets donnés en licence, ou de violation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 ses obligations. </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Société ne peut garantir l’absence de violation de droits de propriété intellectuelle tant par elle que contre elle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succès commercial de la Société dépendra également de sa capacité à développer des produits et technologies qui ne contrefont pas de brevets ou autres droits de tiers. Il est en effet important, pour la réussite de son activité, que la Société soit en mesure d’exploiter librement ses produits sans que ceux-ci ne portent atteinte à des brevets ou autres droits notamment les efforts de recherche et de développement dans ce domaine et de propriété intellectuelle de tiers, et sans que des tiers ne portent atteinte aux droits notamment de propriété intellectuelle de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continue de diligenter, comme elle l’a fait jusqu’à ce jour, les études préalables qui lui semblent nécessaires au regard des risques précités avant d’engager des investissements en vue de développer ses différents produits/technologies. Avec l’aide de ses cabinets conseils en propriété industrielle, elle maintient notamment une veille sur l’activité (notamment en termes de dépôts de brevets) de ses concurrents.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revanche, surveiller l’utilisation non autorisée des produits et de la technologie de la Société et donc l’atteinte à ses propres droits notamment de propriété intellectuelle, est délicat. La Société ne peut donc garantir de manière certaine:</w:t>
      </w:r>
    </w:p>
    <w:p w:rsidR="00F46C7B" w:rsidRPr="00E66FAB" w:rsidRDefault="00F46C7B" w:rsidP="00434C49">
      <w:pPr>
        <w:pStyle w:val="ListBullet2"/>
        <w:numPr>
          <w:ilvl w:val="0"/>
          <w:numId w:val="62"/>
        </w:numPr>
        <w:rPr>
          <w:rFonts w:asciiTheme="minorHAnsi" w:hAnsiTheme="minorHAnsi" w:cstheme="minorHAnsi"/>
          <w:lang w:val="fr-FR"/>
        </w:rPr>
      </w:pPr>
      <w:r w:rsidRPr="00E66FAB">
        <w:rPr>
          <w:rFonts w:asciiTheme="minorHAnsi" w:hAnsiTheme="minorHAnsi" w:cstheme="minorHAnsi"/>
          <w:lang w:val="fr-FR"/>
        </w:rPr>
        <w:t>qu’elle pourra éviter, sanctionner et obtenir réparation des détournements ou utilisations non autorisées de ses produits et de ses technologies, notamment dans des pays étrangers où ses droits seraient moins bien protégés en raison de la portée territoriale des droits de propriété industrielle ;</w:t>
      </w:r>
    </w:p>
    <w:p w:rsidR="00F46C7B" w:rsidRPr="00E66FAB" w:rsidRDefault="00F46C7B" w:rsidP="00434C49">
      <w:pPr>
        <w:pStyle w:val="ListBullet2"/>
        <w:numPr>
          <w:ilvl w:val="0"/>
          <w:numId w:val="62"/>
        </w:numPr>
        <w:rPr>
          <w:rFonts w:asciiTheme="minorHAnsi" w:hAnsiTheme="minorHAnsi" w:cstheme="minorHAnsi"/>
          <w:lang w:val="fr-FR"/>
        </w:rPr>
      </w:pPr>
      <w:r w:rsidRPr="00E66FAB">
        <w:rPr>
          <w:rFonts w:asciiTheme="minorHAnsi" w:hAnsiTheme="minorHAnsi" w:cstheme="minorHAnsi"/>
          <w:lang w:val="fr-FR"/>
        </w:rPr>
        <w:t>qu’il n’existe pas des brevets ou autres droits antérieurs notamment de propriété intellectuelle de tiers susceptibles de couvrir certains produits, procédés, technologies, résultats ou activités de la Société et qu’en conséquence des tiers agissent en contrefaçon ou en violation de leurs droits à l’encontre de la Société en vue d’obtenir notamment des dommages-intérêts et/ou la cessation de ses activités de fabrication et/ou de commercialisation de produits, procédés et autres ainsi incriminés ;</w:t>
      </w:r>
    </w:p>
    <w:p w:rsidR="00F46C7B" w:rsidRPr="00E66FAB" w:rsidRDefault="00F46C7B" w:rsidP="00434C49">
      <w:pPr>
        <w:pStyle w:val="ListBullet2"/>
        <w:numPr>
          <w:ilvl w:val="0"/>
          <w:numId w:val="62"/>
        </w:numPr>
        <w:rPr>
          <w:rFonts w:asciiTheme="minorHAnsi" w:hAnsiTheme="minorHAnsi" w:cstheme="minorHAnsi"/>
          <w:lang w:val="fr-FR"/>
        </w:rPr>
      </w:pPr>
      <w:r w:rsidRPr="00E66FAB">
        <w:rPr>
          <w:rFonts w:asciiTheme="minorHAnsi" w:hAnsiTheme="minorHAnsi" w:cstheme="minorHAnsi"/>
          <w:lang w:val="fr-FR"/>
        </w:rPr>
        <w:lastRenderedPageBreak/>
        <w:t>qu’il n’existe pas de droits de marques ou d’autres droits antérieurs de tiers susceptibles de fonder une action en contrefaçon ou en responsabilité à l’encontre de la Société ; et/ou</w:t>
      </w:r>
    </w:p>
    <w:p w:rsidR="00F46C7B" w:rsidRPr="00E66FAB" w:rsidRDefault="00F46C7B" w:rsidP="00434C49">
      <w:pPr>
        <w:pStyle w:val="ListBullet2"/>
        <w:numPr>
          <w:ilvl w:val="0"/>
          <w:numId w:val="62"/>
        </w:numPr>
        <w:rPr>
          <w:rFonts w:asciiTheme="minorHAnsi" w:hAnsiTheme="minorHAnsi" w:cstheme="minorHAnsi"/>
          <w:lang w:val="fr-FR"/>
        </w:rPr>
      </w:pPr>
      <w:r w:rsidRPr="00E66FAB">
        <w:rPr>
          <w:rFonts w:asciiTheme="minorHAnsi" w:hAnsiTheme="minorHAnsi" w:cstheme="minorHAnsi"/>
          <w:lang w:val="fr-FR"/>
        </w:rPr>
        <w:t>que les noms de domaine de la Société ne feront pas l’objet, de la part d’un tiers qui disposerait de droits antérieurs (par exemple des droits de marques), d’une procédure UDRP (</w:t>
      </w:r>
      <w:r w:rsidRPr="00E66FAB">
        <w:rPr>
          <w:rFonts w:asciiTheme="minorHAnsi" w:hAnsiTheme="minorHAnsi" w:cstheme="minorHAnsi"/>
          <w:i/>
          <w:lang w:val="fr-FR"/>
        </w:rPr>
        <w:t>Uniform Dispute Resolution Policy</w:t>
      </w:r>
      <w:r w:rsidRPr="00E66FAB">
        <w:rPr>
          <w:rFonts w:asciiTheme="minorHAnsi" w:hAnsiTheme="minorHAnsi" w:cstheme="minorHAnsi"/>
          <w:lang w:val="fr-FR"/>
        </w:rPr>
        <w:t>) ou assimilée ou d’une action en contrefaçon.</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cas de survenance de litiges sur la propriété intellectuelle, la Société pourrait être amenée à devoir :</w:t>
      </w:r>
    </w:p>
    <w:p w:rsidR="00F46C7B" w:rsidRPr="00E66FAB" w:rsidRDefault="00F46C7B" w:rsidP="00434C49">
      <w:pPr>
        <w:pStyle w:val="ListBullet2"/>
        <w:numPr>
          <w:ilvl w:val="0"/>
          <w:numId w:val="63"/>
        </w:numPr>
        <w:rPr>
          <w:rFonts w:asciiTheme="minorHAnsi" w:hAnsiTheme="minorHAnsi" w:cstheme="minorHAnsi"/>
          <w:lang w:val="fr-FR"/>
        </w:rPr>
      </w:pPr>
      <w:r w:rsidRPr="00E66FAB">
        <w:rPr>
          <w:rFonts w:asciiTheme="minorHAnsi" w:hAnsiTheme="minorHAnsi" w:cstheme="minorHAnsi"/>
          <w:lang w:val="fr-FR"/>
        </w:rPr>
        <w:t>cesser de développer, vendre ou utiliser le ou les produits qui dépendraient de la propriété intellectuelle contestée ;</w:t>
      </w:r>
    </w:p>
    <w:p w:rsidR="00F46C7B" w:rsidRPr="00E66FAB" w:rsidRDefault="00F46C7B" w:rsidP="00434C49">
      <w:pPr>
        <w:pStyle w:val="ListBullet2"/>
        <w:numPr>
          <w:ilvl w:val="0"/>
          <w:numId w:val="63"/>
        </w:numPr>
        <w:rPr>
          <w:rFonts w:asciiTheme="minorHAnsi" w:hAnsiTheme="minorHAnsi" w:cstheme="minorHAnsi"/>
          <w:lang w:val="fr-FR"/>
        </w:rPr>
      </w:pPr>
      <w:r w:rsidRPr="00E66FAB">
        <w:rPr>
          <w:rFonts w:asciiTheme="minorHAnsi" w:hAnsiTheme="minorHAnsi" w:cstheme="minorHAnsi"/>
          <w:lang w:val="fr-FR"/>
        </w:rPr>
        <w:t>obtenir une licence de la part du détenteur des droits de propriété intellectuelle, licence qui pourrait ne pas être obtenue ou seulement à des conditions économiquement défavorables pour la Société ;</w:t>
      </w:r>
    </w:p>
    <w:p w:rsidR="00F46C7B" w:rsidRPr="00E66FAB" w:rsidRDefault="00F46C7B" w:rsidP="00434C49">
      <w:pPr>
        <w:pStyle w:val="ListBullet2"/>
        <w:numPr>
          <w:ilvl w:val="0"/>
          <w:numId w:val="63"/>
        </w:numPr>
        <w:rPr>
          <w:rFonts w:asciiTheme="minorHAnsi" w:hAnsiTheme="minorHAnsi" w:cstheme="minorHAnsi"/>
          <w:lang w:val="fr-FR"/>
        </w:rPr>
      </w:pPr>
      <w:r w:rsidRPr="00E66FAB">
        <w:rPr>
          <w:rFonts w:asciiTheme="minorHAnsi" w:hAnsiTheme="minorHAnsi" w:cstheme="minorHAnsi"/>
          <w:lang w:val="fr-FR"/>
        </w:rPr>
        <w:t>revoir la conception de certains de ses produits/technologies ou, dans le cas de demandes concernant des marques, renommer ses produits, afin d’éviter de porter atteinte aux droits de propriété intellectuelle de tiers, ce qui pourrait s’avérer impossible ou être long et coûteux, et pourrait, de fait, impacter ses efforts de commercialisation.</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D’autre part, des tiers (voire des employés de la Société) pourraient utiliser ou tenter d’utiliser les éléments des technologies de la Société protégés par un droit de propriété intellectuelle, ce qui créerait une situation dommageable pour la Société. La Société pourrait donc être contrainte d’intenter à l’encontre de ces tiers des contentieux judiciaire ou administratif afin de faire valoir ses droits notamment de propriété intellectuelle (ses brevets, marques, dessins et modèles ou noms de domaine) en justice.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Tout litige ou contentieux, quelle qu’en soit l’issue, pourrait entraîner des coûts substantiels, affecter la réputation de la Société, influer négativement sur le résultat et la situation financière de la Société et éventuellement ne pas apporter la protection ou la sanction recherchée. Certains des concurrents disposant de ressources plus importantes que celles de la Société pourraient être capables de mieux supporter les coûts d’une procédure contentieuse.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Cependant, à ce jour, la Société n’a été confrontée à aucune de ces situations ni n’a été impliquée dans un quelconque litige, en demande ou en défense, relatif à ses droits notamment de propriété intellectuelle ou ceux d’un tiers.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Société pourrait ne pas être en mesure de prévenir une divulgation d’informations à des tiers susceptibles d’avoir un impact sur ses futurs droits de propriété intellectuelle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Il est également important pour la Société de se prémunir contre l’utilisation et la divulgation non autorisées de ses informations confidentielles, de son savoir-faire et de ses secrets commerciaux. En effet, les technologies, procédés, méthodes, savoir-faire et données propres non brevetés et/ou non brevetables sont considérés comme des secrets commerciaux que la Société tente en partie de protéger par des accords de confidentialité.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le cadre de contrats de collaboration, de partenariat, de recherche ou autre type de coopération conclus entre la Société avec des chercheurs d’institutions universitaires ainsi qu’avec d’autres entités publiques ou privées, des sous-traitants, ou tout tiers cocontractant, diverses informations et/ou des produits peuvent leur être confiés notamment afin de conduire certains tests et essais cliniques. Dans ces cas, la Société exige en principe la signature d’accords de confidentialité. Par ailleurs, en règle générale, la Société veille à ce que les contrats de collaboration ou de recherche qu’elle signe lui donnent accès à la pleine propriété, à la copropriété des résultats et/ou des inventions résultant de cette collaboration ou à une licence exclusive sur ces résultats et/ ou inventions résultant de cette collaboration.</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Il ne peut être exclu que les accords mis en place pour protéger la technologie et les secrets commerciaux de la Société et/ou les savoir-faire mis en place n’assurent pas la protection recherchée ou soient violés, que la Société n’ait pas de solutions appropriées contre de telles violations, que ses secrets commerciaux soient divulgués à ses concurrents ou développés indépendamment par eux. Dans le cadre des contrats qu’elle conclut avec des tiers, la Société prend parfois la précaution de prévoir que ces derniers ne sont pas autorisés à recourir aux services de tiers ou qu’ils ne peuvent le faire qu’avec l’accord préalable de la Société. Toutefois, il ne peut être exclu que certains de ses cocontractants aient néanmoins recours à des tiers. Dans cette hypothèse, la Société n’a aucun contrôle sur les conditions dans lesquelles </w:t>
      </w:r>
      <w:r w:rsidRPr="00C73365">
        <w:rPr>
          <w:rFonts w:asciiTheme="minorHAnsi" w:hAnsiTheme="minorHAnsi" w:cstheme="minorHAnsi"/>
          <w:lang w:val="fr-FR"/>
        </w:rPr>
        <w:lastRenderedPageBreak/>
        <w:t>les tiers avec lesquels elle contracte protègent ses informations confidentielles et ce indépendamment du fait que la Société prévoie dans ses accords avec ses cocontractants qu’ils s’engagent à répercuter sur leurs propres cocontractants ces obligations de confidentialité.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De tels contrats exposent donc la Société au risque de voir les tiers concernés (i) revendiquer le bénéfice de droits de propriété intellectuelle sur les inventions ou autres droits de propriété intellectuelle de la Société, (ii) ne pas assurer la confidentialité des innovations ou perfectionnements non brevetés des informations confidentielles et du savoir-faire de la Société, (iii) divulguer les secrets commerciaux de la Société à ses concurrents ou développer indépendamment ces secrets commerciaux et/ou (iv) violer de tels accords, sans que la Société n’ait de solution appropriée contre de telles violations.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conséquence, les droits de la Société sur ses informations confidentielles, ses secrets commerciaux et son savoir-faire pourraient ne pas conférer la protection attendue contre la concurrence et la Société ne peut pas garantir de manière certaine :</w:t>
      </w:r>
    </w:p>
    <w:p w:rsidR="00F46C7B" w:rsidRPr="00E66FAB" w:rsidRDefault="00F46C7B" w:rsidP="00434C49">
      <w:pPr>
        <w:pStyle w:val="ListBullet2"/>
        <w:numPr>
          <w:ilvl w:val="0"/>
          <w:numId w:val="64"/>
        </w:numPr>
        <w:rPr>
          <w:rFonts w:asciiTheme="minorHAnsi" w:hAnsiTheme="minorHAnsi" w:cstheme="minorHAnsi"/>
          <w:lang w:val="fr-FR"/>
        </w:rPr>
      </w:pPr>
      <w:r w:rsidRPr="00E66FAB">
        <w:rPr>
          <w:rFonts w:asciiTheme="minorHAnsi" w:hAnsiTheme="minorHAnsi" w:cstheme="minorHAnsi"/>
          <w:lang w:val="fr-FR"/>
        </w:rPr>
        <w:t>que son savoir-faire et ses secrets commerciaux ne pourront être obtenus, usurpés, contournés, transmis sans son autorisation ou utilisés ;</w:t>
      </w:r>
    </w:p>
    <w:p w:rsidR="00F46C7B" w:rsidRPr="00E66FAB" w:rsidRDefault="00F46C7B" w:rsidP="00434C49">
      <w:pPr>
        <w:pStyle w:val="ListBullet2"/>
        <w:numPr>
          <w:ilvl w:val="0"/>
          <w:numId w:val="64"/>
        </w:numPr>
        <w:rPr>
          <w:rFonts w:asciiTheme="minorHAnsi" w:hAnsiTheme="minorHAnsi" w:cstheme="minorHAnsi"/>
          <w:lang w:val="fr-FR"/>
        </w:rPr>
      </w:pPr>
      <w:r w:rsidRPr="00E66FAB">
        <w:rPr>
          <w:rFonts w:asciiTheme="minorHAnsi" w:hAnsiTheme="minorHAnsi" w:cstheme="minorHAnsi"/>
          <w:lang w:val="fr-FR"/>
        </w:rPr>
        <w:t>que les concurrents de la Société n’ont pas déjà développé des technologies ou des produits semblables ou similaires dans leur nature ou leur destination à ceux de la Société ; ou</w:t>
      </w:r>
    </w:p>
    <w:p w:rsidR="00F46C7B" w:rsidRPr="00E66FAB" w:rsidRDefault="00F46C7B" w:rsidP="00434C49">
      <w:pPr>
        <w:pStyle w:val="ListBullet2"/>
        <w:numPr>
          <w:ilvl w:val="0"/>
          <w:numId w:val="64"/>
        </w:numPr>
        <w:rPr>
          <w:rFonts w:asciiTheme="minorHAnsi" w:hAnsiTheme="minorHAnsi" w:cstheme="minorHAnsi"/>
          <w:lang w:val="fr-FR"/>
        </w:rPr>
      </w:pPr>
      <w:r w:rsidRPr="00E66FAB">
        <w:rPr>
          <w:rFonts w:asciiTheme="minorHAnsi" w:hAnsiTheme="minorHAnsi" w:cstheme="minorHAnsi"/>
          <w:lang w:val="fr-FR"/>
        </w:rPr>
        <w:t>qu’aucun cocontractant ne revendiquera le bénéfice de tout ou partie de droits de propriété intellectuelle sur des inventions, connaissances ou résultats que la Société détient en propre ou en copropriété, ou sur lesquels elle serait amenée à bénéficier d’une licence ; ou</w:t>
      </w:r>
    </w:p>
    <w:p w:rsidR="00F46C7B" w:rsidRPr="00E66FAB" w:rsidRDefault="00F46C7B" w:rsidP="00434C49">
      <w:pPr>
        <w:pStyle w:val="ListBullet2"/>
        <w:numPr>
          <w:ilvl w:val="0"/>
          <w:numId w:val="64"/>
        </w:numPr>
        <w:rPr>
          <w:rFonts w:asciiTheme="minorHAnsi" w:hAnsiTheme="minorHAnsi" w:cstheme="minorHAnsi"/>
          <w:lang w:val="fr-FR"/>
        </w:rPr>
      </w:pPr>
      <w:r w:rsidRPr="00E66FAB">
        <w:rPr>
          <w:rFonts w:asciiTheme="minorHAnsi" w:hAnsiTheme="minorHAnsi" w:cstheme="minorHAnsi"/>
          <w:lang w:val="fr-FR"/>
        </w:rPr>
        <w:t>que des salariés de la Société ne revendiqueront pas des droits ou le paiement d’un complément de rémunération ou d’un juste prix en contrepartie des inventions à la création desquelles ils ont participés.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réalisation de l’un ou de plusieurs de ces risques pourrait avoir un effet défavorable significatif sur l’activité, les perspectives, la situation financière, les résultats et le développement de la Société.</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à la mise en jeu de la responsabilité du fait des produits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pourrait être exposée à des risques de mise en jeu de sa responsabilité lors du développement clinique de ses produits, en particulier la responsabilité du fait des produits, liée aux essais et à la fabrication de produits thérapeutiques chez l’homme et chez l’animal. Sa responsabilité pourrait ainsi être engagée par des patients participant aux essais cliniques dans le cadre du développement des produits thérapeutiques testés et des effets secondaires inattendus résultant de l’administration de ces produits.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responsabilité de la Société pourrait également être engagée dans la phase de commercialisation de ses produits. Des plaintes pénales ou des poursuites judiciaires pourraient être déposées ou engagées contre la Société par des patients, les agences réglementaires, des sociétés pharmaceutiques et tout autre tiers utilisant ou commercialisant ses produits. Ces actions peuvent inclure des réclamations résultant d’actes de ses partenaires, licenciés et sous-traitants, sur lesquels la Société n’exerce pas ou peu de contrôle.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ne peut garantir que les assurances souscrites (se référer au paragraphe ci-dessous « Assurances et couvertures des risques ») ou que les engagements d’indemnisation, le cas échéant contractuellement plafonnés, consentis par ses sous-traitants seront suffisants pour répondre aux actions en responsabilité qui pourraient être engagées contre elle.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Si sa responsabilité ou celle de ses partenaires, licenciés et sous-traitants était ainsi mise en cause, si elle-même ou si ses partenaires, licenciés et sous-traitants n’étaient pas en mesure d’obtenir et de maintenir une couverture d’assurance appropriée à un coût acceptable, ou de se prémunir d’une manière quelconque contre des actions en responsabilité, ceci aurait pour conséquence d’affecter gravement la commercialisation des produits de la Société et plus généralement de nuire à ses activités, ses résultats, sa situation financière et ses perspectives de développement.</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Risques liés à des conflits potentiels pouvant affecter les relations de la Société avec ses licenciés potentiels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stratégie de la Société pour certains de ses produits en développement, notamment ABX196 et ABX464 est de licencier ces derniers à des laboratoires pharmaceutiques. La conclusion de contrats de licence et leur devenir sont donc importants pour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Or, des conflits peuvent apparaître avec les licenciés durant l</w:t>
      </w:r>
      <w:r w:rsidR="004572A0" w:rsidRPr="00C73365">
        <w:rPr>
          <w:rFonts w:asciiTheme="minorHAnsi" w:hAnsiTheme="minorHAnsi" w:cstheme="minorHAnsi"/>
          <w:lang w:val="fr-FR"/>
        </w:rPr>
        <w:t>’</w:t>
      </w:r>
      <w:r w:rsidRPr="00C73365">
        <w:rPr>
          <w:rFonts w:asciiTheme="minorHAnsi" w:hAnsiTheme="minorHAnsi" w:cstheme="minorHAnsi"/>
          <w:lang w:val="fr-FR"/>
        </w:rPr>
        <w:t>exécution des contrats les liant à la Société, qui sont susceptibles d</w:t>
      </w:r>
      <w:r w:rsidR="004572A0" w:rsidRPr="00C73365">
        <w:rPr>
          <w:rFonts w:asciiTheme="minorHAnsi" w:hAnsiTheme="minorHAnsi" w:cstheme="minorHAnsi"/>
          <w:lang w:val="fr-FR"/>
        </w:rPr>
        <w:t>’</w:t>
      </w:r>
      <w:r w:rsidRPr="00C73365">
        <w:rPr>
          <w:rFonts w:asciiTheme="minorHAnsi" w:hAnsiTheme="minorHAnsi" w:cstheme="minorHAnsi"/>
          <w:lang w:val="fr-FR"/>
        </w:rPr>
        <w:t>affecter leur poursuite et par conséquent la fabrication et la commercialisation des produits développés par la Société. Il pourrait s</w:t>
      </w:r>
      <w:r w:rsidR="004572A0" w:rsidRPr="00C73365">
        <w:rPr>
          <w:rFonts w:asciiTheme="minorHAnsi" w:hAnsiTheme="minorHAnsi" w:cstheme="minorHAnsi"/>
          <w:lang w:val="fr-FR"/>
        </w:rPr>
        <w:t>’</w:t>
      </w:r>
      <w:r w:rsidRPr="00C73365">
        <w:rPr>
          <w:rFonts w:asciiTheme="minorHAnsi" w:hAnsiTheme="minorHAnsi" w:cstheme="minorHAnsi"/>
          <w:lang w:val="fr-FR"/>
        </w:rPr>
        <w:t>agir de conflits concernant les conditions de conclusion des contrats ou la bonne exécution, par l</w:t>
      </w:r>
      <w:r w:rsidR="004572A0" w:rsidRPr="00C73365">
        <w:rPr>
          <w:rFonts w:asciiTheme="minorHAnsi" w:hAnsiTheme="minorHAnsi" w:cstheme="minorHAnsi"/>
          <w:lang w:val="fr-FR"/>
        </w:rPr>
        <w:t>’</w:t>
      </w:r>
      <w:r w:rsidRPr="00C73365">
        <w:rPr>
          <w:rFonts w:asciiTheme="minorHAnsi" w:hAnsiTheme="minorHAnsi" w:cstheme="minorHAnsi"/>
          <w:lang w:val="fr-FR"/>
        </w:rPr>
        <w:t>une ou l</w:t>
      </w:r>
      <w:r w:rsidR="004572A0" w:rsidRPr="00C73365">
        <w:rPr>
          <w:rFonts w:asciiTheme="minorHAnsi" w:hAnsiTheme="minorHAnsi" w:cstheme="minorHAnsi"/>
          <w:lang w:val="fr-FR"/>
        </w:rPr>
        <w:t>’</w:t>
      </w:r>
      <w:r w:rsidRPr="00C73365">
        <w:rPr>
          <w:rFonts w:asciiTheme="minorHAnsi" w:hAnsiTheme="minorHAnsi" w:cstheme="minorHAnsi"/>
          <w:lang w:val="fr-FR"/>
        </w:rPr>
        <w:t>autre des parties, de ses obligations au titre de ces contrats. De tels conflits d’intérêt pourraient affecter significativement l’activité, la situation financière, les résultats, le développement et les perspectives de la Société.</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au statut d’établissement pharmaceutique de la Société ou de ses fabricants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ne dispose pas à ce jour du statut d’établissement pharmaceutique et ne peut donc ni fabriquer les médicaments qu’elle développe ni envisager directement leur exploitation commerciale. L’obtention du statut d’établissement pharmaceutique nécessite la soumission d’un dossier de demande auprès de l’ANSM qui ne l’accorde qu’après examen de ce dossier et évaluation, généralement après vérification, que la Société dispose des locaux adéquats, du personnel nécessaire et d’une organisation adaptée avec des procédures satisfaisantes pour réaliser les activités pharmaceutiques envisagées.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Il est à noter qu’il existe plusieurs types de statut d</w:t>
      </w:r>
      <w:r w:rsidR="004572A0" w:rsidRPr="00C73365">
        <w:rPr>
          <w:rFonts w:asciiTheme="minorHAnsi" w:hAnsiTheme="minorHAnsi" w:cstheme="minorHAnsi"/>
          <w:lang w:val="fr-FR"/>
        </w:rPr>
        <w:t>’</w:t>
      </w:r>
      <w:r w:rsidRPr="00C73365">
        <w:rPr>
          <w:rFonts w:asciiTheme="minorHAnsi" w:hAnsiTheme="minorHAnsi" w:cstheme="minorHAnsi"/>
          <w:lang w:val="fr-FR"/>
        </w:rPr>
        <w:t>établissement pharmaceutique :</w:t>
      </w:r>
    </w:p>
    <w:p w:rsidR="00F46C7B" w:rsidRPr="00E66FAB" w:rsidRDefault="00F46C7B" w:rsidP="00434C49">
      <w:pPr>
        <w:pStyle w:val="ListBullet2"/>
        <w:numPr>
          <w:ilvl w:val="0"/>
          <w:numId w:val="65"/>
        </w:numPr>
        <w:rPr>
          <w:rFonts w:asciiTheme="minorHAnsi" w:hAnsiTheme="minorHAnsi" w:cstheme="minorHAnsi"/>
          <w:lang w:val="fr-FR"/>
        </w:rPr>
      </w:pPr>
      <w:r w:rsidRPr="00E66FAB">
        <w:rPr>
          <w:rFonts w:asciiTheme="minorHAnsi" w:hAnsiTheme="minorHAnsi" w:cstheme="minorHAnsi"/>
          <w:lang w:val="fr-FR"/>
        </w:rPr>
        <w:t>le statut d</w:t>
      </w:r>
      <w:r w:rsidR="004572A0" w:rsidRPr="00E66FAB">
        <w:rPr>
          <w:rFonts w:asciiTheme="minorHAnsi" w:hAnsiTheme="minorHAnsi" w:cstheme="minorHAnsi"/>
          <w:lang w:val="fr-FR"/>
        </w:rPr>
        <w:t>’</w:t>
      </w:r>
      <w:r w:rsidRPr="00E66FAB">
        <w:rPr>
          <w:rFonts w:asciiTheme="minorHAnsi" w:hAnsiTheme="minorHAnsi" w:cstheme="minorHAnsi"/>
          <w:lang w:val="fr-FR"/>
        </w:rPr>
        <w:t>exploitant pouvant être obtenu dans un délai assez court - quelques mois - à partir du moment où la demande est déposée : ce statut d</w:t>
      </w:r>
      <w:r w:rsidR="004572A0" w:rsidRPr="00E66FAB">
        <w:rPr>
          <w:rFonts w:asciiTheme="minorHAnsi" w:hAnsiTheme="minorHAnsi" w:cstheme="minorHAnsi"/>
          <w:lang w:val="fr-FR"/>
        </w:rPr>
        <w:t>’</w:t>
      </w:r>
      <w:r w:rsidRPr="00E66FAB">
        <w:rPr>
          <w:rFonts w:asciiTheme="minorHAnsi" w:hAnsiTheme="minorHAnsi" w:cstheme="minorHAnsi"/>
          <w:lang w:val="fr-FR"/>
        </w:rPr>
        <w:t>établissement pharmaceutique exploitant qui nécessite la mise en place de procédures spécifiques de pharmacovigilance, de suivi des réclamations, de rappels de lots, et de contrôle de la publicité notamment, permet de commercialiser les médicaments et d</w:t>
      </w:r>
      <w:r w:rsidR="004572A0" w:rsidRPr="00E66FAB">
        <w:rPr>
          <w:rFonts w:asciiTheme="minorHAnsi" w:hAnsiTheme="minorHAnsi" w:cstheme="minorHAnsi"/>
          <w:lang w:val="fr-FR"/>
        </w:rPr>
        <w:t>’</w:t>
      </w:r>
      <w:r w:rsidRPr="00E66FAB">
        <w:rPr>
          <w:rFonts w:asciiTheme="minorHAnsi" w:hAnsiTheme="minorHAnsi" w:cstheme="minorHAnsi"/>
          <w:lang w:val="fr-FR"/>
        </w:rPr>
        <w:t>en assurer la promotion ;</w:t>
      </w:r>
    </w:p>
    <w:p w:rsidR="00F46C7B" w:rsidRPr="00E66FAB" w:rsidRDefault="00F46C7B" w:rsidP="00434C49">
      <w:pPr>
        <w:pStyle w:val="ListBullet2"/>
        <w:numPr>
          <w:ilvl w:val="0"/>
          <w:numId w:val="65"/>
        </w:numPr>
        <w:rPr>
          <w:rFonts w:asciiTheme="minorHAnsi" w:hAnsiTheme="minorHAnsi" w:cstheme="minorHAnsi"/>
          <w:lang w:val="fr-FR"/>
        </w:rPr>
      </w:pPr>
      <w:r w:rsidRPr="00E66FAB">
        <w:rPr>
          <w:rFonts w:asciiTheme="minorHAnsi" w:hAnsiTheme="minorHAnsi" w:cstheme="minorHAnsi"/>
          <w:lang w:val="fr-FR"/>
        </w:rPr>
        <w:t xml:space="preserve">le statut de fabricant qui lui, nécessite de disposer de locaux adaptés de fabrication et de contrôle, de personnel habilité et de tout un système d’Assurance Qualité satisfaisant aux Bonnes Pratiques de Fabrication.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Si la Société n’obtenait pas le statut d’exploitant pharmaceutique, elle ne pourrait mener une approche commerciale directe du marché français et devrait donc conclure des accords de licences de commercialisation avec des sociétés pharmaceutiques. La non-obtention du statut d’établissement pharmaceutique aurait </w:t>
      </w:r>
      <w:r w:rsidR="004F6A1E" w:rsidRPr="00C73365">
        <w:rPr>
          <w:rFonts w:asciiTheme="minorHAnsi" w:hAnsiTheme="minorHAnsi" w:cstheme="minorHAnsi"/>
          <w:lang w:val="fr-FR"/>
        </w:rPr>
        <w:t>cependant à</w:t>
      </w:r>
      <w:r w:rsidRPr="00C73365">
        <w:rPr>
          <w:rFonts w:asciiTheme="minorHAnsi" w:hAnsiTheme="minorHAnsi" w:cstheme="minorHAnsi"/>
          <w:lang w:val="fr-FR"/>
        </w:rPr>
        <w:t xml:space="preserve"> court et moyen terme une conséquence limitée sur ses perspectives de développement, ses activités, ses résultats et sa situation financière.</w:t>
      </w:r>
    </w:p>
    <w:p w:rsidR="00F46C7B" w:rsidRPr="00C93577" w:rsidRDefault="00F46C7B" w:rsidP="00A96CCA">
      <w:pPr>
        <w:pStyle w:val="ConmainL2"/>
        <w:numPr>
          <w:ilvl w:val="1"/>
          <w:numId w:val="9"/>
        </w:numPr>
        <w:spacing w:after="120"/>
        <w:rPr>
          <w:rFonts w:asciiTheme="minorHAnsi" w:hAnsiTheme="minorHAnsi" w:cstheme="minorHAnsi"/>
          <w:sz w:val="22"/>
          <w:szCs w:val="22"/>
          <w:lang w:val="fr-FR"/>
        </w:rPr>
      </w:pPr>
      <w:bookmarkStart w:id="40" w:name="_Toc402884122"/>
      <w:bookmarkStart w:id="41" w:name="_Toc462673229"/>
      <w:bookmarkStart w:id="42" w:name="_Toc467835575"/>
      <w:bookmarkStart w:id="43" w:name="_Toc512863889"/>
      <w:r w:rsidRPr="00C93577">
        <w:rPr>
          <w:rFonts w:asciiTheme="minorHAnsi" w:hAnsiTheme="minorHAnsi" w:cstheme="minorHAnsi"/>
          <w:sz w:val="22"/>
          <w:szCs w:val="22"/>
          <w:lang w:val="fr-FR"/>
        </w:rPr>
        <w:t>Risques industriels</w:t>
      </w:r>
      <w:bookmarkEnd w:id="40"/>
      <w:bookmarkEnd w:id="41"/>
      <w:bookmarkEnd w:id="42"/>
      <w:bookmarkEnd w:id="43"/>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à l’utilisation de produits dangereux pour la santé et/ou pour l’environnement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activités de la Société comportent l’entreposage, la manipulation, l’utilisation et le traitement contrôlés de matières dangereuses, de toxines, d’agents chimiques et biologiques.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Il existe donc non seulement des risques environnementaux liés à la contamination de l’environnement mais aussi des risques en termes de santé (notamment maladies professionnelles) liés à la manipulation par les salariés de la Société de produits actifs ou de produits toxiques lors de la recherche et de la fabrication de produits. Ces risques existent aussi pour les tiers avec lesquels la Société travaille.</w:t>
      </w:r>
    </w:p>
    <w:p w:rsidR="00F46C7B" w:rsidRPr="00C73365" w:rsidRDefault="00F46C7B" w:rsidP="004572A0">
      <w:pPr>
        <w:pStyle w:val="BodyText"/>
        <w:rPr>
          <w:rFonts w:asciiTheme="minorHAnsi" w:hAnsiTheme="minorHAnsi" w:cstheme="minorHAnsi"/>
          <w:szCs w:val="22"/>
          <w:lang w:val="fr-FR"/>
        </w:rPr>
      </w:pPr>
      <w:r w:rsidRPr="00C73365">
        <w:rPr>
          <w:rFonts w:asciiTheme="minorHAnsi" w:hAnsiTheme="minorHAnsi" w:cstheme="minorHAnsi"/>
          <w:lang w:val="fr-FR"/>
        </w:rPr>
        <w:t>Bien que la Société estime que les mesures de sécurité qu’elle prend au titre de la manutention et du traitement des matières dangereuses satisfont aux normes en vigueur et permettent à ses salariés et sous-traitants d’exercer leur activité dans de bonnes conditions d’environnement, de santé et de sécurité, le risque de contamination accidentelle ou de maladies professionnelles lié à la manipulation de matières dangereuses ne peut être complètement éliminé. En cas d’accident, la Société pourrait être tenue responsable de tout dommage en résultant et la responsabilité encourue pourrait excéder le plafond des assurances souscrites par la Société, voire ne pas être couverte par les polices d’assurance souscrites.</w:t>
      </w:r>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44" w:name="_Toc402884123"/>
      <w:bookmarkStart w:id="45" w:name="_Toc462673230"/>
      <w:bookmarkStart w:id="46" w:name="_Toc467835576"/>
      <w:bookmarkStart w:id="47" w:name="_Toc512863890"/>
      <w:r w:rsidRPr="00C73365">
        <w:rPr>
          <w:rFonts w:asciiTheme="minorHAnsi" w:hAnsiTheme="minorHAnsi" w:cstheme="minorHAnsi"/>
          <w:sz w:val="22"/>
          <w:szCs w:val="22"/>
          <w:lang w:val="fr-FR"/>
        </w:rPr>
        <w:lastRenderedPageBreak/>
        <w:t>Risques financiers</w:t>
      </w:r>
      <w:bookmarkEnd w:id="44"/>
      <w:bookmarkEnd w:id="45"/>
      <w:bookmarkEnd w:id="46"/>
      <w:bookmarkEnd w:id="47"/>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aux pertes historiques et futures</w:t>
      </w:r>
    </w:p>
    <w:p w:rsidR="00F46C7B" w:rsidRPr="00C73365" w:rsidRDefault="007C607C" w:rsidP="004572A0">
      <w:pPr>
        <w:pStyle w:val="BodyText"/>
        <w:rPr>
          <w:rFonts w:asciiTheme="minorHAnsi" w:hAnsiTheme="minorHAnsi" w:cstheme="minorHAnsi"/>
          <w:lang w:val="fr-FR"/>
        </w:rPr>
      </w:pPr>
      <w:r w:rsidRPr="00C73365">
        <w:rPr>
          <w:rFonts w:asciiTheme="minorHAnsi" w:hAnsiTheme="minorHAnsi" w:cstheme="minorHAnsi"/>
          <w:lang w:val="fr-FR"/>
        </w:rPr>
        <w:t>Depuis sa création, la Société a enregistré des pertes</w:t>
      </w:r>
      <w:r w:rsidR="004661C4" w:rsidRPr="00C73365">
        <w:rPr>
          <w:rFonts w:asciiTheme="minorHAnsi" w:hAnsiTheme="minorHAnsi" w:cstheme="minorHAnsi"/>
          <w:lang w:val="fr-FR"/>
        </w:rPr>
        <w:t xml:space="preserve"> </w:t>
      </w:r>
      <w:r w:rsidRPr="00C73365">
        <w:rPr>
          <w:rFonts w:asciiTheme="minorHAnsi" w:hAnsiTheme="minorHAnsi" w:cstheme="minorHAnsi"/>
          <w:lang w:val="fr-FR"/>
        </w:rPr>
        <w:t xml:space="preserve">: </w:t>
      </w:r>
      <w:r w:rsidR="00357A37" w:rsidRPr="00C73365">
        <w:rPr>
          <w:rFonts w:asciiTheme="minorHAnsi" w:hAnsiTheme="minorHAnsi" w:cstheme="minorHAnsi"/>
          <w:lang w:val="fr-FR"/>
        </w:rPr>
        <w:t>-</w:t>
      </w:r>
      <w:r w:rsidR="001B2A74" w:rsidRPr="00C73365">
        <w:rPr>
          <w:rFonts w:asciiTheme="minorHAnsi" w:hAnsiTheme="minorHAnsi" w:cstheme="minorHAnsi"/>
          <w:lang w:val="fr-FR"/>
        </w:rPr>
        <w:t>11 223</w:t>
      </w:r>
      <w:r w:rsidR="008E256B"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008E256B" w:rsidRPr="00C73365">
        <w:rPr>
          <w:rFonts w:asciiTheme="minorHAnsi" w:hAnsiTheme="minorHAnsi" w:cstheme="minorHAnsi"/>
          <w:lang w:val="fr-FR"/>
        </w:rPr>
        <w:t xml:space="preserve"> en 2017, </w:t>
      </w:r>
      <w:r w:rsidR="00357A37" w:rsidRPr="00C73365">
        <w:rPr>
          <w:rFonts w:asciiTheme="minorHAnsi" w:hAnsiTheme="minorHAnsi" w:cstheme="minorHAnsi"/>
          <w:lang w:val="fr-FR"/>
        </w:rPr>
        <w:t>-</w:t>
      </w:r>
      <w:r w:rsidRPr="00C73365">
        <w:rPr>
          <w:rFonts w:asciiTheme="minorHAnsi" w:hAnsiTheme="minorHAnsi" w:cstheme="minorHAnsi"/>
          <w:lang w:val="fr-FR"/>
        </w:rPr>
        <w:t xml:space="preserve">14 308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en 2016 ; </w:t>
      </w:r>
      <w:r w:rsidR="00357A37" w:rsidRPr="00C73365">
        <w:rPr>
          <w:rFonts w:asciiTheme="minorHAnsi" w:hAnsiTheme="minorHAnsi" w:cstheme="minorHAnsi"/>
          <w:lang w:val="fr-FR"/>
        </w:rPr>
        <w:t>-</w:t>
      </w:r>
      <w:r w:rsidRPr="00C73365">
        <w:rPr>
          <w:rFonts w:asciiTheme="minorHAnsi" w:hAnsiTheme="minorHAnsi" w:cstheme="minorHAnsi"/>
          <w:lang w:val="fr-FR"/>
        </w:rPr>
        <w:t xml:space="preserve">15 954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en 2015, </w:t>
      </w:r>
      <w:r w:rsidR="00357A37" w:rsidRPr="00C73365">
        <w:rPr>
          <w:rFonts w:asciiTheme="minorHAnsi" w:hAnsiTheme="minorHAnsi" w:cstheme="minorHAnsi"/>
          <w:lang w:val="fr-FR"/>
        </w:rPr>
        <w:t>-</w:t>
      </w:r>
      <w:r w:rsidRPr="00C73365">
        <w:rPr>
          <w:rFonts w:asciiTheme="minorHAnsi" w:hAnsiTheme="minorHAnsi" w:cstheme="minorHAnsi"/>
          <w:lang w:val="fr-FR"/>
        </w:rPr>
        <w:t xml:space="preserve">5 080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en 2014 et </w:t>
      </w:r>
      <w:r w:rsidR="00357A37" w:rsidRPr="00C73365">
        <w:rPr>
          <w:rFonts w:asciiTheme="minorHAnsi" w:hAnsiTheme="minorHAnsi" w:cstheme="minorHAnsi"/>
          <w:lang w:val="fr-FR"/>
        </w:rPr>
        <w:t>-</w:t>
      </w:r>
      <w:r w:rsidRPr="00C73365">
        <w:rPr>
          <w:rFonts w:asciiTheme="minorHAnsi" w:hAnsiTheme="minorHAnsi" w:cstheme="minorHAnsi"/>
          <w:lang w:val="fr-FR"/>
        </w:rPr>
        <w:t xml:space="preserve">10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en 2013.</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devrait connaître, tant qu’elle ne génère pas des revenus provenant de son activité commerciale ou d’accords de licence avec des partenaires, des pertes opérationnelles plus importantes que par le passé du fait :</w:t>
      </w:r>
    </w:p>
    <w:p w:rsidR="00F46C7B" w:rsidRPr="00E66FAB" w:rsidRDefault="00F46C7B" w:rsidP="00434C49">
      <w:pPr>
        <w:pStyle w:val="ListBullet2"/>
        <w:numPr>
          <w:ilvl w:val="0"/>
          <w:numId w:val="66"/>
        </w:numPr>
        <w:rPr>
          <w:rFonts w:asciiTheme="minorHAnsi" w:hAnsiTheme="minorHAnsi" w:cstheme="minorHAnsi"/>
          <w:lang w:val="fr-FR"/>
        </w:rPr>
      </w:pPr>
      <w:r w:rsidRPr="00E66FAB">
        <w:rPr>
          <w:rFonts w:asciiTheme="minorHAnsi" w:hAnsiTheme="minorHAnsi" w:cstheme="minorHAnsi"/>
          <w:lang w:val="fr-FR"/>
        </w:rPr>
        <w:t>des programmes d’études précliniques et cliniques programmés ;</w:t>
      </w:r>
    </w:p>
    <w:p w:rsidR="00F46C7B" w:rsidRPr="00E66FAB" w:rsidRDefault="00F46C7B" w:rsidP="00434C49">
      <w:pPr>
        <w:pStyle w:val="ListBullet2"/>
        <w:numPr>
          <w:ilvl w:val="0"/>
          <w:numId w:val="66"/>
        </w:numPr>
        <w:rPr>
          <w:rFonts w:asciiTheme="minorHAnsi" w:hAnsiTheme="minorHAnsi" w:cstheme="minorHAnsi"/>
          <w:lang w:val="fr-FR"/>
        </w:rPr>
      </w:pPr>
      <w:r w:rsidRPr="00E66FAB">
        <w:rPr>
          <w:rFonts w:asciiTheme="minorHAnsi" w:hAnsiTheme="minorHAnsi" w:cstheme="minorHAnsi"/>
          <w:lang w:val="fr-FR"/>
        </w:rPr>
        <w:t>de la nécessité d’entreprendre de nouveaux essais précliniques et cliniques pour aborder de nouveaux segments de marchés ;</w:t>
      </w:r>
    </w:p>
    <w:p w:rsidR="00F46C7B" w:rsidRPr="00E66FAB" w:rsidRDefault="00F46C7B" w:rsidP="00434C49">
      <w:pPr>
        <w:pStyle w:val="ListBullet2"/>
        <w:numPr>
          <w:ilvl w:val="0"/>
          <w:numId w:val="66"/>
        </w:numPr>
        <w:rPr>
          <w:rFonts w:asciiTheme="minorHAnsi" w:hAnsiTheme="minorHAnsi" w:cstheme="minorHAnsi"/>
          <w:lang w:val="fr-FR"/>
        </w:rPr>
      </w:pPr>
      <w:r w:rsidRPr="00E66FAB">
        <w:rPr>
          <w:rFonts w:asciiTheme="minorHAnsi" w:hAnsiTheme="minorHAnsi" w:cstheme="minorHAnsi"/>
          <w:lang w:val="fr-FR"/>
        </w:rPr>
        <w:t>de l’ensemble des démarches qu’il y aura lieu d’engager en vue de l’obtention des autorisations de mises sur le marché et de dossiers de demandes d’accès des produits au</w:t>
      </w:r>
      <w:r w:rsidR="00617B2C" w:rsidRPr="00E66FAB">
        <w:rPr>
          <w:rFonts w:asciiTheme="minorHAnsi" w:hAnsiTheme="minorHAnsi" w:cstheme="minorHAnsi"/>
          <w:lang w:val="fr-FR"/>
        </w:rPr>
        <w:t>x</w:t>
      </w:r>
      <w:r w:rsidRPr="00E66FAB">
        <w:rPr>
          <w:rFonts w:asciiTheme="minorHAnsi" w:hAnsiTheme="minorHAnsi" w:cstheme="minorHAnsi"/>
          <w:lang w:val="fr-FR"/>
        </w:rPr>
        <w:t xml:space="preserve"> remboursement</w:t>
      </w:r>
      <w:r w:rsidR="00617B2C" w:rsidRPr="00E66FAB">
        <w:rPr>
          <w:rFonts w:asciiTheme="minorHAnsi" w:hAnsiTheme="minorHAnsi" w:cstheme="minorHAnsi"/>
          <w:lang w:val="fr-FR"/>
        </w:rPr>
        <w:t>s</w:t>
      </w:r>
      <w:r w:rsidRPr="00E66FAB">
        <w:rPr>
          <w:rFonts w:asciiTheme="minorHAnsi" w:hAnsiTheme="minorHAnsi" w:cstheme="minorHAnsi"/>
          <w:lang w:val="fr-FR"/>
        </w:rPr>
        <w:t xml:space="preserve"> ;</w:t>
      </w:r>
    </w:p>
    <w:p w:rsidR="00F46C7B" w:rsidRPr="00E66FAB" w:rsidRDefault="00F46C7B" w:rsidP="00434C49">
      <w:pPr>
        <w:pStyle w:val="ListBullet2"/>
        <w:numPr>
          <w:ilvl w:val="0"/>
          <w:numId w:val="66"/>
        </w:numPr>
        <w:rPr>
          <w:rFonts w:asciiTheme="minorHAnsi" w:hAnsiTheme="minorHAnsi" w:cstheme="minorHAnsi"/>
          <w:lang w:val="fr-FR"/>
        </w:rPr>
      </w:pPr>
      <w:r w:rsidRPr="00E66FAB">
        <w:rPr>
          <w:rFonts w:asciiTheme="minorHAnsi" w:hAnsiTheme="minorHAnsi" w:cstheme="minorHAnsi"/>
          <w:lang w:val="fr-FR"/>
        </w:rPr>
        <w:t xml:space="preserve">de l’accroissement des exigences réglementaires encadrant la fabrication </w:t>
      </w:r>
      <w:r w:rsidR="00617B2C" w:rsidRPr="00E66FAB">
        <w:rPr>
          <w:rFonts w:asciiTheme="minorHAnsi" w:hAnsiTheme="minorHAnsi" w:cstheme="minorHAnsi"/>
          <w:lang w:val="fr-FR"/>
        </w:rPr>
        <w:t>des</w:t>
      </w:r>
      <w:r w:rsidRPr="00E66FAB">
        <w:rPr>
          <w:rFonts w:asciiTheme="minorHAnsi" w:hAnsiTheme="minorHAnsi" w:cstheme="minorHAnsi"/>
          <w:lang w:val="fr-FR"/>
        </w:rPr>
        <w:t xml:space="preserve"> produits ;</w:t>
      </w:r>
    </w:p>
    <w:p w:rsidR="00F46C7B" w:rsidRPr="00E66FAB" w:rsidRDefault="00F46C7B" w:rsidP="00434C49">
      <w:pPr>
        <w:pStyle w:val="ListBullet2"/>
        <w:numPr>
          <w:ilvl w:val="0"/>
          <w:numId w:val="66"/>
        </w:numPr>
        <w:rPr>
          <w:rFonts w:asciiTheme="minorHAnsi" w:hAnsiTheme="minorHAnsi" w:cstheme="minorHAnsi"/>
          <w:lang w:val="fr-FR"/>
        </w:rPr>
      </w:pPr>
      <w:r w:rsidRPr="00E66FAB">
        <w:rPr>
          <w:rFonts w:asciiTheme="minorHAnsi" w:hAnsiTheme="minorHAnsi" w:cstheme="minorHAnsi"/>
          <w:lang w:val="fr-FR"/>
        </w:rPr>
        <w:t>d</w:t>
      </w:r>
      <w:r w:rsidR="00617B2C" w:rsidRPr="00E66FAB">
        <w:rPr>
          <w:rFonts w:asciiTheme="minorHAnsi" w:hAnsiTheme="minorHAnsi" w:cstheme="minorHAnsi"/>
          <w:lang w:val="fr-FR"/>
        </w:rPr>
        <w:t>’</w:t>
      </w:r>
      <w:r w:rsidRPr="00E66FAB">
        <w:rPr>
          <w:rFonts w:asciiTheme="minorHAnsi" w:hAnsiTheme="minorHAnsi" w:cstheme="minorHAnsi"/>
          <w:lang w:val="fr-FR"/>
        </w:rPr>
        <w:t>éventuelles dépenses marketing et ventes à engager en fonction du degré d’avancement de développement des produits ;</w:t>
      </w:r>
    </w:p>
    <w:p w:rsidR="00F46C7B" w:rsidRPr="00E66FAB" w:rsidRDefault="00F46C7B" w:rsidP="00434C49">
      <w:pPr>
        <w:pStyle w:val="ListBullet2"/>
        <w:numPr>
          <w:ilvl w:val="0"/>
          <w:numId w:val="66"/>
        </w:numPr>
        <w:rPr>
          <w:rFonts w:asciiTheme="minorHAnsi" w:hAnsiTheme="minorHAnsi" w:cstheme="minorHAnsi"/>
          <w:lang w:val="fr-FR"/>
        </w:rPr>
      </w:pPr>
      <w:r w:rsidRPr="00E66FAB">
        <w:rPr>
          <w:rFonts w:asciiTheme="minorHAnsi" w:hAnsiTheme="minorHAnsi" w:cstheme="minorHAnsi"/>
          <w:lang w:val="fr-FR"/>
        </w:rPr>
        <w:t>de la poursuite d’une politique de recherche et développement active pouvant passer par l’acquisition et/ou la mise au point de nouvelles technologies, produits ou licences.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augmentation des pertes opérationnelles pourrait avoir un effet défavorable significatif sur la Société, son activité, sa situation financière, ses résultats, son développement et ses perspectives.</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Ressources incertaines en capitaux et financements complémentaires incertains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continuera dans le futur d</w:t>
      </w:r>
      <w:r w:rsidR="004572A0" w:rsidRPr="00C73365">
        <w:rPr>
          <w:rFonts w:asciiTheme="minorHAnsi" w:hAnsiTheme="minorHAnsi" w:cstheme="minorHAnsi"/>
          <w:lang w:val="fr-FR"/>
        </w:rPr>
        <w:t>’</w:t>
      </w:r>
      <w:r w:rsidRPr="00C73365">
        <w:rPr>
          <w:rFonts w:asciiTheme="minorHAnsi" w:hAnsiTheme="minorHAnsi" w:cstheme="minorHAnsi"/>
          <w:lang w:val="fr-FR"/>
        </w:rPr>
        <w:t>avoir des besoins de financement importants pour le développement de ses technologies. Il se pourrait que la Société se trouve dans l</w:t>
      </w:r>
      <w:r w:rsidR="004572A0" w:rsidRPr="00C73365">
        <w:rPr>
          <w:rFonts w:asciiTheme="minorHAnsi" w:hAnsiTheme="minorHAnsi" w:cstheme="minorHAnsi"/>
          <w:lang w:val="fr-FR"/>
        </w:rPr>
        <w:t>’</w:t>
      </w:r>
      <w:r w:rsidRPr="00C73365">
        <w:rPr>
          <w:rFonts w:asciiTheme="minorHAnsi" w:hAnsiTheme="minorHAnsi" w:cstheme="minorHAnsi"/>
          <w:lang w:val="fr-FR"/>
        </w:rPr>
        <w:t>incapacité d</w:t>
      </w:r>
      <w:r w:rsidR="004572A0" w:rsidRPr="00C73365">
        <w:rPr>
          <w:rFonts w:asciiTheme="minorHAnsi" w:hAnsiTheme="minorHAnsi" w:cstheme="minorHAnsi"/>
          <w:lang w:val="fr-FR"/>
        </w:rPr>
        <w:t>’</w:t>
      </w:r>
      <w:r w:rsidRPr="00C73365">
        <w:rPr>
          <w:rFonts w:asciiTheme="minorHAnsi" w:hAnsiTheme="minorHAnsi" w:cstheme="minorHAnsi"/>
          <w:lang w:val="fr-FR"/>
        </w:rPr>
        <w:t>autofinancer sa croissance ce qui la conduirait à rechercher d</w:t>
      </w:r>
      <w:r w:rsidR="004572A0" w:rsidRPr="00C73365">
        <w:rPr>
          <w:rFonts w:asciiTheme="minorHAnsi" w:hAnsiTheme="minorHAnsi" w:cstheme="minorHAnsi"/>
          <w:lang w:val="fr-FR"/>
        </w:rPr>
        <w:t>’</w:t>
      </w:r>
      <w:r w:rsidRPr="00C73365">
        <w:rPr>
          <w:rFonts w:asciiTheme="minorHAnsi" w:hAnsiTheme="minorHAnsi" w:cstheme="minorHAnsi"/>
          <w:lang w:val="fr-FR"/>
        </w:rPr>
        <w:t>autres sources de financement, moyennant le renforcement de ses fonds propres par voie d’augmentation de capital et/ou souscription d’emprunts bancaires.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niveau des besoins de financement de la Société et leur échelonnement dans le temps dépendent d</w:t>
      </w:r>
      <w:r w:rsidR="004572A0" w:rsidRPr="00C73365">
        <w:rPr>
          <w:rFonts w:asciiTheme="minorHAnsi" w:hAnsiTheme="minorHAnsi" w:cstheme="minorHAnsi"/>
          <w:lang w:val="fr-FR"/>
        </w:rPr>
        <w:t>’</w:t>
      </w:r>
      <w:r w:rsidRPr="00C73365">
        <w:rPr>
          <w:rFonts w:asciiTheme="minorHAnsi" w:hAnsiTheme="minorHAnsi" w:cstheme="minorHAnsi"/>
          <w:lang w:val="fr-FR"/>
        </w:rPr>
        <w:t>éléments qui échappent largement au contrôle de la Société tels que :</w:t>
      </w:r>
    </w:p>
    <w:p w:rsidR="00F46C7B" w:rsidRPr="00E66FAB" w:rsidRDefault="00F46C7B" w:rsidP="00434C49">
      <w:pPr>
        <w:pStyle w:val="ListBullet2"/>
        <w:numPr>
          <w:ilvl w:val="0"/>
          <w:numId w:val="71"/>
        </w:numPr>
        <w:rPr>
          <w:rFonts w:asciiTheme="minorHAnsi" w:hAnsiTheme="minorHAnsi" w:cstheme="minorHAnsi"/>
          <w:lang w:val="fr-FR"/>
        </w:rPr>
      </w:pPr>
      <w:r w:rsidRPr="00E66FAB">
        <w:rPr>
          <w:rFonts w:asciiTheme="minorHAnsi" w:hAnsiTheme="minorHAnsi" w:cstheme="minorHAnsi"/>
          <w:lang w:val="fr-FR"/>
        </w:rPr>
        <w:t>des coûts plus élevés et des progrès plus lents que ceux escomptés pour ses programmes de recherche et de développement et d</w:t>
      </w:r>
      <w:r w:rsidR="004572A0" w:rsidRPr="00E66FAB">
        <w:rPr>
          <w:rFonts w:asciiTheme="minorHAnsi" w:hAnsiTheme="minorHAnsi" w:cstheme="minorHAnsi"/>
          <w:lang w:val="fr-FR"/>
        </w:rPr>
        <w:t>’</w:t>
      </w:r>
      <w:r w:rsidRPr="00E66FAB">
        <w:rPr>
          <w:rFonts w:asciiTheme="minorHAnsi" w:hAnsiTheme="minorHAnsi" w:cstheme="minorHAnsi"/>
          <w:lang w:val="fr-FR"/>
        </w:rPr>
        <w:t>études cliniques ;</w:t>
      </w:r>
    </w:p>
    <w:p w:rsidR="00F46C7B" w:rsidRPr="00E66FAB" w:rsidRDefault="00F46C7B" w:rsidP="00434C49">
      <w:pPr>
        <w:pStyle w:val="ListBullet2"/>
        <w:numPr>
          <w:ilvl w:val="0"/>
          <w:numId w:val="71"/>
        </w:numPr>
        <w:rPr>
          <w:rFonts w:asciiTheme="minorHAnsi" w:hAnsiTheme="minorHAnsi" w:cstheme="minorHAnsi"/>
          <w:lang w:val="fr-FR"/>
        </w:rPr>
      </w:pPr>
      <w:r w:rsidRPr="00E66FAB">
        <w:rPr>
          <w:rFonts w:asciiTheme="minorHAnsi" w:hAnsiTheme="minorHAnsi" w:cstheme="minorHAnsi"/>
          <w:lang w:val="fr-FR"/>
        </w:rPr>
        <w:t>des coûts de préparation, de dépôt, de défense et de maintenance de ses brevets et autres droits de propriété intellectuelle ;</w:t>
      </w:r>
    </w:p>
    <w:p w:rsidR="00F46C7B" w:rsidRPr="00E66FAB" w:rsidRDefault="00F46C7B" w:rsidP="00434C49">
      <w:pPr>
        <w:pStyle w:val="ListBullet2"/>
        <w:numPr>
          <w:ilvl w:val="0"/>
          <w:numId w:val="71"/>
        </w:numPr>
        <w:rPr>
          <w:rFonts w:asciiTheme="minorHAnsi" w:hAnsiTheme="minorHAnsi" w:cstheme="minorHAnsi"/>
          <w:lang w:val="fr-FR"/>
        </w:rPr>
      </w:pPr>
      <w:r w:rsidRPr="00E66FAB">
        <w:rPr>
          <w:rFonts w:asciiTheme="minorHAnsi" w:hAnsiTheme="minorHAnsi" w:cstheme="minorHAnsi"/>
          <w:lang w:val="fr-FR"/>
        </w:rPr>
        <w:t>de l’ampleur des travaux de recherche préalables et des délais nécessaires à la signature d’accords de licences avec des partenaires industriels ;</w:t>
      </w:r>
    </w:p>
    <w:p w:rsidR="00F46C7B" w:rsidRPr="00E66FAB" w:rsidRDefault="00F46C7B" w:rsidP="00434C49">
      <w:pPr>
        <w:pStyle w:val="ListBullet2"/>
        <w:numPr>
          <w:ilvl w:val="0"/>
          <w:numId w:val="71"/>
        </w:numPr>
        <w:rPr>
          <w:rFonts w:asciiTheme="minorHAnsi" w:hAnsiTheme="minorHAnsi" w:cstheme="minorHAnsi"/>
          <w:lang w:val="fr-FR"/>
        </w:rPr>
      </w:pPr>
      <w:r w:rsidRPr="00E66FAB">
        <w:rPr>
          <w:rFonts w:asciiTheme="minorHAnsi" w:hAnsiTheme="minorHAnsi" w:cstheme="minorHAnsi"/>
          <w:lang w:val="fr-FR"/>
        </w:rPr>
        <w:t>des coûts nécessaires pour répondre aux développements technologiques et des marchés ;</w:t>
      </w:r>
    </w:p>
    <w:p w:rsidR="00F46C7B" w:rsidRPr="00E66FAB" w:rsidRDefault="00F46C7B" w:rsidP="00434C49">
      <w:pPr>
        <w:pStyle w:val="ListBullet2"/>
        <w:numPr>
          <w:ilvl w:val="0"/>
          <w:numId w:val="71"/>
        </w:numPr>
        <w:rPr>
          <w:rFonts w:asciiTheme="minorHAnsi" w:hAnsiTheme="minorHAnsi" w:cstheme="minorHAnsi"/>
          <w:lang w:val="fr-FR"/>
        </w:rPr>
      </w:pPr>
      <w:r w:rsidRPr="00E66FAB">
        <w:rPr>
          <w:rFonts w:asciiTheme="minorHAnsi" w:hAnsiTheme="minorHAnsi" w:cstheme="minorHAnsi"/>
          <w:lang w:val="fr-FR"/>
        </w:rPr>
        <w:t>des coûts plus élevés et des délais plus longs que ceux escomptés pour l</w:t>
      </w:r>
      <w:r w:rsidR="004572A0" w:rsidRPr="00E66FAB">
        <w:rPr>
          <w:rFonts w:asciiTheme="minorHAnsi" w:hAnsiTheme="minorHAnsi" w:cstheme="minorHAnsi"/>
          <w:lang w:val="fr-FR"/>
        </w:rPr>
        <w:t>’</w:t>
      </w:r>
      <w:r w:rsidRPr="00E66FAB">
        <w:rPr>
          <w:rFonts w:asciiTheme="minorHAnsi" w:hAnsiTheme="minorHAnsi" w:cstheme="minorHAnsi"/>
          <w:lang w:val="fr-FR"/>
        </w:rPr>
        <w:t xml:space="preserve">obtention des autorisations réglementaires, y compris le temps de préparation des dossiers de demandes auprès des autorités compétentes ; </w:t>
      </w:r>
    </w:p>
    <w:p w:rsidR="00F46C7B" w:rsidRPr="00E66FAB" w:rsidRDefault="00F46C7B" w:rsidP="00434C49">
      <w:pPr>
        <w:pStyle w:val="ListBullet2"/>
        <w:numPr>
          <w:ilvl w:val="0"/>
          <w:numId w:val="71"/>
        </w:numPr>
        <w:rPr>
          <w:rFonts w:asciiTheme="minorHAnsi" w:hAnsiTheme="minorHAnsi" w:cstheme="minorHAnsi"/>
          <w:lang w:val="fr-FR"/>
        </w:rPr>
      </w:pPr>
      <w:r w:rsidRPr="00E66FAB">
        <w:rPr>
          <w:rFonts w:asciiTheme="minorHAnsi" w:hAnsiTheme="minorHAnsi" w:cstheme="minorHAnsi"/>
          <w:lang w:val="fr-FR"/>
        </w:rPr>
        <w:t>des opportunités nouvelles de développement de nouveaux produits ou d</w:t>
      </w:r>
      <w:r w:rsidR="004572A0" w:rsidRPr="00E66FAB">
        <w:rPr>
          <w:rFonts w:asciiTheme="minorHAnsi" w:hAnsiTheme="minorHAnsi" w:cstheme="minorHAnsi"/>
          <w:lang w:val="fr-FR"/>
        </w:rPr>
        <w:t>’</w:t>
      </w:r>
      <w:r w:rsidRPr="00E66FAB">
        <w:rPr>
          <w:rFonts w:asciiTheme="minorHAnsi" w:hAnsiTheme="minorHAnsi" w:cstheme="minorHAnsi"/>
          <w:lang w:val="fr-FR"/>
        </w:rPr>
        <w:t>acquisition de technologies, de produits ou de sociétés.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 xml:space="preserve">Il se peut que la Société ne parvienne pas à se procurer des capitaux supplémentaires </w:t>
      </w:r>
      <w:r w:rsidR="00B77E34" w:rsidRPr="00C73365">
        <w:rPr>
          <w:rFonts w:asciiTheme="minorHAnsi" w:hAnsiTheme="minorHAnsi" w:cstheme="minorHAnsi"/>
          <w:lang w:val="fr-FR"/>
        </w:rPr>
        <w:t xml:space="preserve">au moment où elle en aura </w:t>
      </w:r>
      <w:r w:rsidRPr="00C73365">
        <w:rPr>
          <w:rFonts w:asciiTheme="minorHAnsi" w:hAnsiTheme="minorHAnsi" w:cstheme="minorHAnsi"/>
          <w:lang w:val="fr-FR"/>
        </w:rPr>
        <w:t>besoin, ou que ces capitaux ne soient pas disponibles à des conditions financières acceptables pour la Société. Si les fonds nécessaires n</w:t>
      </w:r>
      <w:r w:rsidR="004572A0" w:rsidRPr="00C73365">
        <w:rPr>
          <w:rFonts w:asciiTheme="minorHAnsi" w:hAnsiTheme="minorHAnsi" w:cstheme="minorHAnsi"/>
          <w:lang w:val="fr-FR"/>
        </w:rPr>
        <w:t>’</w:t>
      </w:r>
      <w:r w:rsidRPr="00C73365">
        <w:rPr>
          <w:rFonts w:asciiTheme="minorHAnsi" w:hAnsiTheme="minorHAnsi" w:cstheme="minorHAnsi"/>
          <w:lang w:val="fr-FR"/>
        </w:rPr>
        <w:t>étaient pas disponibles, la Société pourrait devoir :</w:t>
      </w:r>
    </w:p>
    <w:p w:rsidR="00F46C7B" w:rsidRPr="00E66FAB" w:rsidRDefault="00F46C7B" w:rsidP="00434C49">
      <w:pPr>
        <w:pStyle w:val="ListBullet2"/>
        <w:numPr>
          <w:ilvl w:val="0"/>
          <w:numId w:val="67"/>
        </w:numPr>
        <w:rPr>
          <w:rFonts w:asciiTheme="minorHAnsi" w:hAnsiTheme="minorHAnsi" w:cstheme="minorHAnsi"/>
          <w:lang w:val="fr-FR"/>
        </w:rPr>
      </w:pPr>
      <w:r w:rsidRPr="00E66FAB">
        <w:rPr>
          <w:rFonts w:asciiTheme="minorHAnsi" w:hAnsiTheme="minorHAnsi" w:cstheme="minorHAnsi"/>
          <w:lang w:val="fr-FR"/>
        </w:rPr>
        <w:t>retarder, réduire ou supprimer des programmes de recherches ;</w:t>
      </w:r>
    </w:p>
    <w:p w:rsidR="00F46C7B" w:rsidRPr="00E66FAB" w:rsidRDefault="00F46C7B" w:rsidP="00434C49">
      <w:pPr>
        <w:pStyle w:val="ListBullet2"/>
        <w:numPr>
          <w:ilvl w:val="0"/>
          <w:numId w:val="67"/>
        </w:numPr>
        <w:rPr>
          <w:rFonts w:asciiTheme="minorHAnsi" w:hAnsiTheme="minorHAnsi" w:cstheme="minorHAnsi"/>
          <w:lang w:val="fr-FR"/>
        </w:rPr>
      </w:pPr>
      <w:r w:rsidRPr="00E66FAB">
        <w:rPr>
          <w:rFonts w:asciiTheme="minorHAnsi" w:hAnsiTheme="minorHAnsi" w:cstheme="minorHAnsi"/>
          <w:lang w:val="fr-FR"/>
        </w:rPr>
        <w:t>obtenir des fonds par le biais d</w:t>
      </w:r>
      <w:r w:rsidR="004572A0" w:rsidRPr="00E66FAB">
        <w:rPr>
          <w:rFonts w:asciiTheme="minorHAnsi" w:hAnsiTheme="minorHAnsi" w:cstheme="minorHAnsi"/>
          <w:lang w:val="fr-FR"/>
        </w:rPr>
        <w:t>’</w:t>
      </w:r>
      <w:r w:rsidRPr="00E66FAB">
        <w:rPr>
          <w:rFonts w:asciiTheme="minorHAnsi" w:hAnsiTheme="minorHAnsi" w:cstheme="minorHAnsi"/>
          <w:lang w:val="fr-FR"/>
        </w:rPr>
        <w:t xml:space="preserve">accords de partenariat qui pourraient la contraindre à renoncer à des droits sur certaines de ses technologies ou certains de ses produits ; </w:t>
      </w:r>
    </w:p>
    <w:p w:rsidR="00F46C7B" w:rsidRPr="00E66FAB" w:rsidRDefault="00F46C7B" w:rsidP="00434C49">
      <w:pPr>
        <w:pStyle w:val="ListBullet2"/>
        <w:numPr>
          <w:ilvl w:val="0"/>
          <w:numId w:val="67"/>
        </w:numPr>
        <w:rPr>
          <w:rFonts w:asciiTheme="minorHAnsi" w:hAnsiTheme="minorHAnsi" w:cstheme="minorHAnsi"/>
          <w:lang w:val="fr-FR"/>
        </w:rPr>
      </w:pPr>
      <w:r w:rsidRPr="00E66FAB">
        <w:rPr>
          <w:rFonts w:asciiTheme="minorHAnsi" w:hAnsiTheme="minorHAnsi" w:cstheme="minorHAnsi"/>
          <w:lang w:val="fr-FR"/>
        </w:rPr>
        <w:t>accorder des licences sur tout ou</w:t>
      </w:r>
      <w:r w:rsidR="00B77E34" w:rsidRPr="00E66FAB">
        <w:rPr>
          <w:rFonts w:asciiTheme="minorHAnsi" w:hAnsiTheme="minorHAnsi" w:cstheme="minorHAnsi"/>
          <w:lang w:val="fr-FR"/>
        </w:rPr>
        <w:t xml:space="preserve"> une</w:t>
      </w:r>
      <w:r w:rsidRPr="00E66FAB">
        <w:rPr>
          <w:rFonts w:asciiTheme="minorHAnsi" w:hAnsiTheme="minorHAnsi" w:cstheme="minorHAnsi"/>
          <w:lang w:val="fr-FR"/>
        </w:rPr>
        <w:t xml:space="preserve"> partie de ses technologies à des partenaires ou des tiers ;</w:t>
      </w:r>
    </w:p>
    <w:p w:rsidR="00F46C7B" w:rsidRPr="00E66FAB" w:rsidRDefault="00F46C7B" w:rsidP="00434C49">
      <w:pPr>
        <w:pStyle w:val="ListBullet2"/>
        <w:numPr>
          <w:ilvl w:val="0"/>
          <w:numId w:val="67"/>
        </w:numPr>
        <w:rPr>
          <w:rFonts w:asciiTheme="minorHAnsi" w:hAnsiTheme="minorHAnsi" w:cstheme="minorHAnsi"/>
          <w:lang w:val="fr-FR"/>
        </w:rPr>
      </w:pPr>
      <w:r w:rsidRPr="00E66FAB">
        <w:rPr>
          <w:rFonts w:asciiTheme="minorHAnsi" w:hAnsiTheme="minorHAnsi" w:cstheme="minorHAnsi"/>
          <w:lang w:val="fr-FR"/>
        </w:rPr>
        <w:t>conclure de nouveaux accords de collaboration qui pourraient être moins favorables pour elle que ceux qu</w:t>
      </w:r>
      <w:r w:rsidR="004572A0" w:rsidRPr="00E66FAB">
        <w:rPr>
          <w:rFonts w:asciiTheme="minorHAnsi" w:hAnsiTheme="minorHAnsi" w:cstheme="minorHAnsi"/>
          <w:lang w:val="fr-FR"/>
        </w:rPr>
        <w:t>’</w:t>
      </w:r>
      <w:r w:rsidRPr="00E66FAB">
        <w:rPr>
          <w:rFonts w:asciiTheme="minorHAnsi" w:hAnsiTheme="minorHAnsi" w:cstheme="minorHAnsi"/>
          <w:lang w:val="fr-FR"/>
        </w:rPr>
        <w:t>elle aurait pu obtenir dans un contexte différent.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De plus, dans la mesure où la Société lèverait des capitaux par émission</w:t>
      </w:r>
      <w:r w:rsidR="00B77E34" w:rsidRPr="00C73365">
        <w:rPr>
          <w:rFonts w:asciiTheme="minorHAnsi" w:hAnsiTheme="minorHAnsi" w:cstheme="minorHAnsi"/>
          <w:lang w:val="fr-FR"/>
        </w:rPr>
        <w:t xml:space="preserve"> de nouvelles </w:t>
      </w:r>
      <w:r w:rsidRPr="00C73365">
        <w:rPr>
          <w:rFonts w:asciiTheme="minorHAnsi" w:hAnsiTheme="minorHAnsi" w:cstheme="minorHAnsi"/>
          <w:lang w:val="fr-FR"/>
        </w:rPr>
        <w:t>actions, la participation de ses actionnaires pourrait être diluée. Le financement par endettement, dans la mesure où il serait disponible, pourrait par ailleurs comprendre des conditions restrictives pour la Société et ses actionnaires.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réalisation de l</w:t>
      </w:r>
      <w:r w:rsidR="004572A0" w:rsidRPr="00C73365">
        <w:rPr>
          <w:rFonts w:asciiTheme="minorHAnsi" w:hAnsiTheme="minorHAnsi" w:cstheme="minorHAnsi"/>
          <w:lang w:val="fr-FR"/>
        </w:rPr>
        <w:t>’</w:t>
      </w:r>
      <w:r w:rsidRPr="00C73365">
        <w:rPr>
          <w:rFonts w:asciiTheme="minorHAnsi" w:hAnsiTheme="minorHAnsi" w:cstheme="minorHAnsi"/>
          <w:lang w:val="fr-FR"/>
        </w:rPr>
        <w:t>un ou de plusieurs de ces risques pourrait avoir un effet défavorable significatif sur la Société, son activité, sa situation financière, ses résultats, son développement et ses perspectives.</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à l’accès à des subventions et avances remboursables</w:t>
      </w:r>
      <w:r w:rsidR="0011727E" w:rsidRPr="00C73365">
        <w:rPr>
          <w:rFonts w:asciiTheme="minorHAnsi" w:hAnsiTheme="minorHAnsi" w:cstheme="minorHAnsi"/>
          <w:b/>
          <w:color w:val="7030A0"/>
          <w:lang w:val="fr-FR"/>
        </w:rPr>
        <w:t xml:space="preserv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a bénéficié de diverses subventions et avances remboursables dans le cadre :</w:t>
      </w:r>
    </w:p>
    <w:p w:rsidR="00F46C7B" w:rsidRPr="00C73365" w:rsidRDefault="00F46C7B" w:rsidP="00434C49">
      <w:pPr>
        <w:pStyle w:val="List2"/>
        <w:numPr>
          <w:ilvl w:val="0"/>
          <w:numId w:val="68"/>
        </w:numPr>
        <w:rPr>
          <w:rFonts w:asciiTheme="minorHAnsi" w:hAnsiTheme="minorHAnsi" w:cstheme="minorHAnsi"/>
          <w:lang w:val="fr-FR"/>
        </w:rPr>
      </w:pPr>
      <w:r w:rsidRPr="00C73365">
        <w:rPr>
          <w:rFonts w:asciiTheme="minorHAnsi" w:hAnsiTheme="minorHAnsi" w:cstheme="minorHAnsi"/>
          <w:lang w:val="fr-FR"/>
        </w:rPr>
        <w:t xml:space="preserve">du développement de nouveaux adjuvants vaccinaux et de leurs évaluations cliniques dans l’oncologie et </w:t>
      </w:r>
      <w:r w:rsidR="001A1286" w:rsidRPr="00C73365">
        <w:rPr>
          <w:rFonts w:asciiTheme="minorHAnsi" w:hAnsiTheme="minorHAnsi" w:cstheme="minorHAnsi"/>
          <w:lang w:val="fr-FR"/>
        </w:rPr>
        <w:t>l</w:t>
      </w:r>
      <w:r w:rsidRPr="00C73365">
        <w:rPr>
          <w:rFonts w:asciiTheme="minorHAnsi" w:hAnsiTheme="minorHAnsi" w:cstheme="minorHAnsi"/>
          <w:lang w:val="fr-FR"/>
        </w:rPr>
        <w:t xml:space="preserve">es maladies infectieuses en continuation avec l’aide A 08 05 001G (Aide à l’innovation A 10 06 002G </w:t>
      </w:r>
      <w:r w:rsidR="000A4880" w:rsidRPr="00C73365">
        <w:rPr>
          <w:rFonts w:asciiTheme="minorHAnsi" w:hAnsiTheme="minorHAnsi" w:cstheme="minorHAnsi"/>
          <w:lang w:val="fr-FR"/>
        </w:rPr>
        <w:t xml:space="preserve">de 800000 € </w:t>
      </w:r>
      <w:r w:rsidRPr="00C73365">
        <w:rPr>
          <w:rFonts w:asciiTheme="minorHAnsi" w:hAnsiTheme="minorHAnsi" w:cstheme="minorHAnsi"/>
          <w:lang w:val="fr-FR"/>
        </w:rPr>
        <w:t xml:space="preserve">sous forme d’avance remboursable financée par </w:t>
      </w:r>
      <w:r w:rsidR="001479F8">
        <w:rPr>
          <w:rFonts w:asciiTheme="minorHAnsi" w:hAnsiTheme="minorHAnsi" w:cstheme="minorHAnsi"/>
          <w:lang w:val="fr-FR"/>
        </w:rPr>
        <w:t>Bpifrance</w:t>
      </w:r>
      <w:r w:rsidRPr="00C73365">
        <w:rPr>
          <w:rFonts w:asciiTheme="minorHAnsi" w:hAnsiTheme="minorHAnsi" w:cstheme="minorHAnsi"/>
          <w:lang w:val="fr-FR"/>
        </w:rPr>
        <w:t xml:space="preserve"> et le fonds FEDER – </w:t>
      </w:r>
      <w:r w:rsidR="003002F9" w:rsidRPr="00C73365">
        <w:rPr>
          <w:rFonts w:asciiTheme="minorHAnsi" w:hAnsiTheme="minorHAnsi" w:cstheme="minorHAnsi"/>
          <w:lang w:val="fr-FR"/>
        </w:rPr>
        <w:t>A ce jour, r</w:t>
      </w:r>
      <w:r w:rsidRPr="00C73365">
        <w:rPr>
          <w:rFonts w:asciiTheme="minorHAnsi" w:hAnsiTheme="minorHAnsi" w:cstheme="minorHAnsi"/>
          <w:lang w:val="fr-FR"/>
        </w:rPr>
        <w:t xml:space="preserve">emboursement </w:t>
      </w:r>
      <w:r w:rsidR="000A4880" w:rsidRPr="00C73365">
        <w:rPr>
          <w:rFonts w:asciiTheme="minorHAnsi" w:hAnsiTheme="minorHAnsi" w:cstheme="minorHAnsi"/>
          <w:lang w:val="fr-FR"/>
        </w:rPr>
        <w:t>effectu</w:t>
      </w:r>
      <w:r w:rsidR="003002F9" w:rsidRPr="00C73365">
        <w:rPr>
          <w:rFonts w:asciiTheme="minorHAnsi" w:hAnsiTheme="minorHAnsi" w:cstheme="minorHAnsi"/>
          <w:lang w:val="fr-FR"/>
        </w:rPr>
        <w:t>é</w:t>
      </w:r>
      <w:r w:rsidR="000A4880" w:rsidRPr="00C73365">
        <w:rPr>
          <w:rFonts w:asciiTheme="minorHAnsi" w:hAnsiTheme="minorHAnsi" w:cstheme="minorHAnsi"/>
          <w:lang w:val="fr-FR"/>
        </w:rPr>
        <w:t xml:space="preserve"> </w:t>
      </w:r>
      <w:r w:rsidRPr="00C73365">
        <w:rPr>
          <w:rFonts w:asciiTheme="minorHAnsi" w:hAnsiTheme="minorHAnsi" w:cstheme="minorHAnsi"/>
          <w:lang w:val="fr-FR"/>
        </w:rPr>
        <w:t>en intégralité) ;</w:t>
      </w:r>
    </w:p>
    <w:p w:rsidR="00F46C7B" w:rsidRPr="00C73365" w:rsidRDefault="00F46C7B" w:rsidP="00434C49">
      <w:pPr>
        <w:pStyle w:val="List2"/>
        <w:numPr>
          <w:ilvl w:val="0"/>
          <w:numId w:val="68"/>
        </w:numPr>
        <w:rPr>
          <w:rFonts w:asciiTheme="minorHAnsi" w:hAnsiTheme="minorHAnsi" w:cstheme="minorHAnsi"/>
          <w:lang w:val="fr-FR"/>
        </w:rPr>
      </w:pPr>
      <w:r w:rsidRPr="00C73365">
        <w:rPr>
          <w:rFonts w:asciiTheme="minorHAnsi" w:hAnsiTheme="minorHAnsi" w:cstheme="minorHAnsi"/>
          <w:lang w:val="fr-FR"/>
        </w:rPr>
        <w:t>du développement de solutions thérapeutiques ciblant l’épissage alternatif de l’interférence de l’ARN dans le domaine de la virologie et du métabolisme</w:t>
      </w:r>
      <w:r w:rsidR="007D4DA8" w:rsidRPr="00C73365">
        <w:rPr>
          <w:rFonts w:asciiTheme="minorHAnsi" w:hAnsiTheme="minorHAnsi" w:cstheme="minorHAnsi"/>
          <w:lang w:val="fr-FR"/>
        </w:rPr>
        <w:t xml:space="preserve"> : </w:t>
      </w:r>
      <w:r w:rsidRPr="00C73365">
        <w:rPr>
          <w:rFonts w:asciiTheme="minorHAnsi" w:hAnsiTheme="minorHAnsi" w:cstheme="minorHAnsi"/>
          <w:lang w:val="fr-FR"/>
        </w:rPr>
        <w:t xml:space="preserve">projet ISI « CaReNA » financé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avec des subventions et d</w:t>
      </w:r>
      <w:r w:rsidR="007D4DA8" w:rsidRPr="00C73365">
        <w:rPr>
          <w:rFonts w:asciiTheme="minorHAnsi" w:hAnsiTheme="minorHAnsi" w:cstheme="minorHAnsi"/>
          <w:lang w:val="fr-FR"/>
        </w:rPr>
        <w:t xml:space="preserve">es </w:t>
      </w:r>
      <w:r w:rsidRPr="00C73365">
        <w:rPr>
          <w:rFonts w:asciiTheme="minorHAnsi" w:hAnsiTheme="minorHAnsi" w:cstheme="minorHAnsi"/>
          <w:lang w:val="fr-FR"/>
        </w:rPr>
        <w:t>avances remboursables – En cas de succès</w:t>
      </w:r>
      <w:r w:rsidR="007D4DA8" w:rsidRPr="00C73365">
        <w:rPr>
          <w:rFonts w:asciiTheme="minorHAnsi" w:hAnsiTheme="minorHAnsi" w:cstheme="minorHAnsi"/>
          <w:lang w:val="fr-FR"/>
        </w:rPr>
        <w:t>,</w:t>
      </w:r>
      <w:r w:rsidRPr="00C73365">
        <w:rPr>
          <w:rFonts w:asciiTheme="minorHAnsi" w:hAnsiTheme="minorHAnsi" w:cstheme="minorHAnsi"/>
          <w:lang w:val="fr-FR"/>
        </w:rPr>
        <w:t xml:space="preserve"> remboursement </w:t>
      </w:r>
      <w:r w:rsidR="00BC440C" w:rsidRPr="00C73365">
        <w:rPr>
          <w:rFonts w:asciiTheme="minorHAnsi" w:hAnsiTheme="minorHAnsi" w:cstheme="minorHAnsi"/>
          <w:lang w:val="fr-FR"/>
        </w:rPr>
        <w:t>des avances remboursables</w:t>
      </w:r>
      <w:r w:rsidRPr="00C73365">
        <w:rPr>
          <w:rFonts w:asciiTheme="minorHAnsi" w:hAnsiTheme="minorHAnsi" w:cstheme="minorHAnsi"/>
          <w:lang w:val="fr-FR"/>
        </w:rPr>
        <w:t xml:space="preserve"> pour un montant </w:t>
      </w:r>
      <w:r w:rsidR="00484456" w:rsidRPr="00C73365">
        <w:rPr>
          <w:rFonts w:asciiTheme="minorHAnsi" w:hAnsiTheme="minorHAnsi" w:cstheme="minorHAnsi"/>
          <w:lang w:val="fr-FR"/>
        </w:rPr>
        <w:t xml:space="preserve">initial </w:t>
      </w:r>
      <w:r w:rsidR="00BC440C" w:rsidRPr="00C73365">
        <w:rPr>
          <w:rFonts w:asciiTheme="minorHAnsi" w:hAnsiTheme="minorHAnsi" w:cstheme="minorHAnsi"/>
          <w:lang w:val="fr-FR"/>
        </w:rPr>
        <w:t xml:space="preserve">maximum </w:t>
      </w:r>
      <w:r w:rsidRPr="00C73365">
        <w:rPr>
          <w:rFonts w:asciiTheme="minorHAnsi" w:hAnsiTheme="minorHAnsi" w:cstheme="minorHAnsi"/>
          <w:lang w:val="fr-FR"/>
        </w:rPr>
        <w:t xml:space="preserve">de 4 397 000 € </w:t>
      </w:r>
      <w:r w:rsidR="00BC440C" w:rsidRPr="00C73365">
        <w:rPr>
          <w:rFonts w:asciiTheme="minorHAnsi" w:hAnsiTheme="minorHAnsi" w:cstheme="minorHAnsi"/>
          <w:lang w:val="fr-FR"/>
        </w:rPr>
        <w:t xml:space="preserve">(actuellement évalué à 3 473 984 €) </w:t>
      </w:r>
      <w:r w:rsidRPr="00C73365">
        <w:rPr>
          <w:rFonts w:asciiTheme="minorHAnsi" w:hAnsiTheme="minorHAnsi" w:cstheme="minorHAnsi"/>
          <w:lang w:val="fr-FR"/>
        </w:rPr>
        <w:t>et versements complémentaires plafonnés dans le temps et en montants, sur la base des chiffres d’affaires dégagés par le programme</w:t>
      </w:r>
      <w:r w:rsidR="00BC440C" w:rsidRPr="00C73365">
        <w:rPr>
          <w:rFonts w:asciiTheme="minorHAnsi" w:hAnsiTheme="minorHAnsi" w:cstheme="minorHAnsi"/>
          <w:lang w:val="fr-FR"/>
        </w:rPr>
        <w:t>.</w:t>
      </w:r>
      <w:r w:rsidRPr="00C73365">
        <w:rPr>
          <w:rFonts w:asciiTheme="minorHAnsi" w:hAnsiTheme="minorHAnsi" w:cstheme="minorHAnsi"/>
          <w:lang w:val="fr-FR"/>
        </w:rPr>
        <w:t> </w:t>
      </w:r>
    </w:p>
    <w:p w:rsidR="00F46C7B" w:rsidRPr="00C73365" w:rsidRDefault="00F46C7B" w:rsidP="00434C49">
      <w:pPr>
        <w:pStyle w:val="List2"/>
        <w:numPr>
          <w:ilvl w:val="0"/>
          <w:numId w:val="68"/>
        </w:numPr>
        <w:rPr>
          <w:rFonts w:asciiTheme="minorHAnsi" w:hAnsiTheme="minorHAnsi" w:cstheme="minorHAnsi"/>
          <w:lang w:val="fr-FR"/>
        </w:rPr>
      </w:pPr>
      <w:r w:rsidRPr="00C73365">
        <w:rPr>
          <w:rFonts w:asciiTheme="minorHAnsi" w:hAnsiTheme="minorHAnsi" w:cstheme="minorHAnsi"/>
          <w:lang w:val="fr-FR"/>
        </w:rPr>
        <w:t>du développement d’une plateforme destinée à l’identification de molécules antivirales par l’ajout de briques technologiques (robotisation du criblage phénotypique, mise en place de techniques d’imageries pour l’identification de la cible protéique, internalisation des analyses protéomiques/transcriptomiques, enrichissement de la chimiothèque) afin d’optimiser et d’accélérer la découverte de traitements antiviraux innovants</w:t>
      </w:r>
      <w:r w:rsidR="007D4DA8" w:rsidRPr="00C73365">
        <w:rPr>
          <w:rFonts w:asciiTheme="minorHAnsi" w:hAnsiTheme="minorHAnsi" w:cstheme="minorHAnsi"/>
          <w:lang w:val="fr-FR"/>
        </w:rPr>
        <w:t xml:space="preserve"> : </w:t>
      </w:r>
      <w:r w:rsidRPr="00C73365">
        <w:rPr>
          <w:rFonts w:asciiTheme="minorHAnsi" w:hAnsiTheme="minorHAnsi" w:cstheme="minorHAnsi"/>
          <w:lang w:val="fr-FR"/>
        </w:rPr>
        <w:t xml:space="preserve">projet </w:t>
      </w:r>
      <w:r w:rsidR="007E4584" w:rsidRPr="00C73365">
        <w:rPr>
          <w:rFonts w:asciiTheme="minorHAnsi" w:hAnsiTheme="minorHAnsi" w:cstheme="minorHAnsi"/>
          <w:lang w:val="fr-FR"/>
        </w:rPr>
        <w:t>P</w:t>
      </w:r>
      <w:r w:rsidR="000E5435" w:rsidRPr="00C73365">
        <w:rPr>
          <w:rFonts w:asciiTheme="minorHAnsi" w:hAnsiTheme="minorHAnsi" w:cstheme="minorHAnsi"/>
          <w:lang w:val="fr-FR"/>
        </w:rPr>
        <w:t>SPC</w:t>
      </w:r>
      <w:r w:rsidR="007E4584" w:rsidRPr="00C73365">
        <w:rPr>
          <w:rFonts w:asciiTheme="minorHAnsi" w:hAnsiTheme="minorHAnsi" w:cstheme="minorHAnsi"/>
          <w:lang w:val="fr-FR"/>
        </w:rPr>
        <w:t xml:space="preserve"> </w:t>
      </w:r>
      <w:r w:rsidRPr="00C73365">
        <w:rPr>
          <w:rFonts w:asciiTheme="minorHAnsi" w:hAnsiTheme="minorHAnsi" w:cstheme="minorHAnsi"/>
          <w:lang w:val="fr-FR"/>
        </w:rPr>
        <w:t xml:space="preserve">« RNP-VIR » financé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avec subventions et avances remboursables - En cas de succès remboursement de l’aide pour un montant </w:t>
      </w:r>
      <w:r w:rsidR="00484456" w:rsidRPr="00C73365">
        <w:rPr>
          <w:rFonts w:asciiTheme="minorHAnsi" w:hAnsiTheme="minorHAnsi" w:cstheme="minorHAnsi"/>
          <w:lang w:val="fr-FR"/>
        </w:rPr>
        <w:t xml:space="preserve">initial </w:t>
      </w:r>
      <w:r w:rsidR="00BC440C" w:rsidRPr="00C73365">
        <w:rPr>
          <w:rFonts w:asciiTheme="minorHAnsi" w:hAnsiTheme="minorHAnsi" w:cstheme="minorHAnsi"/>
          <w:lang w:val="fr-FR"/>
        </w:rPr>
        <w:t xml:space="preserve">maximum </w:t>
      </w:r>
      <w:r w:rsidRPr="00C73365">
        <w:rPr>
          <w:rFonts w:asciiTheme="minorHAnsi" w:hAnsiTheme="minorHAnsi" w:cstheme="minorHAnsi"/>
          <w:lang w:val="fr-FR"/>
        </w:rPr>
        <w:t xml:space="preserve">de 6 576 000 € </w:t>
      </w:r>
      <w:r w:rsidR="00BC440C" w:rsidRPr="00C73365">
        <w:rPr>
          <w:rFonts w:asciiTheme="minorHAnsi" w:hAnsiTheme="minorHAnsi" w:cstheme="minorHAnsi"/>
          <w:lang w:val="fr-FR"/>
        </w:rPr>
        <w:t xml:space="preserve">(actuellement évalué à 6 348 217 €) </w:t>
      </w:r>
      <w:r w:rsidRPr="00C73365">
        <w:rPr>
          <w:rFonts w:asciiTheme="minorHAnsi" w:hAnsiTheme="minorHAnsi" w:cstheme="minorHAnsi"/>
          <w:lang w:val="fr-FR"/>
        </w:rPr>
        <w:t>et versements complémentaires plafonnés dans le temps et en montants, sur la base des chiffres d’affaires dégagés par le programme.</w:t>
      </w:r>
    </w:p>
    <w:p w:rsidR="00CC4478" w:rsidRPr="00C73365" w:rsidRDefault="00CC4478" w:rsidP="00434C49">
      <w:pPr>
        <w:pStyle w:val="List2"/>
        <w:numPr>
          <w:ilvl w:val="0"/>
          <w:numId w:val="68"/>
        </w:numPr>
        <w:rPr>
          <w:rFonts w:asciiTheme="minorHAnsi" w:hAnsiTheme="minorHAnsi" w:cstheme="minorHAnsi"/>
          <w:lang w:val="fr-FR"/>
        </w:rPr>
      </w:pPr>
      <w:r w:rsidRPr="00C73365">
        <w:rPr>
          <w:rFonts w:asciiTheme="minorHAnsi" w:hAnsiTheme="minorHAnsi" w:cstheme="minorHAnsi"/>
          <w:lang w:val="fr-FR"/>
        </w:rPr>
        <w:t>Du développement d’un traitement basé sur un cocktail d’anticorps polyclonaux contre le virus EBOLA (</w:t>
      </w:r>
      <w:r w:rsidR="00E32CFE" w:rsidRPr="00C73365">
        <w:rPr>
          <w:rFonts w:asciiTheme="minorHAnsi" w:hAnsiTheme="minorHAnsi" w:cstheme="minorHAnsi"/>
          <w:lang w:val="fr-FR"/>
        </w:rPr>
        <w:t>ABX544</w:t>
      </w:r>
      <w:r w:rsidRPr="00C73365">
        <w:rPr>
          <w:rFonts w:asciiTheme="minorHAnsi" w:hAnsiTheme="minorHAnsi" w:cstheme="minorHAnsi"/>
          <w:lang w:val="fr-FR"/>
        </w:rPr>
        <w:t xml:space="preserve">) - POC in vitro et in vivo (rongeur) des anticorps (projet conjointement financé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et la région Occitanie avec des avances remboursables –</w:t>
      </w:r>
      <w:r w:rsidR="006D4CAC" w:rsidRPr="00C73365">
        <w:rPr>
          <w:rFonts w:asciiTheme="minorHAnsi" w:hAnsiTheme="minorHAnsi" w:cstheme="minorHAnsi"/>
          <w:lang w:val="fr-FR"/>
        </w:rPr>
        <w:t xml:space="preserve"> </w:t>
      </w:r>
      <w:r w:rsidRPr="00C73365">
        <w:rPr>
          <w:rFonts w:asciiTheme="minorHAnsi" w:hAnsiTheme="minorHAnsi" w:cstheme="minorHAnsi"/>
          <w:lang w:val="fr-FR"/>
        </w:rPr>
        <w:t xml:space="preserve">remboursement de l’aide pour un montant de </w:t>
      </w:r>
      <w:r w:rsidR="006D4CAC" w:rsidRPr="00C73365">
        <w:rPr>
          <w:rFonts w:asciiTheme="minorHAnsi" w:hAnsiTheme="minorHAnsi" w:cstheme="minorHAnsi"/>
          <w:lang w:val="fr-FR"/>
        </w:rPr>
        <w:t>390 000 €)</w:t>
      </w:r>
    </w:p>
    <w:p w:rsidR="00E92A57"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 l’avenir, la Société entend continuer à solliciter des subventions et des avances remboursables afin d’accélérer son développement.</w:t>
      </w:r>
    </w:p>
    <w:p w:rsidR="00E92A57" w:rsidRDefault="00E92A57">
      <w:pPr>
        <w:spacing w:after="160" w:line="259" w:lineRule="auto"/>
        <w:jc w:val="left"/>
        <w:rPr>
          <w:rFonts w:asciiTheme="minorHAnsi" w:hAnsiTheme="minorHAnsi" w:cstheme="minorHAnsi"/>
          <w:szCs w:val="20"/>
          <w:lang w:val="fr-FR"/>
        </w:rPr>
      </w:pPr>
      <w:r>
        <w:rPr>
          <w:rFonts w:asciiTheme="minorHAnsi" w:hAnsiTheme="minorHAnsi" w:cstheme="minorHAnsi"/>
          <w:lang w:val="fr-FR"/>
        </w:rPr>
        <w:br w:type="page"/>
      </w:r>
    </w:p>
    <w:p w:rsidR="00E92A57" w:rsidRPr="00C73365" w:rsidRDefault="00E92A57" w:rsidP="004572A0">
      <w:pPr>
        <w:pStyle w:val="BodyText"/>
        <w:rPr>
          <w:rFonts w:asciiTheme="minorHAnsi" w:hAnsiTheme="minorHAnsi" w:cstheme="minorHAnsi"/>
          <w:lang w:val="fr-FR"/>
        </w:r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w:t>
      </w:r>
      <w:r w:rsidR="007E4584" w:rsidRPr="00C73365">
        <w:rPr>
          <w:rFonts w:asciiTheme="minorHAnsi" w:hAnsiTheme="minorHAnsi" w:cstheme="minorHAnsi"/>
          <w:lang w:val="fr-FR"/>
        </w:rPr>
        <w:t>31 décembre</w:t>
      </w:r>
      <w:r w:rsidRPr="00C73365">
        <w:rPr>
          <w:rFonts w:asciiTheme="minorHAnsi" w:hAnsiTheme="minorHAnsi" w:cstheme="minorHAnsi"/>
          <w:lang w:val="fr-FR"/>
        </w:rPr>
        <w:t xml:space="preserve"> </w:t>
      </w:r>
      <w:r w:rsidR="006A5CED" w:rsidRPr="00C73365">
        <w:rPr>
          <w:rFonts w:asciiTheme="minorHAnsi" w:hAnsiTheme="minorHAnsi" w:cstheme="minorHAnsi"/>
          <w:lang w:val="fr-FR"/>
        </w:rPr>
        <w:t xml:space="preserve">2017 </w:t>
      </w:r>
      <w:r w:rsidRPr="00C73365">
        <w:rPr>
          <w:rFonts w:asciiTheme="minorHAnsi" w:hAnsiTheme="minorHAnsi" w:cstheme="minorHAnsi"/>
          <w:lang w:val="fr-FR"/>
        </w:rPr>
        <w:t xml:space="preserve">et depuis sa création, la Société a bénéficié des aides suivantes, décrites au chapitre 22 : </w:t>
      </w:r>
    </w:p>
    <w:tbl>
      <w:tblPr>
        <w:tblW w:w="10314" w:type="dxa"/>
        <w:tblLook w:val="04A0" w:firstRow="1" w:lastRow="0" w:firstColumn="1" w:lastColumn="0" w:noHBand="0" w:noVBand="1"/>
      </w:tblPr>
      <w:tblGrid>
        <w:gridCol w:w="3227"/>
        <w:gridCol w:w="1408"/>
        <w:gridCol w:w="877"/>
        <w:gridCol w:w="1096"/>
        <w:gridCol w:w="1057"/>
        <w:gridCol w:w="1135"/>
        <w:gridCol w:w="1514"/>
      </w:tblGrid>
      <w:tr w:rsidR="0085274D" w:rsidRPr="00F06F79" w:rsidTr="00A96CCA">
        <w:trPr>
          <w:trHeight w:val="605"/>
        </w:trPr>
        <w:tc>
          <w:tcPr>
            <w:tcW w:w="3262" w:type="dxa"/>
            <w:tcBorders>
              <w:top w:val="single" w:sz="12" w:space="0" w:color="7030A0"/>
              <w:left w:val="nil"/>
              <w:bottom w:val="single" w:sz="6" w:space="0" w:color="7030A0"/>
              <w:right w:val="nil"/>
            </w:tcBorders>
            <w:shd w:val="clear" w:color="auto" w:fill="auto"/>
            <w:vAlign w:val="center"/>
            <w:hideMark/>
          </w:tcPr>
          <w:p w:rsidR="0085274D" w:rsidRPr="00C73365" w:rsidRDefault="0085274D" w:rsidP="00A96CCA">
            <w:pPr>
              <w:spacing w:after="0"/>
              <w:rPr>
                <w:rFonts w:asciiTheme="minorHAnsi" w:hAnsiTheme="minorHAnsi" w:cstheme="minorHAnsi"/>
                <w:b/>
                <w:bCs/>
                <w:color w:val="000000"/>
                <w:sz w:val="18"/>
                <w:szCs w:val="18"/>
                <w:lang w:val="fr-FR"/>
              </w:rPr>
            </w:pPr>
            <w:r w:rsidRPr="00C73365">
              <w:rPr>
                <w:rFonts w:asciiTheme="minorHAnsi" w:hAnsiTheme="minorHAnsi" w:cstheme="minorHAnsi"/>
                <w:b/>
                <w:bCs/>
                <w:color w:val="000000"/>
                <w:sz w:val="18"/>
                <w:szCs w:val="18"/>
                <w:lang w:val="fr-FR"/>
              </w:rPr>
              <w:t>Au 31 décembre 2017</w:t>
            </w:r>
          </w:p>
          <w:p w:rsidR="004554C2" w:rsidRPr="00C73365" w:rsidRDefault="004554C2" w:rsidP="00A96CCA">
            <w:pPr>
              <w:spacing w:after="0"/>
              <w:rPr>
                <w:rFonts w:asciiTheme="minorHAnsi" w:hAnsiTheme="minorHAnsi" w:cstheme="minorHAnsi"/>
                <w:bCs/>
                <w:color w:val="000000"/>
                <w:sz w:val="18"/>
                <w:szCs w:val="18"/>
                <w:lang w:val="fr-FR"/>
              </w:rPr>
            </w:pPr>
            <w:r w:rsidRPr="00C73365">
              <w:rPr>
                <w:rFonts w:asciiTheme="minorHAnsi" w:hAnsiTheme="minorHAnsi" w:cstheme="minorHAnsi"/>
                <w:bCs/>
                <w:color w:val="000000"/>
                <w:sz w:val="18"/>
                <w:szCs w:val="18"/>
                <w:lang w:val="fr-FR"/>
              </w:rPr>
              <w:t>En millieurs d’euros</w:t>
            </w:r>
          </w:p>
        </w:tc>
        <w:tc>
          <w:tcPr>
            <w:tcW w:w="1408" w:type="dxa"/>
            <w:tcBorders>
              <w:top w:val="single" w:sz="12" w:space="0" w:color="7030A0"/>
              <w:left w:val="nil"/>
              <w:bottom w:val="single" w:sz="6" w:space="0" w:color="7030A0"/>
              <w:right w:val="nil"/>
            </w:tcBorders>
            <w:shd w:val="clear" w:color="auto" w:fill="auto"/>
            <w:vAlign w:val="center"/>
            <w:hideMark/>
          </w:tcPr>
          <w:p w:rsidR="0085274D" w:rsidRPr="00C73365" w:rsidRDefault="0085274D" w:rsidP="00A96CCA">
            <w:pPr>
              <w:spacing w:after="0"/>
              <w:rPr>
                <w:rFonts w:asciiTheme="minorHAnsi" w:hAnsiTheme="minorHAnsi" w:cstheme="minorHAnsi"/>
                <w:b/>
                <w:bCs/>
                <w:color w:val="000000"/>
                <w:sz w:val="18"/>
                <w:szCs w:val="18"/>
              </w:rPr>
            </w:pPr>
            <w:r w:rsidRPr="00C73365">
              <w:rPr>
                <w:rFonts w:asciiTheme="minorHAnsi" w:hAnsiTheme="minorHAnsi" w:cstheme="minorHAnsi"/>
                <w:b/>
                <w:bCs/>
                <w:color w:val="000000"/>
                <w:sz w:val="18"/>
                <w:szCs w:val="18"/>
              </w:rPr>
              <w:t>Situation du contrat</w:t>
            </w:r>
          </w:p>
        </w:tc>
        <w:tc>
          <w:tcPr>
            <w:tcW w:w="877" w:type="dxa"/>
            <w:tcBorders>
              <w:top w:val="single" w:sz="12" w:space="0" w:color="7030A0"/>
              <w:left w:val="nil"/>
              <w:bottom w:val="single" w:sz="6"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b/>
                <w:bCs/>
                <w:color w:val="000000"/>
                <w:sz w:val="18"/>
                <w:szCs w:val="18"/>
              </w:rPr>
            </w:pPr>
            <w:r w:rsidRPr="00C73365">
              <w:rPr>
                <w:rFonts w:asciiTheme="minorHAnsi" w:hAnsiTheme="minorHAnsi" w:cstheme="minorHAnsi"/>
                <w:b/>
                <w:bCs/>
                <w:color w:val="000000"/>
                <w:sz w:val="18"/>
                <w:szCs w:val="18"/>
              </w:rPr>
              <w:t xml:space="preserve">Montant accordé </w:t>
            </w:r>
          </w:p>
        </w:tc>
        <w:tc>
          <w:tcPr>
            <w:tcW w:w="1100" w:type="dxa"/>
            <w:tcBorders>
              <w:top w:val="single" w:sz="12" w:space="0" w:color="7030A0"/>
              <w:left w:val="nil"/>
              <w:bottom w:val="single" w:sz="6"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b/>
                <w:bCs/>
                <w:color w:val="000000"/>
                <w:sz w:val="18"/>
                <w:szCs w:val="18"/>
              </w:rPr>
            </w:pPr>
            <w:r w:rsidRPr="00C73365">
              <w:rPr>
                <w:rFonts w:asciiTheme="minorHAnsi" w:hAnsiTheme="minorHAnsi" w:cstheme="minorHAnsi"/>
                <w:b/>
                <w:bCs/>
                <w:color w:val="000000"/>
                <w:sz w:val="18"/>
                <w:szCs w:val="18"/>
              </w:rPr>
              <w:t xml:space="preserve">Montant encaissé </w:t>
            </w:r>
          </w:p>
        </w:tc>
        <w:tc>
          <w:tcPr>
            <w:tcW w:w="1008" w:type="dxa"/>
            <w:tcBorders>
              <w:top w:val="single" w:sz="12" w:space="0" w:color="7030A0"/>
              <w:left w:val="nil"/>
              <w:bottom w:val="single" w:sz="6"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b/>
                <w:bCs/>
                <w:color w:val="000000"/>
                <w:sz w:val="18"/>
                <w:szCs w:val="18"/>
              </w:rPr>
            </w:pPr>
            <w:r w:rsidRPr="00C73365">
              <w:rPr>
                <w:rFonts w:asciiTheme="minorHAnsi" w:hAnsiTheme="minorHAnsi" w:cstheme="minorHAnsi"/>
                <w:b/>
                <w:bCs/>
                <w:color w:val="000000"/>
                <w:sz w:val="18"/>
                <w:szCs w:val="18"/>
              </w:rPr>
              <w:t>Montant restant à percevoir</w:t>
            </w:r>
            <w:r w:rsidRPr="00C73365">
              <w:rPr>
                <w:rFonts w:asciiTheme="minorHAnsi" w:hAnsiTheme="minorHAnsi" w:cstheme="minorHAnsi"/>
                <w:color w:val="7030A0"/>
                <w:sz w:val="18"/>
                <w:szCs w:val="18"/>
                <w:vertAlign w:val="superscript"/>
              </w:rPr>
              <w:t>(2)</w:t>
            </w:r>
          </w:p>
        </w:tc>
        <w:tc>
          <w:tcPr>
            <w:tcW w:w="1137" w:type="dxa"/>
            <w:tcBorders>
              <w:top w:val="single" w:sz="12" w:space="0" w:color="7030A0"/>
              <w:left w:val="nil"/>
              <w:bottom w:val="single" w:sz="6"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b/>
                <w:bCs/>
                <w:color w:val="000000"/>
                <w:sz w:val="18"/>
                <w:szCs w:val="18"/>
              </w:rPr>
            </w:pPr>
            <w:r w:rsidRPr="00C73365">
              <w:rPr>
                <w:rFonts w:asciiTheme="minorHAnsi" w:hAnsiTheme="minorHAnsi" w:cstheme="minorHAnsi"/>
                <w:b/>
                <w:bCs/>
                <w:color w:val="000000"/>
                <w:sz w:val="18"/>
                <w:szCs w:val="18"/>
              </w:rPr>
              <w:t>Montant remboursé</w:t>
            </w:r>
          </w:p>
        </w:tc>
        <w:tc>
          <w:tcPr>
            <w:tcW w:w="1522" w:type="dxa"/>
            <w:tcBorders>
              <w:top w:val="single" w:sz="12" w:space="0" w:color="7030A0"/>
              <w:left w:val="nil"/>
              <w:bottom w:val="single" w:sz="6"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b/>
                <w:bCs/>
                <w:color w:val="000000"/>
                <w:sz w:val="18"/>
                <w:szCs w:val="18"/>
                <w:lang w:val="fr-FR"/>
              </w:rPr>
            </w:pPr>
            <w:r w:rsidRPr="00C73365">
              <w:rPr>
                <w:rFonts w:asciiTheme="minorHAnsi" w:hAnsiTheme="minorHAnsi" w:cstheme="minorHAnsi"/>
                <w:b/>
                <w:bCs/>
                <w:color w:val="000000"/>
                <w:sz w:val="18"/>
                <w:szCs w:val="18"/>
                <w:lang w:val="fr-FR"/>
              </w:rPr>
              <w:t>Montant à rembourser sauf en cas d</w:t>
            </w:r>
            <w:r w:rsidR="004572A0" w:rsidRPr="00C73365">
              <w:rPr>
                <w:rFonts w:asciiTheme="minorHAnsi" w:hAnsiTheme="minorHAnsi" w:cstheme="minorHAnsi"/>
                <w:b/>
                <w:bCs/>
                <w:color w:val="000000"/>
                <w:sz w:val="18"/>
                <w:szCs w:val="18"/>
                <w:lang w:val="fr-FR"/>
              </w:rPr>
              <w:t>’</w:t>
            </w:r>
            <w:r w:rsidRPr="00C73365">
              <w:rPr>
                <w:rFonts w:asciiTheme="minorHAnsi" w:hAnsiTheme="minorHAnsi" w:cstheme="minorHAnsi"/>
                <w:b/>
                <w:bCs/>
                <w:color w:val="000000"/>
                <w:sz w:val="18"/>
                <w:szCs w:val="18"/>
                <w:lang w:val="fr-FR"/>
              </w:rPr>
              <w:t>échec constaté</w:t>
            </w:r>
            <w:r w:rsidR="000A4880" w:rsidRPr="00C73365">
              <w:rPr>
                <w:rFonts w:asciiTheme="minorHAnsi" w:hAnsiTheme="minorHAnsi" w:cstheme="minorHAnsi"/>
                <w:b/>
                <w:bCs/>
                <w:color w:val="000000"/>
                <w:sz w:val="18"/>
                <w:szCs w:val="18"/>
                <w:lang w:val="fr-FR"/>
              </w:rPr>
              <w:t xml:space="preserve"> </w:t>
            </w:r>
            <w:r w:rsidRPr="00C73365">
              <w:rPr>
                <w:rFonts w:asciiTheme="minorHAnsi" w:hAnsiTheme="minorHAnsi" w:cstheme="minorHAnsi"/>
                <w:color w:val="7030A0"/>
                <w:sz w:val="18"/>
                <w:szCs w:val="18"/>
                <w:vertAlign w:val="superscript"/>
                <w:lang w:val="fr-FR"/>
              </w:rPr>
              <w:t>(1)</w:t>
            </w:r>
          </w:p>
        </w:tc>
      </w:tr>
      <w:tr w:rsidR="0085274D" w:rsidRPr="00C73365" w:rsidTr="00A96CCA">
        <w:trPr>
          <w:trHeight w:val="553"/>
        </w:trPr>
        <w:tc>
          <w:tcPr>
            <w:tcW w:w="3262" w:type="dxa"/>
            <w:tcBorders>
              <w:top w:val="single" w:sz="6" w:space="0" w:color="7030A0"/>
              <w:left w:val="nil"/>
              <w:bottom w:val="nil"/>
              <w:right w:val="nil"/>
            </w:tcBorders>
            <w:shd w:val="clear" w:color="auto" w:fill="auto"/>
            <w:vAlign w:val="center"/>
            <w:hideMark/>
          </w:tcPr>
          <w:p w:rsidR="0085274D" w:rsidRPr="00C73365" w:rsidRDefault="0085274D" w:rsidP="00A96CCA">
            <w:pPr>
              <w:spacing w:after="0"/>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Projet ISI-CaReNA (part Subventions)</w:t>
            </w:r>
          </w:p>
        </w:tc>
        <w:tc>
          <w:tcPr>
            <w:tcW w:w="1408" w:type="dxa"/>
            <w:tcBorders>
              <w:top w:val="single" w:sz="6" w:space="0" w:color="7030A0"/>
              <w:left w:val="nil"/>
              <w:bottom w:val="nil"/>
              <w:right w:val="nil"/>
            </w:tcBorders>
            <w:shd w:val="clear" w:color="auto" w:fill="auto"/>
            <w:vAlign w:val="center"/>
            <w:hideMark/>
          </w:tcPr>
          <w:p w:rsidR="0085274D" w:rsidRPr="00C73365" w:rsidRDefault="0085274D" w:rsidP="00A96CCA">
            <w:pPr>
              <w:spacing w:after="0"/>
              <w:jc w:val="right"/>
              <w:rPr>
                <w:rFonts w:asciiTheme="minorHAnsi" w:hAnsiTheme="minorHAnsi" w:cstheme="minorHAnsi"/>
                <w:color w:val="000000"/>
                <w:sz w:val="18"/>
                <w:szCs w:val="18"/>
              </w:rPr>
            </w:pPr>
            <w:r w:rsidRPr="00C73365">
              <w:rPr>
                <w:rFonts w:asciiTheme="minorHAnsi" w:hAnsiTheme="minorHAnsi" w:cstheme="minorHAnsi"/>
                <w:color w:val="000000"/>
                <w:sz w:val="18"/>
                <w:szCs w:val="18"/>
              </w:rPr>
              <w:t>En cours d’exécution</w:t>
            </w:r>
          </w:p>
        </w:tc>
        <w:tc>
          <w:tcPr>
            <w:tcW w:w="877" w:type="dxa"/>
            <w:tcBorders>
              <w:top w:val="single" w:sz="6" w:space="0" w:color="7030A0"/>
              <w:left w:val="nil"/>
              <w:bottom w:val="nil"/>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1 397</w:t>
            </w:r>
          </w:p>
        </w:tc>
        <w:tc>
          <w:tcPr>
            <w:tcW w:w="1100" w:type="dxa"/>
            <w:tcBorders>
              <w:top w:val="single" w:sz="6" w:space="0" w:color="7030A0"/>
              <w:left w:val="nil"/>
              <w:bottom w:val="nil"/>
              <w:right w:val="nil"/>
            </w:tcBorders>
            <w:shd w:val="clear" w:color="auto" w:fill="auto"/>
            <w:vAlign w:val="center"/>
            <w:hideMark/>
          </w:tcPr>
          <w:p w:rsidR="0085274D" w:rsidRPr="00C73365" w:rsidRDefault="0011727E"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1 187</w:t>
            </w:r>
          </w:p>
        </w:tc>
        <w:tc>
          <w:tcPr>
            <w:tcW w:w="1008" w:type="dxa"/>
            <w:tcBorders>
              <w:top w:val="single" w:sz="6" w:space="0" w:color="7030A0"/>
              <w:left w:val="nil"/>
              <w:bottom w:val="nil"/>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210</w:t>
            </w:r>
          </w:p>
        </w:tc>
        <w:tc>
          <w:tcPr>
            <w:tcW w:w="1137" w:type="dxa"/>
            <w:tcBorders>
              <w:top w:val="single" w:sz="6" w:space="0" w:color="7030A0"/>
              <w:left w:val="nil"/>
              <w:bottom w:val="nil"/>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p>
        </w:tc>
        <w:tc>
          <w:tcPr>
            <w:tcW w:w="1522" w:type="dxa"/>
            <w:tcBorders>
              <w:top w:val="single" w:sz="6" w:space="0" w:color="7030A0"/>
              <w:left w:val="nil"/>
              <w:bottom w:val="nil"/>
              <w:right w:val="nil"/>
            </w:tcBorders>
            <w:shd w:val="clear" w:color="auto" w:fill="auto"/>
            <w:vAlign w:val="center"/>
            <w:hideMark/>
          </w:tcPr>
          <w:p w:rsidR="0085274D" w:rsidRPr="00C73365" w:rsidRDefault="0085274D" w:rsidP="00A96CCA">
            <w:pPr>
              <w:spacing w:after="0"/>
              <w:rPr>
                <w:rFonts w:asciiTheme="minorHAnsi" w:hAnsiTheme="minorHAnsi" w:cstheme="minorHAnsi"/>
                <w:szCs w:val="20"/>
              </w:rPr>
            </w:pPr>
          </w:p>
        </w:tc>
      </w:tr>
      <w:tr w:rsidR="0085274D" w:rsidRPr="00C73365" w:rsidTr="00A96CCA">
        <w:trPr>
          <w:trHeight w:val="181"/>
        </w:trPr>
        <w:tc>
          <w:tcPr>
            <w:tcW w:w="3262"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Projet ISI-CaReNA (part Avances Remboursables)</w:t>
            </w:r>
          </w:p>
        </w:tc>
        <w:tc>
          <w:tcPr>
            <w:tcW w:w="1408"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right"/>
              <w:rPr>
                <w:rFonts w:asciiTheme="minorHAnsi" w:hAnsiTheme="minorHAnsi" w:cstheme="minorHAnsi"/>
                <w:color w:val="000000"/>
                <w:sz w:val="18"/>
                <w:szCs w:val="18"/>
              </w:rPr>
            </w:pPr>
            <w:r w:rsidRPr="00C73365">
              <w:rPr>
                <w:rFonts w:asciiTheme="minorHAnsi" w:hAnsiTheme="minorHAnsi" w:cstheme="minorHAnsi"/>
                <w:color w:val="000000"/>
                <w:sz w:val="18"/>
                <w:szCs w:val="18"/>
              </w:rPr>
              <w:t>En cours d’exécution</w:t>
            </w:r>
          </w:p>
        </w:tc>
        <w:tc>
          <w:tcPr>
            <w:tcW w:w="877"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3 830</w:t>
            </w:r>
          </w:p>
        </w:tc>
        <w:tc>
          <w:tcPr>
            <w:tcW w:w="1100"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2 187</w:t>
            </w:r>
          </w:p>
        </w:tc>
        <w:tc>
          <w:tcPr>
            <w:tcW w:w="1008" w:type="dxa"/>
            <w:tcBorders>
              <w:top w:val="nil"/>
              <w:left w:val="nil"/>
              <w:bottom w:val="single" w:sz="8" w:space="0" w:color="7030A0"/>
              <w:right w:val="nil"/>
            </w:tcBorders>
            <w:shd w:val="clear" w:color="auto" w:fill="auto"/>
            <w:vAlign w:val="center"/>
            <w:hideMark/>
          </w:tcPr>
          <w:p w:rsidR="0085274D" w:rsidRPr="00C73365" w:rsidRDefault="002A6E06" w:rsidP="00A96CCA">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1 643</w:t>
            </w:r>
          </w:p>
        </w:tc>
        <w:tc>
          <w:tcPr>
            <w:tcW w:w="1137"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522" w:type="dxa"/>
            <w:tcBorders>
              <w:top w:val="nil"/>
              <w:left w:val="nil"/>
              <w:bottom w:val="single" w:sz="8" w:space="0" w:color="7030A0"/>
              <w:right w:val="nil"/>
            </w:tcBorders>
            <w:shd w:val="clear" w:color="auto" w:fill="auto"/>
            <w:vAlign w:val="center"/>
            <w:hideMark/>
          </w:tcPr>
          <w:p w:rsidR="0085274D" w:rsidRPr="00C73365" w:rsidRDefault="002835F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3 830</w:t>
            </w:r>
            <w:r w:rsidR="00D01236" w:rsidRPr="00C73365">
              <w:rPr>
                <w:rFonts w:asciiTheme="minorHAnsi" w:hAnsiTheme="minorHAnsi" w:cstheme="minorHAnsi"/>
                <w:color w:val="000000"/>
                <w:szCs w:val="20"/>
              </w:rPr>
              <w:t>*</w:t>
            </w:r>
          </w:p>
        </w:tc>
      </w:tr>
      <w:tr w:rsidR="0085274D" w:rsidRPr="00C73365" w:rsidTr="00A96CCA">
        <w:trPr>
          <w:trHeight w:val="553"/>
        </w:trPr>
        <w:tc>
          <w:tcPr>
            <w:tcW w:w="3262" w:type="dxa"/>
            <w:tcBorders>
              <w:top w:val="single" w:sz="8" w:space="0" w:color="7030A0"/>
              <w:left w:val="nil"/>
              <w:bottom w:val="single" w:sz="8" w:space="0" w:color="7030A0"/>
              <w:right w:val="nil"/>
            </w:tcBorders>
            <w:shd w:val="clear" w:color="auto" w:fill="auto"/>
            <w:vAlign w:val="center"/>
            <w:hideMark/>
          </w:tcPr>
          <w:p w:rsidR="0085274D" w:rsidRPr="00C73365" w:rsidRDefault="0085274D" w:rsidP="00A96CCA">
            <w:pPr>
              <w:spacing w:after="0"/>
              <w:rPr>
                <w:rFonts w:asciiTheme="minorHAnsi" w:hAnsiTheme="minorHAnsi" w:cstheme="minorHAnsi"/>
                <w:color w:val="000000"/>
                <w:sz w:val="18"/>
                <w:szCs w:val="18"/>
                <w:lang w:val="fr-FR"/>
              </w:rPr>
            </w:pPr>
            <w:bookmarkStart w:id="48" w:name="_Hlk509938810"/>
            <w:r w:rsidRPr="00C73365">
              <w:rPr>
                <w:rFonts w:asciiTheme="minorHAnsi" w:hAnsiTheme="minorHAnsi" w:cstheme="minorHAnsi"/>
                <w:color w:val="000000"/>
                <w:sz w:val="18"/>
                <w:szCs w:val="18"/>
                <w:lang w:val="fr-FR"/>
              </w:rPr>
              <w:t xml:space="preserve">Aide conjointe </w:t>
            </w:r>
            <w:r w:rsidR="001479F8">
              <w:rPr>
                <w:rFonts w:asciiTheme="minorHAnsi" w:hAnsiTheme="minorHAnsi" w:cstheme="minorHAnsi"/>
                <w:color w:val="000000"/>
                <w:sz w:val="18"/>
                <w:szCs w:val="18"/>
                <w:lang w:val="fr-FR"/>
              </w:rPr>
              <w:t>Bpifrance</w:t>
            </w:r>
            <w:r w:rsidRPr="00C73365">
              <w:rPr>
                <w:rFonts w:asciiTheme="minorHAnsi" w:hAnsiTheme="minorHAnsi" w:cstheme="minorHAnsi"/>
                <w:color w:val="000000"/>
                <w:sz w:val="18"/>
                <w:szCs w:val="18"/>
                <w:lang w:val="fr-FR"/>
              </w:rPr>
              <w:t xml:space="preserve"> et Feder</w:t>
            </w:r>
            <w:r w:rsidR="004554C2" w:rsidRPr="00C73365">
              <w:rPr>
                <w:rFonts w:asciiTheme="minorHAnsi" w:hAnsiTheme="minorHAnsi" w:cstheme="minorHAnsi"/>
                <w:color w:val="000000"/>
                <w:sz w:val="18"/>
                <w:szCs w:val="18"/>
                <w:lang w:val="fr-FR"/>
              </w:rPr>
              <w:t xml:space="preserve">       (A 10 06 002G)</w:t>
            </w:r>
            <w:bookmarkEnd w:id="48"/>
          </w:p>
        </w:tc>
        <w:tc>
          <w:tcPr>
            <w:tcW w:w="1408" w:type="dxa"/>
            <w:tcBorders>
              <w:top w:val="single" w:sz="8" w:space="0" w:color="7030A0"/>
              <w:left w:val="nil"/>
              <w:bottom w:val="single" w:sz="8" w:space="0" w:color="7030A0"/>
              <w:right w:val="nil"/>
            </w:tcBorders>
            <w:shd w:val="clear" w:color="auto" w:fill="auto"/>
            <w:vAlign w:val="center"/>
            <w:hideMark/>
          </w:tcPr>
          <w:p w:rsidR="0085274D" w:rsidRPr="00C73365" w:rsidRDefault="0085274D" w:rsidP="00A96CCA">
            <w:pPr>
              <w:spacing w:after="0"/>
              <w:jc w:val="right"/>
              <w:rPr>
                <w:rFonts w:asciiTheme="minorHAnsi" w:hAnsiTheme="minorHAnsi" w:cstheme="minorHAnsi"/>
                <w:color w:val="000000"/>
                <w:sz w:val="18"/>
                <w:szCs w:val="18"/>
              </w:rPr>
            </w:pPr>
            <w:r w:rsidRPr="00C73365">
              <w:rPr>
                <w:rFonts w:asciiTheme="minorHAnsi" w:hAnsiTheme="minorHAnsi" w:cstheme="minorHAnsi"/>
                <w:color w:val="000000"/>
                <w:sz w:val="18"/>
                <w:szCs w:val="18"/>
              </w:rPr>
              <w:t>En cours de remboursement</w:t>
            </w:r>
          </w:p>
        </w:tc>
        <w:tc>
          <w:tcPr>
            <w:tcW w:w="877" w:type="dxa"/>
            <w:tcBorders>
              <w:top w:val="single" w:sz="8" w:space="0" w:color="7030A0"/>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800</w:t>
            </w:r>
          </w:p>
        </w:tc>
        <w:tc>
          <w:tcPr>
            <w:tcW w:w="1100" w:type="dxa"/>
            <w:tcBorders>
              <w:top w:val="single" w:sz="8" w:space="0" w:color="7030A0"/>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800</w:t>
            </w:r>
          </w:p>
        </w:tc>
        <w:tc>
          <w:tcPr>
            <w:tcW w:w="1008" w:type="dxa"/>
            <w:tcBorders>
              <w:top w:val="single" w:sz="8" w:space="0" w:color="7030A0"/>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137" w:type="dxa"/>
            <w:tcBorders>
              <w:top w:val="single" w:sz="8" w:space="0" w:color="7030A0"/>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630</w:t>
            </w:r>
          </w:p>
        </w:tc>
        <w:tc>
          <w:tcPr>
            <w:tcW w:w="1522" w:type="dxa"/>
            <w:tcBorders>
              <w:top w:val="single" w:sz="8" w:space="0" w:color="7030A0"/>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170</w:t>
            </w:r>
            <w:r w:rsidR="00D01236" w:rsidRPr="00C73365">
              <w:rPr>
                <w:rFonts w:asciiTheme="minorHAnsi" w:hAnsiTheme="minorHAnsi" w:cstheme="minorHAnsi"/>
                <w:color w:val="000000"/>
                <w:szCs w:val="20"/>
              </w:rPr>
              <w:t>*</w:t>
            </w:r>
          </w:p>
          <w:p w:rsidR="004554C2" w:rsidRPr="00C73365" w:rsidRDefault="004554C2"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 w:val="16"/>
                <w:szCs w:val="16"/>
              </w:rPr>
              <w:t>(non conditionné au succès)</w:t>
            </w:r>
          </w:p>
        </w:tc>
      </w:tr>
      <w:tr w:rsidR="0085274D" w:rsidRPr="00C73365" w:rsidTr="00A96CCA">
        <w:trPr>
          <w:trHeight w:val="332"/>
        </w:trPr>
        <w:tc>
          <w:tcPr>
            <w:tcW w:w="3262" w:type="dxa"/>
            <w:tcBorders>
              <w:top w:val="single" w:sz="8" w:space="0" w:color="7030A0"/>
              <w:left w:val="nil"/>
              <w:bottom w:val="nil"/>
              <w:right w:val="nil"/>
            </w:tcBorders>
            <w:shd w:val="clear" w:color="auto" w:fill="auto"/>
            <w:vAlign w:val="center"/>
            <w:hideMark/>
          </w:tcPr>
          <w:p w:rsidR="0085274D" w:rsidRPr="00C73365" w:rsidRDefault="0085274D"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lang w:val="fr-FR"/>
              </w:rPr>
              <w:t>Projet RNP-VIR (Subventions)</w:t>
            </w:r>
          </w:p>
        </w:tc>
        <w:tc>
          <w:tcPr>
            <w:tcW w:w="1408" w:type="dxa"/>
            <w:tcBorders>
              <w:top w:val="single" w:sz="8" w:space="0" w:color="7030A0"/>
              <w:left w:val="nil"/>
              <w:bottom w:val="nil"/>
              <w:right w:val="nil"/>
            </w:tcBorders>
            <w:shd w:val="clear" w:color="auto" w:fill="auto"/>
            <w:vAlign w:val="center"/>
            <w:hideMark/>
          </w:tcPr>
          <w:p w:rsidR="0085274D" w:rsidRPr="00C73365" w:rsidRDefault="0085274D" w:rsidP="00A96CCA">
            <w:pPr>
              <w:spacing w:after="0"/>
              <w:jc w:val="right"/>
              <w:rPr>
                <w:rFonts w:asciiTheme="minorHAnsi" w:hAnsiTheme="minorHAnsi" w:cstheme="minorHAnsi"/>
                <w:color w:val="000000"/>
                <w:sz w:val="18"/>
                <w:szCs w:val="18"/>
              </w:rPr>
            </w:pPr>
            <w:r w:rsidRPr="00C73365">
              <w:rPr>
                <w:rFonts w:asciiTheme="minorHAnsi" w:hAnsiTheme="minorHAnsi" w:cstheme="minorHAnsi"/>
                <w:color w:val="000000"/>
                <w:sz w:val="18"/>
                <w:szCs w:val="18"/>
                <w:lang w:val="fr-FR"/>
              </w:rPr>
              <w:t>En cours d’exécution</w:t>
            </w:r>
          </w:p>
        </w:tc>
        <w:tc>
          <w:tcPr>
            <w:tcW w:w="877" w:type="dxa"/>
            <w:tcBorders>
              <w:top w:val="single" w:sz="8" w:space="0" w:color="7030A0"/>
              <w:left w:val="nil"/>
              <w:bottom w:val="nil"/>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2 112</w:t>
            </w:r>
          </w:p>
        </w:tc>
        <w:tc>
          <w:tcPr>
            <w:tcW w:w="1100" w:type="dxa"/>
            <w:tcBorders>
              <w:top w:val="single" w:sz="8" w:space="0" w:color="7030A0"/>
              <w:left w:val="nil"/>
              <w:bottom w:val="nil"/>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347</w:t>
            </w:r>
          </w:p>
        </w:tc>
        <w:tc>
          <w:tcPr>
            <w:tcW w:w="1008" w:type="dxa"/>
            <w:tcBorders>
              <w:top w:val="single" w:sz="8" w:space="0" w:color="7030A0"/>
              <w:left w:val="nil"/>
              <w:bottom w:val="nil"/>
              <w:right w:val="nil"/>
            </w:tcBorders>
            <w:shd w:val="clear" w:color="auto" w:fill="auto"/>
            <w:vAlign w:val="center"/>
            <w:hideMark/>
          </w:tcPr>
          <w:p w:rsidR="0085274D" w:rsidRPr="00C73365" w:rsidRDefault="002835F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1 765</w:t>
            </w:r>
          </w:p>
        </w:tc>
        <w:tc>
          <w:tcPr>
            <w:tcW w:w="1137" w:type="dxa"/>
            <w:tcBorders>
              <w:top w:val="single" w:sz="8" w:space="0" w:color="7030A0"/>
              <w:left w:val="nil"/>
              <w:bottom w:val="nil"/>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p>
        </w:tc>
        <w:tc>
          <w:tcPr>
            <w:tcW w:w="1522" w:type="dxa"/>
            <w:tcBorders>
              <w:top w:val="single" w:sz="8" w:space="0" w:color="7030A0"/>
              <w:left w:val="nil"/>
              <w:bottom w:val="nil"/>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 </w:t>
            </w:r>
          </w:p>
        </w:tc>
      </w:tr>
      <w:tr w:rsidR="0085274D" w:rsidRPr="00C73365" w:rsidTr="00A96CCA">
        <w:trPr>
          <w:trHeight w:val="345"/>
        </w:trPr>
        <w:tc>
          <w:tcPr>
            <w:tcW w:w="3262"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RNP-VIR (Avances Remboursables)</w:t>
            </w:r>
          </w:p>
        </w:tc>
        <w:tc>
          <w:tcPr>
            <w:tcW w:w="1408"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right"/>
              <w:rPr>
                <w:rFonts w:asciiTheme="minorHAnsi" w:hAnsiTheme="minorHAnsi" w:cstheme="minorHAnsi"/>
                <w:color w:val="000000"/>
                <w:sz w:val="18"/>
                <w:szCs w:val="18"/>
              </w:rPr>
            </w:pPr>
            <w:r w:rsidRPr="00C73365">
              <w:rPr>
                <w:rFonts w:asciiTheme="minorHAnsi" w:hAnsiTheme="minorHAnsi" w:cstheme="minorHAnsi"/>
                <w:color w:val="000000"/>
                <w:sz w:val="18"/>
                <w:szCs w:val="18"/>
                <w:lang w:val="fr-FR"/>
              </w:rPr>
              <w:t>En cours d’exécution</w:t>
            </w:r>
          </w:p>
        </w:tc>
        <w:tc>
          <w:tcPr>
            <w:tcW w:w="877"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6 298</w:t>
            </w:r>
          </w:p>
        </w:tc>
        <w:tc>
          <w:tcPr>
            <w:tcW w:w="1100"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1756</w:t>
            </w:r>
          </w:p>
        </w:tc>
        <w:tc>
          <w:tcPr>
            <w:tcW w:w="1008" w:type="dxa"/>
            <w:tcBorders>
              <w:top w:val="nil"/>
              <w:left w:val="nil"/>
              <w:bottom w:val="single" w:sz="8" w:space="0" w:color="7030A0"/>
              <w:right w:val="nil"/>
            </w:tcBorders>
            <w:shd w:val="clear" w:color="auto" w:fill="auto"/>
            <w:vAlign w:val="center"/>
            <w:hideMark/>
          </w:tcPr>
          <w:p w:rsidR="0085274D" w:rsidRPr="00C73365" w:rsidRDefault="002835F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4 542</w:t>
            </w:r>
          </w:p>
        </w:tc>
        <w:tc>
          <w:tcPr>
            <w:tcW w:w="1137"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 </w:t>
            </w:r>
          </w:p>
        </w:tc>
        <w:tc>
          <w:tcPr>
            <w:tcW w:w="1522" w:type="dxa"/>
            <w:tcBorders>
              <w:top w:val="nil"/>
              <w:left w:val="nil"/>
              <w:bottom w:val="single" w:sz="8" w:space="0" w:color="7030A0"/>
              <w:right w:val="nil"/>
            </w:tcBorders>
            <w:shd w:val="clear" w:color="auto" w:fill="auto"/>
            <w:vAlign w:val="center"/>
            <w:hideMark/>
          </w:tcPr>
          <w:p w:rsidR="0085274D" w:rsidRPr="00C73365" w:rsidRDefault="002835F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6 298</w:t>
            </w:r>
            <w:r w:rsidR="00D01236" w:rsidRPr="00C73365">
              <w:rPr>
                <w:rFonts w:asciiTheme="minorHAnsi" w:hAnsiTheme="minorHAnsi" w:cstheme="minorHAnsi"/>
                <w:color w:val="000000"/>
                <w:szCs w:val="20"/>
                <w:lang w:val="fr-FR"/>
              </w:rPr>
              <w:t>*</w:t>
            </w:r>
          </w:p>
        </w:tc>
      </w:tr>
      <w:tr w:rsidR="0085274D" w:rsidRPr="00C73365" w:rsidTr="00A96CCA">
        <w:trPr>
          <w:trHeight w:val="802"/>
        </w:trPr>
        <w:tc>
          <w:tcPr>
            <w:tcW w:w="3262"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 xml:space="preserve">Aide conjointe </w:t>
            </w:r>
            <w:r w:rsidR="001479F8">
              <w:rPr>
                <w:rFonts w:asciiTheme="minorHAnsi" w:hAnsiTheme="minorHAnsi" w:cstheme="minorHAnsi"/>
                <w:color w:val="000000"/>
                <w:sz w:val="18"/>
                <w:szCs w:val="18"/>
                <w:lang w:val="fr-FR"/>
              </w:rPr>
              <w:t>Bpifrance</w:t>
            </w:r>
            <w:r w:rsidRPr="00C73365">
              <w:rPr>
                <w:rFonts w:asciiTheme="minorHAnsi" w:hAnsiTheme="minorHAnsi" w:cstheme="minorHAnsi"/>
                <w:color w:val="000000"/>
                <w:sz w:val="18"/>
                <w:szCs w:val="18"/>
                <w:lang w:val="fr-FR"/>
              </w:rPr>
              <w:t xml:space="preserve"> et Région Occitanie </w:t>
            </w:r>
            <w:r w:rsidR="007974ED" w:rsidRPr="00C73365">
              <w:rPr>
                <w:rFonts w:asciiTheme="minorHAnsi" w:hAnsiTheme="minorHAnsi" w:cstheme="minorHAnsi"/>
                <w:color w:val="000000"/>
                <w:sz w:val="18"/>
                <w:szCs w:val="18"/>
                <w:lang w:val="fr-FR"/>
              </w:rPr>
              <w:t xml:space="preserve">Projet EBOLA </w:t>
            </w:r>
            <w:r w:rsidRPr="00C73365">
              <w:rPr>
                <w:rFonts w:asciiTheme="minorHAnsi" w:hAnsiTheme="minorHAnsi" w:cstheme="minorHAnsi"/>
                <w:color w:val="000000"/>
                <w:sz w:val="18"/>
                <w:szCs w:val="18"/>
                <w:lang w:val="fr-FR"/>
              </w:rPr>
              <w:t>(part Avances Remboursables)</w:t>
            </w:r>
          </w:p>
        </w:tc>
        <w:tc>
          <w:tcPr>
            <w:tcW w:w="1408"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right"/>
              <w:rPr>
                <w:rFonts w:asciiTheme="minorHAnsi" w:hAnsiTheme="minorHAnsi" w:cstheme="minorHAnsi"/>
                <w:color w:val="000000"/>
                <w:sz w:val="18"/>
                <w:szCs w:val="18"/>
              </w:rPr>
            </w:pPr>
            <w:r w:rsidRPr="00C73365">
              <w:rPr>
                <w:rFonts w:asciiTheme="minorHAnsi" w:hAnsiTheme="minorHAnsi" w:cstheme="minorHAnsi"/>
                <w:color w:val="000000"/>
                <w:sz w:val="18"/>
                <w:szCs w:val="18"/>
                <w:lang w:val="fr-FR"/>
              </w:rPr>
              <w:t>En cours d’exécution</w:t>
            </w:r>
          </w:p>
        </w:tc>
        <w:tc>
          <w:tcPr>
            <w:tcW w:w="877"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390</w:t>
            </w:r>
          </w:p>
        </w:tc>
        <w:tc>
          <w:tcPr>
            <w:tcW w:w="1100" w:type="dxa"/>
            <w:tcBorders>
              <w:top w:val="nil"/>
              <w:left w:val="nil"/>
              <w:bottom w:val="single" w:sz="8" w:space="0" w:color="7030A0"/>
              <w:right w:val="nil"/>
            </w:tcBorders>
            <w:shd w:val="clear" w:color="auto" w:fill="auto"/>
            <w:vAlign w:val="center"/>
            <w:hideMark/>
          </w:tcPr>
          <w:p w:rsidR="0085274D" w:rsidRPr="00C73365" w:rsidRDefault="001B2A74"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300</w:t>
            </w:r>
          </w:p>
        </w:tc>
        <w:tc>
          <w:tcPr>
            <w:tcW w:w="1008"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90</w:t>
            </w:r>
          </w:p>
        </w:tc>
        <w:tc>
          <w:tcPr>
            <w:tcW w:w="1137"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lang w:val="fr-FR"/>
              </w:rPr>
              <w:t> </w:t>
            </w:r>
          </w:p>
        </w:tc>
        <w:tc>
          <w:tcPr>
            <w:tcW w:w="1522" w:type="dxa"/>
            <w:tcBorders>
              <w:top w:val="nil"/>
              <w:left w:val="nil"/>
              <w:bottom w:val="single" w:sz="8" w:space="0" w:color="7030A0"/>
              <w:right w:val="nil"/>
            </w:tcBorders>
            <w:shd w:val="clear" w:color="auto" w:fill="auto"/>
            <w:vAlign w:val="center"/>
            <w:hideMark/>
          </w:tcPr>
          <w:p w:rsidR="0085274D" w:rsidRPr="00C73365" w:rsidRDefault="0085274D"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390</w:t>
            </w:r>
            <w:r w:rsidR="00D01236" w:rsidRPr="00C73365">
              <w:rPr>
                <w:rFonts w:asciiTheme="minorHAnsi" w:hAnsiTheme="minorHAnsi" w:cstheme="minorHAnsi"/>
                <w:color w:val="000000"/>
                <w:szCs w:val="20"/>
              </w:rPr>
              <w:t>*</w:t>
            </w:r>
            <w:r w:rsidRPr="00C73365">
              <w:rPr>
                <w:rFonts w:asciiTheme="minorHAnsi" w:hAnsiTheme="minorHAnsi" w:cstheme="minorHAnsi"/>
                <w:color w:val="000000"/>
                <w:szCs w:val="20"/>
              </w:rPr>
              <w:t xml:space="preserve"> </w:t>
            </w:r>
            <w:r w:rsidRPr="00C73365">
              <w:rPr>
                <w:rFonts w:asciiTheme="minorHAnsi" w:hAnsiTheme="minorHAnsi" w:cstheme="minorHAnsi"/>
                <w:color w:val="000000"/>
                <w:szCs w:val="20"/>
              </w:rPr>
              <w:br/>
            </w:r>
            <w:r w:rsidR="00D10EEF" w:rsidRPr="00C73365">
              <w:rPr>
                <w:rFonts w:asciiTheme="minorHAnsi" w:hAnsiTheme="minorHAnsi" w:cstheme="minorHAnsi"/>
                <w:color w:val="000000"/>
                <w:sz w:val="16"/>
                <w:szCs w:val="16"/>
              </w:rPr>
              <w:t>(</w:t>
            </w:r>
            <w:r w:rsidRPr="00C73365">
              <w:rPr>
                <w:rFonts w:asciiTheme="minorHAnsi" w:hAnsiTheme="minorHAnsi" w:cstheme="minorHAnsi"/>
                <w:color w:val="000000"/>
                <w:sz w:val="16"/>
                <w:szCs w:val="16"/>
              </w:rPr>
              <w:t>conditionné au succès)</w:t>
            </w:r>
          </w:p>
        </w:tc>
      </w:tr>
    </w:tbl>
    <w:p w:rsidR="00F46C7B" w:rsidRPr="00C73365" w:rsidRDefault="00C079CB" w:rsidP="004572A0">
      <w:pPr>
        <w:pStyle w:val="List"/>
        <w:rPr>
          <w:rFonts w:asciiTheme="minorHAnsi" w:hAnsiTheme="minorHAnsi" w:cstheme="minorHAnsi"/>
          <w:lang w:val="fr-FR"/>
        </w:rPr>
      </w:pPr>
      <w:r w:rsidRPr="00C73365">
        <w:rPr>
          <w:rFonts w:asciiTheme="minorHAnsi" w:hAnsiTheme="minorHAnsi" w:cstheme="minorHAnsi"/>
          <w:vertAlign w:val="superscript"/>
          <w:lang w:val="fr-FR"/>
        </w:rPr>
        <w:t>(</w:t>
      </w:r>
      <w:r w:rsidR="00F46C7B" w:rsidRPr="00C73365">
        <w:rPr>
          <w:rFonts w:asciiTheme="minorHAnsi" w:hAnsiTheme="minorHAnsi" w:cstheme="minorHAnsi"/>
          <w:vertAlign w:val="superscript"/>
          <w:lang w:val="fr-FR"/>
        </w:rPr>
        <w:t>1)</w:t>
      </w:r>
      <w:r w:rsidR="004572A0" w:rsidRPr="00C73365">
        <w:rPr>
          <w:rFonts w:asciiTheme="minorHAnsi" w:hAnsiTheme="minorHAnsi" w:cstheme="minorHAnsi"/>
          <w:lang w:val="fr-FR"/>
        </w:rPr>
        <w:tab/>
      </w:r>
      <w:r w:rsidR="00F46C7B" w:rsidRPr="00C73365">
        <w:rPr>
          <w:rFonts w:asciiTheme="minorHAnsi" w:hAnsiTheme="minorHAnsi" w:cstheme="minorHAnsi"/>
          <w:lang w:val="fr-FR"/>
        </w:rPr>
        <w:t>Se référer au paragraphe 4.6.1, au paragraphe 10.3.2 et au chapitre 22 du présent document de référence pour le détail des échéanciers des sommes restant à percevoir et des sommes à rembourser</w:t>
      </w:r>
      <w:r w:rsidR="00F46C7B" w:rsidRPr="00C73365">
        <w:rPr>
          <w:rFonts w:asciiTheme="minorHAnsi" w:hAnsiTheme="minorHAnsi" w:cstheme="minorHAnsi"/>
          <w:vertAlign w:val="superscript"/>
          <w:lang w:val="fr-FR"/>
        </w:rPr>
        <w:t xml:space="preserve"> (2)</w:t>
      </w:r>
      <w:r w:rsidR="00F46C7B" w:rsidRPr="00C73365">
        <w:rPr>
          <w:rFonts w:asciiTheme="minorHAnsi" w:hAnsiTheme="minorHAnsi" w:cstheme="minorHAnsi"/>
          <w:lang w:val="fr-FR"/>
        </w:rPr>
        <w:t xml:space="preserve"> Versements maximaux</w:t>
      </w:r>
      <w:r w:rsidR="005471A1" w:rsidRPr="00C73365">
        <w:rPr>
          <w:rFonts w:asciiTheme="minorHAnsi" w:hAnsiTheme="minorHAnsi" w:cstheme="minorHAnsi"/>
          <w:lang w:val="fr-FR"/>
        </w:rPr>
        <w:t xml:space="preserve">. * : hors intérêts </w:t>
      </w:r>
      <w:r w:rsidR="00CF771F" w:rsidRPr="00C73365">
        <w:rPr>
          <w:rFonts w:asciiTheme="minorHAnsi" w:hAnsiTheme="minorHAnsi" w:cstheme="minorHAnsi"/>
          <w:lang w:val="fr-FR"/>
        </w:rPr>
        <w:t>courus</w:t>
      </w:r>
      <w:r w:rsidR="008F2F8F" w:rsidRPr="00C73365">
        <w:rPr>
          <w:rFonts w:asciiTheme="minorHAnsi" w:hAnsiTheme="minorHAnsi" w:cstheme="minorHAnsi"/>
          <w:lang w:val="fr-FR"/>
        </w:rPr>
        <w:t xml:space="preserve">, à date d’enregistrement du DDR, l’aide conjointe </w:t>
      </w:r>
      <w:r w:rsidR="001479F8">
        <w:rPr>
          <w:rFonts w:asciiTheme="minorHAnsi" w:hAnsiTheme="minorHAnsi" w:cstheme="minorHAnsi"/>
          <w:lang w:val="fr-FR"/>
        </w:rPr>
        <w:t>Bpifrance</w:t>
      </w:r>
      <w:r w:rsidR="008F2F8F" w:rsidRPr="00C73365">
        <w:rPr>
          <w:rFonts w:asciiTheme="minorHAnsi" w:hAnsiTheme="minorHAnsi" w:cstheme="minorHAnsi"/>
          <w:lang w:val="fr-FR"/>
        </w:rPr>
        <w:t xml:space="preserve"> et Feder est intégralement remboursée.</w:t>
      </w:r>
    </w:p>
    <w:p w:rsidR="00D01236" w:rsidRPr="00C73365" w:rsidRDefault="00D01236">
      <w:pPr>
        <w:autoSpaceDE w:val="0"/>
        <w:autoSpaceDN w:val="0"/>
        <w:adjustRightInd w:val="0"/>
        <w:rPr>
          <w:rFonts w:asciiTheme="minorHAnsi" w:hAnsiTheme="minorHAnsi" w:cstheme="minorHAnsi"/>
          <w:i/>
          <w:color w:val="7030A0"/>
          <w:sz w:val="18"/>
          <w:szCs w:val="20"/>
          <w:lang w:val="fr-FR"/>
        </w:r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Pour les avances remboursables </w:t>
      </w:r>
      <w:r w:rsidR="001479F8">
        <w:rPr>
          <w:rFonts w:asciiTheme="minorHAnsi" w:hAnsiTheme="minorHAnsi" w:cstheme="minorHAnsi"/>
          <w:lang w:val="fr-FR"/>
        </w:rPr>
        <w:t>Bpifrance</w:t>
      </w:r>
      <w:r w:rsidRPr="00C73365">
        <w:rPr>
          <w:rFonts w:asciiTheme="minorHAnsi" w:hAnsiTheme="minorHAnsi" w:cstheme="minorHAnsi"/>
          <w:lang w:val="fr-FR"/>
        </w:rPr>
        <w:t>, dans le cas où la Société ne respecterait pas les conditions contractuelles prévues dans les conventions d’aides conclues, elle pourrait être amenée à rembourser les sommes avancées de façon anticipée. Une telle situation pourrait priver la Société de moyens financiers nécessaires pour ses projets de recherche et développement et elle ne peut garantir qu’elle trouverait les moyens financiers supplémentaires nécessaires, le temps ou la possibilité de remplacer ces ressources financières par d’autres.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Par ailleurs, le montant et la date de paiement des subventions et des aides actuelles et à venir dépendent de nombreux facteurs non maîtrisés par la Société, notamment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éventuelles décisions de non distribution ou de gel des crédits ainsi que de l’atteinte d’étapes-clés préalablement agréées avec </w:t>
      </w:r>
      <w:r w:rsidR="001479F8">
        <w:rPr>
          <w:rFonts w:asciiTheme="minorHAnsi" w:hAnsiTheme="minorHAnsi" w:cstheme="minorHAnsi"/>
          <w:lang w:val="fr-FR"/>
        </w:rPr>
        <w:t>Bpifrance</w:t>
      </w:r>
      <w:r w:rsidRPr="00C73365">
        <w:rPr>
          <w:rFonts w:asciiTheme="minorHAnsi" w:hAnsiTheme="minorHAnsi" w:cstheme="minorHAnsi"/>
          <w:lang w:val="fr-FR"/>
        </w:rPr>
        <w:t>. Le retard, voire l</w:t>
      </w:r>
      <w:r w:rsidR="004572A0" w:rsidRPr="00C73365">
        <w:rPr>
          <w:rFonts w:asciiTheme="minorHAnsi" w:hAnsiTheme="minorHAnsi" w:cstheme="minorHAnsi"/>
          <w:lang w:val="fr-FR"/>
        </w:rPr>
        <w:t>’</w:t>
      </w:r>
      <w:r w:rsidRPr="00C73365">
        <w:rPr>
          <w:rFonts w:asciiTheme="minorHAnsi" w:hAnsiTheme="minorHAnsi" w:cstheme="minorHAnsi"/>
          <w:lang w:val="fr-FR"/>
        </w:rPr>
        <w:t>absence, de ces paiements qui financent une partie de sa croissance pourrait affecter l</w:t>
      </w:r>
      <w:r w:rsidR="004572A0" w:rsidRPr="00C73365">
        <w:rPr>
          <w:rFonts w:asciiTheme="minorHAnsi" w:hAnsiTheme="minorHAnsi" w:cstheme="minorHAnsi"/>
          <w:lang w:val="fr-FR"/>
        </w:rPr>
        <w:t>’</w:t>
      </w:r>
      <w:r w:rsidRPr="00C73365">
        <w:rPr>
          <w:rFonts w:asciiTheme="minorHAnsi" w:hAnsiTheme="minorHAnsi" w:cstheme="minorHAnsi"/>
          <w:lang w:val="fr-FR"/>
        </w:rPr>
        <w:t>activité, la situation financière, les résultats, le développement et les perspectives de la Société.</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liés au Crédit d’Impôt Recherche (« CIR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Pour financer ses activités, la Société a également opté pour le Crédit d</w:t>
      </w:r>
      <w:r w:rsidR="004572A0" w:rsidRPr="00C73365">
        <w:rPr>
          <w:rFonts w:asciiTheme="minorHAnsi" w:hAnsiTheme="minorHAnsi" w:cstheme="minorHAnsi"/>
          <w:lang w:val="fr-FR"/>
        </w:rPr>
        <w:t>’</w:t>
      </w:r>
      <w:r w:rsidRPr="00C73365">
        <w:rPr>
          <w:rFonts w:asciiTheme="minorHAnsi" w:hAnsiTheme="minorHAnsi" w:cstheme="minorHAnsi"/>
          <w:lang w:val="fr-FR"/>
        </w:rPr>
        <w:t>Impôt Recherche (« CIR »), qui consiste pour l</w:t>
      </w:r>
      <w:r w:rsidR="004572A0" w:rsidRPr="00C73365">
        <w:rPr>
          <w:rFonts w:asciiTheme="minorHAnsi" w:hAnsiTheme="minorHAnsi" w:cstheme="minorHAnsi"/>
          <w:lang w:val="fr-FR"/>
        </w:rPr>
        <w:t>’</w:t>
      </w:r>
      <w:r w:rsidRPr="00C73365">
        <w:rPr>
          <w:rFonts w:asciiTheme="minorHAnsi" w:hAnsiTheme="minorHAnsi" w:cstheme="minorHAnsi"/>
          <w:lang w:val="fr-FR"/>
        </w:rPr>
        <w:t>Etat à offrir un crédit d</w:t>
      </w:r>
      <w:r w:rsidR="004572A0" w:rsidRPr="00C73365">
        <w:rPr>
          <w:rFonts w:asciiTheme="minorHAnsi" w:hAnsiTheme="minorHAnsi" w:cstheme="minorHAnsi"/>
          <w:lang w:val="fr-FR"/>
        </w:rPr>
        <w:t>’</w:t>
      </w:r>
      <w:r w:rsidRPr="00C73365">
        <w:rPr>
          <w:rFonts w:asciiTheme="minorHAnsi" w:hAnsiTheme="minorHAnsi" w:cstheme="minorHAnsi"/>
          <w:lang w:val="fr-FR"/>
        </w:rPr>
        <w:t>impôt aux entreprises investissant significativement en recherche et développement. Les dépenses de recherche éligibles au CIR incluent, notamment, les salaires et traitements, les amortissements du matériel de recherche, les prestations de services sous-traitées à des organismes de recherche agréés (publics ou privés) et les frais de propriété intellectuelle.</w:t>
      </w:r>
    </w:p>
    <w:p w:rsidR="007E4584" w:rsidRPr="00C73365" w:rsidRDefault="007E4584" w:rsidP="004572A0">
      <w:pPr>
        <w:pStyle w:val="BodyText"/>
        <w:rPr>
          <w:rFonts w:asciiTheme="minorHAnsi" w:hAnsiTheme="minorHAnsi" w:cstheme="minorHAnsi"/>
          <w:lang w:val="fr-FR"/>
        </w:rPr>
      </w:pPr>
      <w:r w:rsidRPr="00C73365">
        <w:rPr>
          <w:rFonts w:asciiTheme="minorHAnsi" w:hAnsiTheme="minorHAnsi" w:cstheme="minorHAnsi"/>
          <w:lang w:val="fr-FR"/>
        </w:rPr>
        <w:t>Au 31/12/</w:t>
      </w:r>
      <w:r w:rsidR="00FF64AB" w:rsidRPr="00C73365">
        <w:rPr>
          <w:rFonts w:asciiTheme="minorHAnsi" w:hAnsiTheme="minorHAnsi" w:cstheme="minorHAnsi"/>
          <w:lang w:val="fr-FR"/>
        </w:rPr>
        <w:t>2017</w:t>
      </w:r>
      <w:r w:rsidRPr="00C73365">
        <w:rPr>
          <w:rFonts w:asciiTheme="minorHAnsi" w:hAnsiTheme="minorHAnsi" w:cstheme="minorHAnsi"/>
          <w:lang w:val="fr-FR"/>
        </w:rPr>
        <w:t xml:space="preserve">, la Société a comptabilisé un CIR d’un montant de </w:t>
      </w:r>
      <w:r w:rsidR="00E30413" w:rsidRPr="00C73365">
        <w:rPr>
          <w:rFonts w:asciiTheme="minorHAnsi" w:hAnsiTheme="minorHAnsi" w:cstheme="minorHAnsi"/>
          <w:lang w:val="fr-FR"/>
        </w:rPr>
        <w:t>2 632</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titre des dépenses de R&amp;D éligibles générées en </w:t>
      </w:r>
      <w:r w:rsidR="00FF64AB" w:rsidRPr="00C73365">
        <w:rPr>
          <w:rFonts w:asciiTheme="minorHAnsi" w:hAnsiTheme="minorHAnsi" w:cstheme="minorHAnsi"/>
          <w:lang w:val="fr-FR"/>
        </w:rPr>
        <w:t>2017</w:t>
      </w:r>
      <w:r w:rsidRPr="00C73365">
        <w:rPr>
          <w:rFonts w:asciiTheme="minorHAnsi" w:hAnsiTheme="minorHAnsi" w:cstheme="minorHAnsi"/>
          <w:lang w:val="fr-FR"/>
        </w:rPr>
        <w:t xml:space="preserve">. </w:t>
      </w:r>
      <w:r w:rsidR="00563A47" w:rsidRPr="00C73365">
        <w:rPr>
          <w:rFonts w:asciiTheme="minorHAnsi" w:hAnsiTheme="minorHAnsi" w:cstheme="minorHAnsi"/>
          <w:lang w:val="fr-FR"/>
        </w:rPr>
        <w:t>Le CIR d’un montant de</w:t>
      </w:r>
      <w:r w:rsidR="00AD059B" w:rsidRPr="00C73365">
        <w:rPr>
          <w:rFonts w:asciiTheme="minorHAnsi" w:hAnsiTheme="minorHAnsi" w:cstheme="minorHAnsi"/>
          <w:lang w:val="fr-FR"/>
        </w:rPr>
        <w:t xml:space="preserve"> </w:t>
      </w:r>
      <w:r w:rsidR="00FF64AB" w:rsidRPr="00C73365">
        <w:rPr>
          <w:rFonts w:asciiTheme="minorHAnsi" w:hAnsiTheme="minorHAnsi" w:cstheme="minorHAnsi"/>
          <w:lang w:val="fr-FR"/>
        </w:rPr>
        <w:t>3</w:t>
      </w:r>
      <w:r w:rsidR="00563A47" w:rsidRPr="00C73365">
        <w:rPr>
          <w:rFonts w:asciiTheme="minorHAnsi" w:hAnsiTheme="minorHAnsi" w:cstheme="minorHAnsi"/>
          <w:lang w:val="fr-FR"/>
        </w:rPr>
        <w:t xml:space="preserve"> </w:t>
      </w:r>
      <w:r w:rsidR="00FF64AB" w:rsidRPr="00C73365">
        <w:rPr>
          <w:rFonts w:asciiTheme="minorHAnsi" w:hAnsiTheme="minorHAnsi" w:cstheme="minorHAnsi"/>
          <w:lang w:val="fr-FR"/>
        </w:rPr>
        <w:t xml:space="preserve">578 </w:t>
      </w:r>
      <w:r w:rsidR="00EF089C" w:rsidRPr="00C73365">
        <w:rPr>
          <w:rFonts w:asciiTheme="minorHAnsi" w:hAnsiTheme="minorHAnsi" w:cstheme="minorHAnsi"/>
          <w:lang w:val="fr-FR"/>
        </w:rPr>
        <w:t>K€</w:t>
      </w:r>
      <w:r w:rsidR="00563A47" w:rsidRPr="00C73365">
        <w:rPr>
          <w:rFonts w:asciiTheme="minorHAnsi" w:hAnsiTheme="minorHAnsi" w:cstheme="minorHAnsi"/>
          <w:lang w:val="fr-FR"/>
        </w:rPr>
        <w:t xml:space="preserve"> au titre des dépenses de R&amp;D éligibles générées en </w:t>
      </w:r>
      <w:r w:rsidR="00FF64AB" w:rsidRPr="00C73365">
        <w:rPr>
          <w:rFonts w:asciiTheme="minorHAnsi" w:hAnsiTheme="minorHAnsi" w:cstheme="minorHAnsi"/>
          <w:lang w:val="fr-FR"/>
        </w:rPr>
        <w:t xml:space="preserve">2016 </w:t>
      </w:r>
      <w:r w:rsidR="00563A47" w:rsidRPr="00C73365">
        <w:rPr>
          <w:rFonts w:asciiTheme="minorHAnsi" w:hAnsiTheme="minorHAnsi" w:cstheme="minorHAnsi"/>
          <w:lang w:val="fr-FR"/>
        </w:rPr>
        <w:t xml:space="preserve">a été encaissé dans son intégralité le </w:t>
      </w:r>
      <w:r w:rsidR="004801C8" w:rsidRPr="00C73365">
        <w:rPr>
          <w:rFonts w:asciiTheme="minorHAnsi" w:hAnsiTheme="minorHAnsi" w:cstheme="minorHAnsi"/>
          <w:lang w:val="fr-FR"/>
        </w:rPr>
        <w:t xml:space="preserve">30 </w:t>
      </w:r>
      <w:r w:rsidR="00563A47" w:rsidRPr="00C73365">
        <w:rPr>
          <w:rFonts w:asciiTheme="minorHAnsi" w:hAnsiTheme="minorHAnsi" w:cstheme="minorHAnsi"/>
          <w:lang w:val="fr-FR"/>
        </w:rPr>
        <w:t xml:space="preserve">Août </w:t>
      </w:r>
      <w:r w:rsidR="004801C8" w:rsidRPr="00C73365">
        <w:rPr>
          <w:rFonts w:asciiTheme="minorHAnsi" w:hAnsiTheme="minorHAnsi" w:cstheme="minorHAnsi"/>
          <w:lang w:val="fr-FR"/>
        </w:rPr>
        <w:t>2017</w:t>
      </w:r>
      <w:r w:rsidR="00563A47"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Concernant 2017 et les années à venir, il ne peut être exclu que les services fiscaux remettent en cause les modes de calcul des dépenses de recherche et développement retenus par la Société ou que le CIR soit remis en cause par un changement de réglementation ou par une contestation des services fiscaux alors même que la Société estime se conformer aux exigences de documentation et d</w:t>
      </w:r>
      <w:r w:rsidR="004572A0" w:rsidRPr="00C73365">
        <w:rPr>
          <w:rFonts w:asciiTheme="minorHAnsi" w:hAnsiTheme="minorHAnsi" w:cstheme="minorHAnsi"/>
          <w:lang w:val="fr-FR"/>
        </w:rPr>
        <w:t>’</w:t>
      </w:r>
      <w:r w:rsidRPr="00C73365">
        <w:rPr>
          <w:rFonts w:asciiTheme="minorHAnsi" w:hAnsiTheme="minorHAnsi" w:cstheme="minorHAnsi"/>
          <w:lang w:val="fr-FR"/>
        </w:rPr>
        <w:t>éligibilité des dépenses. Si une telle situation devait se produire, cela pourrait avoir un effet défavorable sur les résultats, la situation financière et les perspectives de la Société.</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Risques liés à l’utilisation future des déficits reportables</w:t>
      </w:r>
    </w:p>
    <w:p w:rsidR="00755C0C" w:rsidRPr="00C73365" w:rsidRDefault="00755C0C" w:rsidP="00755C0C">
      <w:pPr>
        <w:spacing w:after="0"/>
        <w:ind w:right="-2"/>
        <w:rPr>
          <w:rFonts w:asciiTheme="minorHAnsi" w:eastAsia="MS Mincho" w:hAnsiTheme="minorHAnsi" w:cstheme="minorHAnsi"/>
          <w:szCs w:val="20"/>
          <w:lang w:val="fr-FR" w:eastAsia="fr-FR"/>
        </w:rPr>
      </w:pPr>
    </w:p>
    <w:p w:rsidR="00A94114" w:rsidRPr="00C73365" w:rsidRDefault="00755C0C"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déficits fiscaux et amortissements reportables dont dispose la société s’établissent à </w:t>
      </w:r>
      <w:r w:rsidRPr="00C73365">
        <w:rPr>
          <w:rFonts w:asciiTheme="minorHAnsi" w:hAnsiTheme="minorHAnsi" w:cstheme="minorHAnsi"/>
          <w:szCs w:val="22"/>
          <w:lang w:val="fr-FR"/>
        </w:rPr>
        <w:t xml:space="preserve">87 289 </w:t>
      </w:r>
      <w:r w:rsidR="00EF089C" w:rsidRPr="00C73365">
        <w:rPr>
          <w:rFonts w:asciiTheme="minorHAnsi" w:hAnsiTheme="minorHAnsi" w:cstheme="minorHAnsi"/>
          <w:szCs w:val="22"/>
          <w:lang w:val="fr-FR"/>
        </w:rPr>
        <w:t>K€</w:t>
      </w:r>
      <w:r w:rsidRPr="00C73365">
        <w:rPr>
          <w:rFonts w:asciiTheme="minorHAnsi" w:hAnsiTheme="minorHAnsi" w:cstheme="minorHAnsi"/>
          <w:szCs w:val="22"/>
          <w:lang w:val="fr-FR"/>
        </w:rPr>
        <w:t xml:space="preserve"> </w:t>
      </w:r>
      <w:r w:rsidRPr="00C73365">
        <w:rPr>
          <w:rFonts w:asciiTheme="minorHAnsi" w:eastAsia="MS Mincho" w:hAnsiTheme="minorHAnsi" w:cstheme="minorHAnsi"/>
          <w:lang w:val="fr-FR" w:eastAsia="fr-FR"/>
        </w:rPr>
        <w:t xml:space="preserve">au 31 décembre 2017. Les déficits existants chez les trois sociétés confondues (SPLICOS, WITTYCELL et ZOPHIS), qui s’élevaient à 26 021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à la date de réalisation des opérations de dissolutions-confusions ont fait l’objet de demandes d’agrément auprès de l’administration fiscale post-opérations.  Le total des agréments obtenus s’élève à 22 531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A ceci s’ajoute, les déficits d’</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Conformément à l’article 209 du Code Général des Impôts, la possibilité d’imputer ces déficits est suspendue à la poursuite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 l</w:t>
      </w:r>
      <w:r w:rsidR="004572A0" w:rsidRPr="00C73365">
        <w:rPr>
          <w:rFonts w:asciiTheme="minorHAnsi" w:hAnsiTheme="minorHAnsi" w:cstheme="minorHAnsi"/>
          <w:lang w:val="fr-FR"/>
        </w:rPr>
        <w:t>’</w:t>
      </w:r>
      <w:r w:rsidRPr="00C73365">
        <w:rPr>
          <w:rFonts w:asciiTheme="minorHAnsi" w:hAnsiTheme="minorHAnsi" w:cstheme="minorHAnsi"/>
          <w:lang w:val="fr-FR"/>
        </w:rPr>
        <w:t>activité à l</w:t>
      </w:r>
      <w:r w:rsidR="004572A0" w:rsidRPr="00C73365">
        <w:rPr>
          <w:rFonts w:asciiTheme="minorHAnsi" w:hAnsiTheme="minorHAnsi" w:cstheme="minorHAnsi"/>
          <w:lang w:val="fr-FR"/>
        </w:rPr>
        <w:t>’</w:t>
      </w:r>
      <w:r w:rsidRPr="00C73365">
        <w:rPr>
          <w:rFonts w:asciiTheme="minorHAnsi" w:hAnsiTheme="minorHAnsi" w:cstheme="minorHAnsi"/>
          <w:lang w:val="fr-FR"/>
        </w:rPr>
        <w:t>origine des déficits pendant un délai minimal de trois ans, sans faire l</w:t>
      </w:r>
      <w:r w:rsidR="004572A0" w:rsidRPr="00C73365">
        <w:rPr>
          <w:rFonts w:asciiTheme="minorHAnsi" w:hAnsiTheme="minorHAnsi" w:cstheme="minorHAnsi"/>
          <w:lang w:val="fr-FR"/>
        </w:rPr>
        <w:t>’</w:t>
      </w:r>
      <w:r w:rsidRPr="00C73365">
        <w:rPr>
          <w:rFonts w:asciiTheme="minorHAnsi" w:hAnsiTheme="minorHAnsi" w:cstheme="minorHAnsi"/>
          <w:lang w:val="fr-FR"/>
        </w:rPr>
        <w:t>objet, pendant cette période, de changement significatif.</w:t>
      </w:r>
      <w:r w:rsidR="00C367AD">
        <w:rPr>
          <w:rFonts w:asciiTheme="minorHAnsi" w:hAnsiTheme="minorHAnsi" w:cstheme="minorHAnsi"/>
          <w:lang w:val="fr-FR"/>
        </w:rPr>
        <w:t xml:space="preserve"> </w:t>
      </w:r>
      <w:r w:rsidRPr="00C73365">
        <w:rPr>
          <w:rFonts w:asciiTheme="minorHAnsi" w:hAnsiTheme="minorHAnsi" w:cstheme="minorHAnsi"/>
          <w:lang w:val="fr-FR"/>
        </w:rPr>
        <w:t>En France, l’imputation de ces déficits est plafonnée à 50% du bénéfice imposable de l’exercice, cette limitation est applicable à la fraction des bénéfices qui excède 1 million d’euros. Le solde non utilisé du déficit reste reportable sur les exercices suivants, et est imputable dans les mêmes conditions sans limitation dans le temps.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Il ne peut par ailleurs être exclu que des évolutions réglementaires ou législatives en matière de fiscalité des sociétés viennent à remettre en cause, pour toute ou partie, la possible imputation de ces déficits antérieurs sur les bénéfices futurs ou à limiter dans le temps, leur imputation.</w:t>
      </w:r>
    </w:p>
    <w:p w:rsidR="00F46C7B"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de dilution</w:t>
      </w:r>
    </w:p>
    <w:p w:rsidR="00DC1E41" w:rsidRDefault="007254FF" w:rsidP="00122F0B">
      <w:pPr>
        <w:spacing w:after="0"/>
        <w:rPr>
          <w:rFonts w:asciiTheme="minorHAnsi" w:hAnsiTheme="minorHAnsi" w:cstheme="minorHAnsi"/>
          <w:lang w:val="fr-FR"/>
        </w:rPr>
      </w:pPr>
      <w:r w:rsidRPr="007254FF">
        <w:rPr>
          <w:rFonts w:asciiTheme="minorHAnsi" w:hAnsiTheme="minorHAnsi" w:cstheme="minorHAnsi"/>
          <w:lang w:val="fr-FR"/>
        </w:rPr>
        <w:t>Depuis sa création, la Société a émis et attribué des bons de souscription d’actions (BSA) et des bons de souscription de parts de créateur d’entreprise (BCE). L’exercice intégral théorique de l’ensemble des instruments, donnant accès au capital, attribués et en circulation au 31 mars 2018 permettrait la souscription de 1 652 698 actions ordinaires nouvelles potentielles, générant alors une dilution hypothétique égale à 14.3 % sur la base du capital social de la Société au 31 mars 2018. Par ailleurs, la ligne de financement Kepler Cheuvreux (détaillée à la section 10.5 du présent document de référence) présente un montant résiduel au 31 mars 2018 de 910 000 titres. L’exercice intégral hypothétique des titres restants sur la ligne de financement Kepler Cheuvreux générerait alors également une dilution. La dilution totale hypothétique qui pourrait résulter de l’exercice intégral théorique de l’ensemble des BSA et BCE ainsi que des titres restants sur la ligne de financement Kepler Cheuvreux serait de 20.5%.</w:t>
      </w:r>
    </w:p>
    <w:p w:rsidR="007254FF" w:rsidRDefault="007254FF" w:rsidP="00122F0B">
      <w:pPr>
        <w:spacing w:after="0"/>
        <w:rPr>
          <w:rFonts w:asciiTheme="minorHAnsi" w:hAnsiTheme="minorHAnsi" w:cstheme="minorHAnsi"/>
          <w:lang w:val="fr-FR"/>
        </w:rPr>
      </w:pPr>
    </w:p>
    <w:p w:rsidR="00ED7C40" w:rsidRDefault="00122F0B" w:rsidP="00122F0B">
      <w:pPr>
        <w:spacing w:after="0"/>
        <w:rPr>
          <w:rFonts w:asciiTheme="minorHAnsi" w:hAnsiTheme="minorHAnsi" w:cstheme="minorHAnsi"/>
          <w:lang w:val="fr-FR"/>
        </w:rPr>
      </w:pPr>
      <w:r w:rsidRPr="00122F0B">
        <w:rPr>
          <w:rFonts w:asciiTheme="minorHAnsi" w:hAnsiTheme="minorHAnsi" w:cstheme="minorHAnsi"/>
          <w:lang w:val="fr-FR"/>
        </w:rPr>
        <w:t>Par ailleurs, les assemblées générales du 24 juin 2016 et 23 juin 2017 ont consenti au conseil d’administration des délégations en vue de réaliser une ou plusieurs augmentations de capital et/ou émissions de valeurs mobilières donnant accès au capital, dont le détail figure au paragraphe 21.1.6 « Capital autorisé non émis » du présent document de référence.</w:t>
      </w:r>
    </w:p>
    <w:p w:rsidR="00122F0B" w:rsidRPr="00C73365" w:rsidRDefault="00122F0B" w:rsidP="00122F0B">
      <w:pPr>
        <w:spacing w:after="0"/>
        <w:rPr>
          <w:rFonts w:asciiTheme="minorHAnsi" w:hAnsiTheme="minorHAnsi" w:cstheme="minorHAnsi"/>
          <w:lang w:val="fr-FR"/>
        </w:rPr>
      </w:pP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sur les actifs incorporels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L’Assemblée Générale Extraordinaire du 25 avril 2014 a constaté l’apport à la Société de la totalité des titres de trois sociétés (WITTYCELL, ZOPHIS et SPLICOS) détenus par plusieurs fonds d’investissement. Ces apports en nature ont entrainé l’inscription à l’actif de l’intégralité des titres des trois sociétés apportées pour un total de 29 494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Au cours du second semestre de l’exercice 2014, trois transmissions universelles de patrimoine ont été réalisées</w:t>
      </w:r>
      <w:r w:rsidR="009414F6" w:rsidRPr="00C73365">
        <w:rPr>
          <w:rFonts w:asciiTheme="minorHAnsi" w:hAnsiTheme="minorHAnsi" w:cstheme="minorHAnsi"/>
          <w:lang w:val="fr-FR"/>
        </w:rPr>
        <w:t xml:space="preserve"> </w:t>
      </w:r>
      <w:r w:rsidRPr="00C73365">
        <w:rPr>
          <w:rFonts w:asciiTheme="minorHAnsi" w:hAnsiTheme="minorHAnsi" w:cstheme="minorHAnsi"/>
          <w:lang w:val="fr-FR"/>
        </w:rPr>
        <w:t xml:space="preserve">: les sociétés WITTYCELL et ZOPHIS ont été absorbées au 31 juillet 2014 et la société SPLICOS a été absorbée au 31 octobre 2014. Ces trois opérations ont donné lieu à la constatation de mali techniques se substituant à l’actif aux titres de participation reçus en apport pour un montant global de 32 745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L’abandon d’un projet de la société ZOPHIS avec l’INRA avait conduit fin 2014 à la dépréciation du mali technique généré par la transmission universelle de patrimoine de la société ZOPHIS (pour 740 </w:t>
      </w:r>
      <w:r w:rsidR="00EF089C" w:rsidRPr="00C73365">
        <w:rPr>
          <w:rFonts w:asciiTheme="minorHAnsi" w:hAnsiTheme="minorHAnsi" w:cstheme="minorHAnsi"/>
          <w:lang w:val="fr-FR"/>
        </w:rPr>
        <w:t>K€</w:t>
      </w:r>
      <w:r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Ces mali de fusion classés en immobilisations incorporelles représentaient donc au 31/12/2014 32 005 </w:t>
      </w:r>
      <w:r w:rsidR="00EF089C" w:rsidRPr="00C73365">
        <w:rPr>
          <w:rFonts w:asciiTheme="minorHAnsi" w:hAnsiTheme="minorHAnsi" w:cstheme="minorHAnsi"/>
          <w:lang w:val="fr-FR"/>
        </w:rPr>
        <w:t>K€</w:t>
      </w:r>
      <w:r w:rsidRPr="00C73365">
        <w:rPr>
          <w:rFonts w:asciiTheme="minorHAnsi" w:hAnsiTheme="minorHAnsi" w:cstheme="minorHAnsi"/>
          <w:lang w:val="fr-FR"/>
        </w:rPr>
        <w:t>.</w:t>
      </w:r>
    </w:p>
    <w:p w:rsidR="00E92A57"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A chaque clôture, les mali techniques qui découlent des fusions absorptions de SPLICOS et de WITTYCELL sont comparés aux valeurs de marché des produits issus des plateformes technologiques qui leur sont rattachées, respectivement la plateforme technologique antivirale pour SPLICOS et la plateforme technologique adjuvants pour WITTYCELL. Si la valeur de marché des produits est inférieure au mali technique lui correspondant, une dépréciation est pratiquée afin de ramener le montant du mali technique figurant dans les comptes à la valeur de marché des produits.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Afin de calculer la valeur de marché d</w:t>
      </w:r>
      <w:r w:rsidR="004572A0" w:rsidRPr="00C73365">
        <w:rPr>
          <w:rFonts w:asciiTheme="minorHAnsi" w:hAnsiTheme="minorHAnsi" w:cstheme="minorHAnsi"/>
          <w:lang w:val="fr-FR"/>
        </w:rPr>
        <w:t>’</w:t>
      </w:r>
      <w:r w:rsidRPr="00C73365">
        <w:rPr>
          <w:rFonts w:asciiTheme="minorHAnsi" w:hAnsiTheme="minorHAnsi" w:cstheme="minorHAnsi"/>
          <w:lang w:val="fr-FR"/>
        </w:rPr>
        <w:t>un produit, deux références sont prises en compte :</w:t>
      </w:r>
    </w:p>
    <w:p w:rsidR="00F46C7B" w:rsidRPr="00E66FAB" w:rsidRDefault="00F46C7B" w:rsidP="00434C49">
      <w:pPr>
        <w:pStyle w:val="ListBullet2"/>
        <w:numPr>
          <w:ilvl w:val="0"/>
          <w:numId w:val="69"/>
        </w:numPr>
        <w:rPr>
          <w:rFonts w:asciiTheme="minorHAnsi" w:hAnsiTheme="minorHAnsi" w:cstheme="minorHAnsi"/>
          <w:lang w:val="fr-FR"/>
        </w:rPr>
      </w:pPr>
      <w:r w:rsidRPr="00E66FAB">
        <w:rPr>
          <w:rFonts w:asciiTheme="minorHAnsi" w:hAnsiTheme="minorHAnsi" w:cstheme="minorHAnsi"/>
          <w:lang w:val="fr-FR"/>
        </w:rPr>
        <w:lastRenderedPageBreak/>
        <w:t>la valeur actuelle nette ajustée du risque des flux de caisse attendus de l</w:t>
      </w:r>
      <w:r w:rsidR="004572A0" w:rsidRPr="00E66FAB">
        <w:rPr>
          <w:rFonts w:asciiTheme="minorHAnsi" w:hAnsiTheme="minorHAnsi" w:cstheme="minorHAnsi"/>
          <w:lang w:val="fr-FR"/>
        </w:rPr>
        <w:t>’</w:t>
      </w:r>
      <w:r w:rsidRPr="00E66FAB">
        <w:rPr>
          <w:rFonts w:asciiTheme="minorHAnsi" w:hAnsiTheme="minorHAnsi" w:cstheme="minorHAnsi"/>
          <w:lang w:val="fr-FR"/>
        </w:rPr>
        <w:t>exploitation du produit jusqu</w:t>
      </w:r>
      <w:r w:rsidR="004572A0" w:rsidRPr="00E66FAB">
        <w:rPr>
          <w:rFonts w:asciiTheme="minorHAnsi" w:hAnsiTheme="minorHAnsi" w:cstheme="minorHAnsi"/>
          <w:lang w:val="fr-FR"/>
        </w:rPr>
        <w:t>’</w:t>
      </w:r>
      <w:r w:rsidRPr="00E66FAB">
        <w:rPr>
          <w:rFonts w:asciiTheme="minorHAnsi" w:hAnsiTheme="minorHAnsi" w:cstheme="minorHAnsi"/>
          <w:lang w:val="fr-FR"/>
        </w:rPr>
        <w:t>à expiration des brevets ;</w:t>
      </w:r>
    </w:p>
    <w:p w:rsidR="00F46C7B" w:rsidRPr="00E66FAB" w:rsidRDefault="00F46C7B" w:rsidP="00434C49">
      <w:pPr>
        <w:pStyle w:val="ListBullet2"/>
        <w:numPr>
          <w:ilvl w:val="0"/>
          <w:numId w:val="69"/>
        </w:numPr>
        <w:rPr>
          <w:rFonts w:asciiTheme="minorHAnsi" w:hAnsiTheme="minorHAnsi" w:cstheme="minorHAnsi"/>
          <w:lang w:val="fr-FR"/>
        </w:rPr>
      </w:pPr>
      <w:r w:rsidRPr="00E66FAB">
        <w:rPr>
          <w:rFonts w:asciiTheme="minorHAnsi" w:hAnsiTheme="minorHAnsi" w:cstheme="minorHAnsi"/>
          <w:lang w:val="fr-FR"/>
        </w:rPr>
        <w:t>les prix de transactions récentes portant sur l</w:t>
      </w:r>
      <w:r w:rsidR="004572A0" w:rsidRPr="00E66FAB">
        <w:rPr>
          <w:rFonts w:asciiTheme="minorHAnsi" w:hAnsiTheme="minorHAnsi" w:cstheme="minorHAnsi"/>
          <w:lang w:val="fr-FR"/>
        </w:rPr>
        <w:t>’</w:t>
      </w:r>
      <w:r w:rsidRPr="00E66FAB">
        <w:rPr>
          <w:rFonts w:asciiTheme="minorHAnsi" w:hAnsiTheme="minorHAnsi" w:cstheme="minorHAnsi"/>
          <w:lang w:val="fr-FR"/>
        </w:rPr>
        <w:t xml:space="preserve">acquisition ou des accords de licence pour des produits comparables (indication thérapeutique, stade de développement, taille du marché…).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Si les conclusions entre ces deux méthodes sont discordantes, la valeur actuelle nette ajustée du risque prime.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cas d</w:t>
      </w:r>
      <w:r w:rsidR="004572A0" w:rsidRPr="00C73365">
        <w:rPr>
          <w:rFonts w:asciiTheme="minorHAnsi" w:hAnsiTheme="minorHAnsi" w:cstheme="minorHAnsi"/>
          <w:lang w:val="fr-FR"/>
        </w:rPr>
        <w:t>’</w:t>
      </w:r>
      <w:r w:rsidRPr="00C73365">
        <w:rPr>
          <w:rFonts w:asciiTheme="minorHAnsi" w:hAnsiTheme="minorHAnsi" w:cstheme="minorHAnsi"/>
          <w:lang w:val="fr-FR"/>
        </w:rPr>
        <w:t>accident dans le développement de la plateforme technologique et des produits y afférant qui remettrait en cause leur exploitation, une dépréciation totale du mali technique concerné serait alors pratiquée. Dans le cas d</w:t>
      </w:r>
      <w:r w:rsidR="004572A0" w:rsidRPr="00C73365">
        <w:rPr>
          <w:rFonts w:asciiTheme="minorHAnsi" w:hAnsiTheme="minorHAnsi" w:cstheme="minorHAnsi"/>
          <w:lang w:val="fr-FR"/>
        </w:rPr>
        <w:t>’</w:t>
      </w:r>
      <w:r w:rsidRPr="00C73365">
        <w:rPr>
          <w:rFonts w:asciiTheme="minorHAnsi" w:hAnsiTheme="minorHAnsi" w:cstheme="minorHAnsi"/>
          <w:lang w:val="fr-FR"/>
        </w:rPr>
        <w:t>une provision pour dépréciation, cette dernière peut être reprise en partie ou en totalité en cas d</w:t>
      </w:r>
      <w:r w:rsidR="004572A0" w:rsidRPr="00C73365">
        <w:rPr>
          <w:rFonts w:asciiTheme="minorHAnsi" w:hAnsiTheme="minorHAnsi" w:cstheme="minorHAnsi"/>
          <w:lang w:val="fr-FR"/>
        </w:rPr>
        <w:t>’</w:t>
      </w:r>
      <w:r w:rsidRPr="00C73365">
        <w:rPr>
          <w:rFonts w:asciiTheme="minorHAnsi" w:hAnsiTheme="minorHAnsi" w:cstheme="minorHAnsi"/>
          <w:lang w:val="fr-FR"/>
        </w:rPr>
        <w:t>amélioration ultérieure de la valeur de marché des produits.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Du fait </w:t>
      </w:r>
      <w:r w:rsidR="00FB7F4D" w:rsidRPr="00C73365">
        <w:rPr>
          <w:rFonts w:asciiTheme="minorHAnsi" w:hAnsiTheme="minorHAnsi" w:cstheme="minorHAnsi"/>
          <w:lang w:val="fr-FR"/>
        </w:rPr>
        <w:t>du potentiel de valorisation de la molécule de tête de chaque plateforme</w:t>
      </w:r>
      <w:r w:rsidRPr="00C73365">
        <w:rPr>
          <w:rFonts w:asciiTheme="minorHAnsi" w:hAnsiTheme="minorHAnsi" w:cstheme="minorHAnsi"/>
          <w:lang w:val="fr-FR"/>
        </w:rPr>
        <w:t xml:space="preserve"> </w:t>
      </w:r>
      <w:r w:rsidR="00FB7F4D" w:rsidRPr="00C73365">
        <w:rPr>
          <w:rFonts w:asciiTheme="minorHAnsi" w:hAnsiTheme="minorHAnsi" w:cstheme="minorHAnsi"/>
          <w:lang w:val="fr-FR"/>
        </w:rPr>
        <w:t>(</w:t>
      </w:r>
      <w:r w:rsidRPr="00C73365">
        <w:rPr>
          <w:rFonts w:asciiTheme="minorHAnsi" w:hAnsiTheme="minorHAnsi" w:cstheme="minorHAnsi"/>
          <w:lang w:val="fr-FR"/>
        </w:rPr>
        <w:t xml:space="preserve">ABX464 </w:t>
      </w:r>
      <w:r w:rsidR="00FB7F4D" w:rsidRPr="00C73365">
        <w:rPr>
          <w:rFonts w:asciiTheme="minorHAnsi" w:hAnsiTheme="minorHAnsi" w:cstheme="minorHAnsi"/>
          <w:lang w:val="fr-FR"/>
        </w:rPr>
        <w:t>pour la plateforme antivirale, et</w:t>
      </w:r>
      <w:r w:rsidRPr="00C73365">
        <w:rPr>
          <w:rFonts w:asciiTheme="minorHAnsi" w:hAnsiTheme="minorHAnsi" w:cstheme="minorHAnsi"/>
          <w:lang w:val="fr-FR"/>
        </w:rPr>
        <w:t xml:space="preserve"> ABX196</w:t>
      </w:r>
      <w:r w:rsidR="00FB7F4D" w:rsidRPr="00C73365">
        <w:rPr>
          <w:rFonts w:asciiTheme="minorHAnsi" w:hAnsiTheme="minorHAnsi" w:cstheme="minorHAnsi"/>
          <w:lang w:val="fr-FR"/>
        </w:rPr>
        <w:t xml:space="preserve"> pour la plateforme de stimulation immunitaire)</w:t>
      </w:r>
      <w:r w:rsidRPr="00C73365">
        <w:rPr>
          <w:rFonts w:asciiTheme="minorHAnsi" w:hAnsiTheme="minorHAnsi" w:cstheme="minorHAnsi"/>
          <w:lang w:val="fr-FR"/>
        </w:rPr>
        <w:t xml:space="preserve">, et après avoir réalisé les tests tels que décrits ci-dessus, la société a évalué qu’il n’y avait pas lieu de procéder à une dépréciation de ces actifs et la valeur de ces immobilisations incorporelles est donc restée inchangée à 32 005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w:t>
      </w:r>
      <w:r w:rsidR="00CE77A2" w:rsidRPr="00C73365">
        <w:rPr>
          <w:rFonts w:asciiTheme="minorHAnsi" w:hAnsiTheme="minorHAnsi" w:cstheme="minorHAnsi"/>
          <w:lang w:val="fr-FR"/>
        </w:rPr>
        <w:t>31</w:t>
      </w:r>
      <w:r w:rsidRPr="00C73365">
        <w:rPr>
          <w:rFonts w:asciiTheme="minorHAnsi" w:hAnsiTheme="minorHAnsi" w:cstheme="minorHAnsi"/>
          <w:lang w:val="fr-FR"/>
        </w:rPr>
        <w:t>/</w:t>
      </w:r>
      <w:r w:rsidR="00CE77A2" w:rsidRPr="00C73365">
        <w:rPr>
          <w:rFonts w:asciiTheme="minorHAnsi" w:hAnsiTheme="minorHAnsi" w:cstheme="minorHAnsi"/>
          <w:lang w:val="fr-FR"/>
        </w:rPr>
        <w:t>12</w:t>
      </w:r>
      <w:r w:rsidRPr="00C73365">
        <w:rPr>
          <w:rFonts w:asciiTheme="minorHAnsi" w:hAnsiTheme="minorHAnsi" w:cstheme="minorHAnsi"/>
          <w:lang w:val="fr-FR"/>
        </w:rPr>
        <w:t>/201</w:t>
      </w:r>
      <w:r w:rsidR="00FF64AB" w:rsidRPr="00C73365">
        <w:rPr>
          <w:rFonts w:asciiTheme="minorHAnsi" w:hAnsiTheme="minorHAnsi" w:cstheme="minorHAnsi"/>
          <w:lang w:val="fr-FR"/>
        </w:rPr>
        <w:t>7</w:t>
      </w:r>
      <w:r w:rsidRPr="00C73365">
        <w:rPr>
          <w:rFonts w:asciiTheme="minorHAnsi" w:hAnsiTheme="minorHAnsi" w:cstheme="minorHAnsi"/>
          <w:lang w:val="fr-FR"/>
        </w:rPr>
        <w:t>.</w:t>
      </w:r>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49" w:name="_Toc402884124"/>
      <w:bookmarkStart w:id="50" w:name="_Toc462673231"/>
      <w:bookmarkStart w:id="51" w:name="_Toc467835577"/>
      <w:bookmarkStart w:id="52" w:name="_Toc512863891"/>
      <w:r w:rsidRPr="00C73365">
        <w:rPr>
          <w:rFonts w:asciiTheme="minorHAnsi" w:hAnsiTheme="minorHAnsi" w:cstheme="minorHAnsi"/>
          <w:sz w:val="22"/>
          <w:szCs w:val="22"/>
          <w:lang w:val="fr-FR"/>
        </w:rPr>
        <w:t>Risques de marché</w:t>
      </w:r>
      <w:bookmarkEnd w:id="49"/>
      <w:bookmarkEnd w:id="50"/>
      <w:bookmarkEnd w:id="51"/>
      <w:bookmarkEnd w:id="52"/>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de liquidité</w:t>
      </w:r>
    </w:p>
    <w:p w:rsidR="009414F6" w:rsidRPr="00C73365" w:rsidRDefault="007E4584">
      <w:pPr>
        <w:pStyle w:val="ListParagraph"/>
        <w:ind w:left="0"/>
        <w:rPr>
          <w:rFonts w:asciiTheme="minorHAnsi" w:hAnsiTheme="minorHAnsi" w:cstheme="minorHAnsi"/>
          <w:szCs w:val="22"/>
          <w:lang w:val="fr-FR"/>
        </w:rPr>
      </w:pPr>
      <w:r w:rsidRPr="00C73365">
        <w:rPr>
          <w:rFonts w:asciiTheme="minorHAnsi" w:hAnsiTheme="minorHAnsi" w:cstheme="minorHAnsi"/>
          <w:szCs w:val="22"/>
          <w:lang w:val="fr-FR"/>
        </w:rPr>
        <w:t>Au 31/12/</w:t>
      </w:r>
      <w:r w:rsidR="00FF64AB" w:rsidRPr="00C73365">
        <w:rPr>
          <w:rFonts w:asciiTheme="minorHAnsi" w:hAnsiTheme="minorHAnsi" w:cstheme="minorHAnsi"/>
          <w:szCs w:val="22"/>
          <w:lang w:val="fr-FR"/>
        </w:rPr>
        <w:t>2017</w:t>
      </w:r>
      <w:r w:rsidRPr="00C73365">
        <w:rPr>
          <w:rFonts w:asciiTheme="minorHAnsi" w:hAnsiTheme="minorHAnsi" w:cstheme="minorHAnsi"/>
          <w:szCs w:val="22"/>
          <w:lang w:val="fr-FR"/>
        </w:rPr>
        <w:t xml:space="preserve">, la </w:t>
      </w:r>
      <w:r w:rsidR="00A375B4" w:rsidRPr="00C73365">
        <w:rPr>
          <w:rFonts w:asciiTheme="minorHAnsi" w:hAnsiTheme="minorHAnsi" w:cstheme="minorHAnsi"/>
          <w:szCs w:val="22"/>
          <w:lang w:val="fr-FR"/>
        </w:rPr>
        <w:t xml:space="preserve">trésorerie </w:t>
      </w:r>
      <w:r w:rsidRPr="00C73365">
        <w:rPr>
          <w:rFonts w:asciiTheme="minorHAnsi" w:hAnsiTheme="minorHAnsi" w:cstheme="minorHAnsi"/>
          <w:szCs w:val="22"/>
          <w:lang w:val="fr-FR"/>
        </w:rPr>
        <w:t xml:space="preserve">financière nette, (déduction faite des dettes financières de </w:t>
      </w:r>
      <w:r w:rsidR="0085274D" w:rsidRPr="00C73365">
        <w:rPr>
          <w:rFonts w:asciiTheme="minorHAnsi" w:hAnsiTheme="minorHAnsi" w:cstheme="minorHAnsi"/>
          <w:szCs w:val="22"/>
          <w:lang w:val="fr-FR"/>
        </w:rPr>
        <w:t xml:space="preserve">170 </w:t>
      </w:r>
      <w:r w:rsidR="00EF089C" w:rsidRPr="00C73365">
        <w:rPr>
          <w:rFonts w:asciiTheme="minorHAnsi" w:hAnsiTheme="minorHAnsi" w:cstheme="minorHAnsi"/>
          <w:szCs w:val="22"/>
          <w:lang w:val="fr-FR"/>
        </w:rPr>
        <w:t>K€</w:t>
      </w:r>
      <w:r w:rsidRPr="00C73365">
        <w:rPr>
          <w:rFonts w:asciiTheme="minorHAnsi" w:hAnsiTheme="minorHAnsi" w:cstheme="minorHAnsi"/>
          <w:szCs w:val="22"/>
          <w:lang w:val="fr-FR"/>
        </w:rPr>
        <w:t xml:space="preserve">) de la Société se montait à </w:t>
      </w:r>
      <w:r w:rsidR="0085274D" w:rsidRPr="00C73365">
        <w:rPr>
          <w:rFonts w:asciiTheme="minorHAnsi" w:hAnsiTheme="minorHAnsi" w:cstheme="minorHAnsi"/>
          <w:szCs w:val="22"/>
          <w:lang w:val="fr-FR"/>
        </w:rPr>
        <w:t xml:space="preserve">16 </w:t>
      </w:r>
      <w:r w:rsidR="00E30413" w:rsidRPr="00C73365">
        <w:rPr>
          <w:rFonts w:asciiTheme="minorHAnsi" w:hAnsiTheme="minorHAnsi" w:cstheme="minorHAnsi"/>
          <w:szCs w:val="22"/>
          <w:lang w:val="fr-FR"/>
        </w:rPr>
        <w:t>862</w:t>
      </w:r>
      <w:r w:rsidRPr="00C73365">
        <w:rPr>
          <w:rFonts w:asciiTheme="minorHAnsi" w:hAnsiTheme="minorHAnsi" w:cstheme="minorHAnsi"/>
          <w:szCs w:val="22"/>
          <w:lang w:val="fr-FR"/>
        </w:rPr>
        <w:t xml:space="preserve"> </w:t>
      </w:r>
      <w:r w:rsidR="00EF089C" w:rsidRPr="00C73365">
        <w:rPr>
          <w:rFonts w:asciiTheme="minorHAnsi" w:hAnsiTheme="minorHAnsi" w:cstheme="minorHAnsi"/>
          <w:szCs w:val="22"/>
          <w:lang w:val="fr-FR"/>
        </w:rPr>
        <w:t>K€</w:t>
      </w:r>
      <w:r w:rsidRPr="00C73365">
        <w:rPr>
          <w:rFonts w:asciiTheme="minorHAnsi" w:hAnsiTheme="minorHAnsi" w:cstheme="minorHAnsi"/>
          <w:szCs w:val="22"/>
          <w:lang w:val="fr-FR"/>
        </w:rPr>
        <w:t xml:space="preserve">. </w:t>
      </w:r>
    </w:p>
    <w:p w:rsidR="00383252" w:rsidRDefault="007E4584">
      <w:pPr>
        <w:pStyle w:val="ListParagraph"/>
        <w:ind w:left="0"/>
        <w:rPr>
          <w:rFonts w:asciiTheme="minorHAnsi" w:hAnsiTheme="minorHAnsi" w:cstheme="minorHAnsi"/>
          <w:szCs w:val="22"/>
          <w:lang w:val="fr-FR"/>
        </w:rPr>
      </w:pPr>
      <w:r w:rsidRPr="00C73365">
        <w:rPr>
          <w:rFonts w:asciiTheme="minorHAnsi" w:hAnsiTheme="minorHAnsi" w:cstheme="minorHAnsi"/>
          <w:szCs w:val="22"/>
          <w:lang w:val="fr-FR"/>
        </w:rPr>
        <w:t xml:space="preserve">La Société a procédé à une revue spécifique de son risque de liquidité </w:t>
      </w:r>
      <w:r w:rsidR="002C1577" w:rsidRPr="00C73365">
        <w:rPr>
          <w:rFonts w:asciiTheme="minorHAnsi" w:hAnsiTheme="minorHAnsi" w:cstheme="minorHAnsi"/>
          <w:szCs w:val="22"/>
          <w:lang w:val="fr-FR"/>
        </w:rPr>
        <w:t xml:space="preserve">à la date d’enregistrement du présent document de </w:t>
      </w:r>
      <w:r w:rsidR="00B92C72" w:rsidRPr="00C73365">
        <w:rPr>
          <w:rFonts w:asciiTheme="minorHAnsi" w:hAnsiTheme="minorHAnsi" w:cstheme="minorHAnsi"/>
          <w:szCs w:val="22"/>
          <w:lang w:val="fr-FR"/>
        </w:rPr>
        <w:t>référence ;</w:t>
      </w:r>
      <w:r w:rsidR="009414F6" w:rsidRPr="00C73365">
        <w:rPr>
          <w:rFonts w:asciiTheme="minorHAnsi" w:hAnsiTheme="minorHAnsi" w:cstheme="minorHAnsi"/>
          <w:szCs w:val="22"/>
          <w:lang w:val="fr-FR"/>
        </w:rPr>
        <w:t xml:space="preserve"> elle </w:t>
      </w:r>
      <w:r w:rsidRPr="00C73365">
        <w:rPr>
          <w:rFonts w:asciiTheme="minorHAnsi" w:hAnsiTheme="minorHAnsi" w:cstheme="minorHAnsi"/>
          <w:szCs w:val="22"/>
          <w:lang w:val="fr-FR"/>
        </w:rPr>
        <w:t xml:space="preserve">considère qu’avec </w:t>
      </w:r>
      <w:r w:rsidR="00400B24" w:rsidRPr="00C73365">
        <w:rPr>
          <w:rFonts w:asciiTheme="minorHAnsi" w:hAnsiTheme="minorHAnsi" w:cstheme="minorHAnsi"/>
          <w:szCs w:val="22"/>
          <w:lang w:val="fr-FR"/>
        </w:rPr>
        <w:t>s</w:t>
      </w:r>
      <w:r w:rsidRPr="00C73365">
        <w:rPr>
          <w:rFonts w:asciiTheme="minorHAnsi" w:hAnsiTheme="minorHAnsi" w:cstheme="minorHAnsi"/>
          <w:szCs w:val="22"/>
          <w:lang w:val="fr-FR"/>
        </w:rPr>
        <w:t>es ressources</w:t>
      </w:r>
      <w:r w:rsidR="009414F6" w:rsidRPr="00C73365">
        <w:rPr>
          <w:rFonts w:asciiTheme="minorHAnsi" w:hAnsiTheme="minorHAnsi" w:cstheme="minorHAnsi"/>
          <w:szCs w:val="22"/>
          <w:lang w:val="fr-FR"/>
        </w:rPr>
        <w:t xml:space="preserve"> disponibles,</w:t>
      </w:r>
      <w:r w:rsidRPr="00C73365">
        <w:rPr>
          <w:rFonts w:asciiTheme="minorHAnsi" w:hAnsiTheme="minorHAnsi" w:cstheme="minorHAnsi"/>
          <w:szCs w:val="22"/>
          <w:lang w:val="fr-FR"/>
        </w:rPr>
        <w:t xml:space="preserve"> auxquelles viendront </w:t>
      </w:r>
      <w:r w:rsidR="00400B24" w:rsidRPr="00C73365">
        <w:rPr>
          <w:rFonts w:asciiTheme="minorHAnsi" w:hAnsiTheme="minorHAnsi" w:cstheme="minorHAnsi"/>
          <w:szCs w:val="22"/>
          <w:lang w:val="fr-FR"/>
        </w:rPr>
        <w:t>s’</w:t>
      </w:r>
      <w:r w:rsidRPr="00C73365">
        <w:rPr>
          <w:rFonts w:asciiTheme="minorHAnsi" w:hAnsiTheme="minorHAnsi" w:cstheme="minorHAnsi"/>
          <w:szCs w:val="22"/>
          <w:lang w:val="fr-FR"/>
        </w:rPr>
        <w:t>ajouter les subventions</w:t>
      </w:r>
      <w:r w:rsidR="00D473BF" w:rsidRPr="00C73365">
        <w:rPr>
          <w:rFonts w:asciiTheme="minorHAnsi" w:hAnsiTheme="minorHAnsi" w:cstheme="minorHAnsi"/>
          <w:szCs w:val="22"/>
          <w:lang w:val="fr-FR"/>
        </w:rPr>
        <w:t xml:space="preserve"> et avances remboursables</w:t>
      </w:r>
      <w:r w:rsidRPr="00C73365">
        <w:rPr>
          <w:rFonts w:asciiTheme="minorHAnsi" w:hAnsiTheme="minorHAnsi" w:cstheme="minorHAnsi"/>
          <w:szCs w:val="22"/>
          <w:lang w:val="fr-FR"/>
        </w:rPr>
        <w:t xml:space="preserve"> BPI (</w:t>
      </w:r>
      <w:r w:rsidR="003002F9" w:rsidRPr="00C73365">
        <w:rPr>
          <w:rFonts w:asciiTheme="minorHAnsi" w:hAnsiTheme="minorHAnsi" w:cstheme="minorHAnsi"/>
          <w:szCs w:val="22"/>
          <w:lang w:val="fr-FR"/>
        </w:rPr>
        <w:t xml:space="preserve">estimées à </w:t>
      </w:r>
      <w:r w:rsidR="004E7D26" w:rsidRPr="00C73365">
        <w:rPr>
          <w:rFonts w:asciiTheme="minorHAnsi" w:hAnsiTheme="minorHAnsi" w:cstheme="minorHAnsi"/>
          <w:szCs w:val="22"/>
          <w:lang w:val="fr-FR"/>
        </w:rPr>
        <w:t>1 191</w:t>
      </w:r>
      <w:r w:rsidRPr="00C73365">
        <w:rPr>
          <w:rFonts w:asciiTheme="minorHAnsi" w:hAnsiTheme="minorHAnsi" w:cstheme="minorHAnsi"/>
          <w:szCs w:val="22"/>
          <w:lang w:val="fr-FR"/>
        </w:rPr>
        <w:t xml:space="preserve"> </w:t>
      </w:r>
      <w:r w:rsidR="00EF089C" w:rsidRPr="00C73365">
        <w:rPr>
          <w:rFonts w:asciiTheme="minorHAnsi" w:hAnsiTheme="minorHAnsi" w:cstheme="minorHAnsi"/>
          <w:szCs w:val="22"/>
          <w:lang w:val="fr-FR"/>
        </w:rPr>
        <w:t>K€</w:t>
      </w:r>
      <w:r w:rsidRPr="00C73365">
        <w:rPr>
          <w:rFonts w:asciiTheme="minorHAnsi" w:hAnsiTheme="minorHAnsi" w:cstheme="minorHAnsi"/>
          <w:szCs w:val="22"/>
          <w:lang w:val="fr-FR"/>
        </w:rPr>
        <w:t xml:space="preserve"> RNP Vir + 1 </w:t>
      </w:r>
      <w:r w:rsidR="002835FB" w:rsidRPr="00C73365">
        <w:rPr>
          <w:rFonts w:asciiTheme="minorHAnsi" w:hAnsiTheme="minorHAnsi" w:cstheme="minorHAnsi"/>
          <w:szCs w:val="22"/>
          <w:lang w:val="fr-FR"/>
        </w:rPr>
        <w:t>852</w:t>
      </w:r>
      <w:r w:rsidRPr="00C73365">
        <w:rPr>
          <w:rFonts w:asciiTheme="minorHAnsi" w:hAnsiTheme="minorHAnsi" w:cstheme="minorHAnsi"/>
          <w:szCs w:val="22"/>
          <w:lang w:val="fr-FR"/>
        </w:rPr>
        <w:t xml:space="preserve"> </w:t>
      </w:r>
      <w:r w:rsidR="00EF089C" w:rsidRPr="00C73365">
        <w:rPr>
          <w:rFonts w:asciiTheme="minorHAnsi" w:hAnsiTheme="minorHAnsi" w:cstheme="minorHAnsi"/>
          <w:szCs w:val="22"/>
          <w:lang w:val="fr-FR"/>
        </w:rPr>
        <w:t>K€</w:t>
      </w:r>
      <w:r w:rsidRPr="00C73365">
        <w:rPr>
          <w:rFonts w:asciiTheme="minorHAnsi" w:hAnsiTheme="minorHAnsi" w:cstheme="minorHAnsi"/>
          <w:szCs w:val="22"/>
          <w:lang w:val="fr-FR"/>
        </w:rPr>
        <w:t xml:space="preserve"> de CaReNA</w:t>
      </w:r>
      <w:r w:rsidR="00D563DE" w:rsidRPr="00C73365">
        <w:rPr>
          <w:rFonts w:asciiTheme="minorHAnsi" w:hAnsiTheme="minorHAnsi" w:cstheme="minorHAnsi"/>
          <w:szCs w:val="22"/>
          <w:lang w:val="fr-FR"/>
        </w:rPr>
        <w:t xml:space="preserve"> + 90 </w:t>
      </w:r>
      <w:r w:rsidR="00EF089C" w:rsidRPr="00C73365">
        <w:rPr>
          <w:rFonts w:asciiTheme="minorHAnsi" w:hAnsiTheme="minorHAnsi" w:cstheme="minorHAnsi"/>
          <w:szCs w:val="22"/>
          <w:lang w:val="fr-FR"/>
        </w:rPr>
        <w:t>K€</w:t>
      </w:r>
      <w:r w:rsidR="00D563DE" w:rsidRPr="00C73365">
        <w:rPr>
          <w:rFonts w:asciiTheme="minorHAnsi" w:hAnsiTheme="minorHAnsi" w:cstheme="minorHAnsi"/>
          <w:szCs w:val="22"/>
          <w:lang w:val="fr-FR"/>
        </w:rPr>
        <w:t xml:space="preserve"> Ebola</w:t>
      </w:r>
      <w:r w:rsidRPr="00C73365">
        <w:rPr>
          <w:rFonts w:asciiTheme="minorHAnsi" w:hAnsiTheme="minorHAnsi" w:cstheme="minorHAnsi"/>
          <w:szCs w:val="22"/>
          <w:lang w:val="fr-FR"/>
        </w:rPr>
        <w:t>)</w:t>
      </w:r>
      <w:r w:rsidR="009414F6" w:rsidRPr="00C73365">
        <w:rPr>
          <w:rFonts w:asciiTheme="minorHAnsi" w:hAnsiTheme="minorHAnsi" w:cstheme="minorHAnsi"/>
          <w:szCs w:val="22"/>
          <w:lang w:val="fr-FR"/>
        </w:rPr>
        <w:t>,</w:t>
      </w:r>
      <w:r w:rsidRPr="00C73365">
        <w:rPr>
          <w:rFonts w:asciiTheme="minorHAnsi" w:hAnsiTheme="minorHAnsi" w:cstheme="minorHAnsi"/>
          <w:szCs w:val="22"/>
          <w:lang w:val="fr-FR"/>
        </w:rPr>
        <w:t xml:space="preserve"> le Crédit d’Impôt Recherche (estimé à </w:t>
      </w:r>
      <w:r w:rsidR="00D563DE" w:rsidRPr="00C73365">
        <w:rPr>
          <w:rFonts w:asciiTheme="minorHAnsi" w:hAnsiTheme="minorHAnsi" w:cstheme="minorHAnsi"/>
          <w:szCs w:val="22"/>
          <w:lang w:val="fr-FR"/>
        </w:rPr>
        <w:t>2 632</w:t>
      </w:r>
      <w:r w:rsidRPr="00C73365">
        <w:rPr>
          <w:rFonts w:asciiTheme="minorHAnsi" w:hAnsiTheme="minorHAnsi" w:cstheme="minorHAnsi"/>
          <w:szCs w:val="22"/>
          <w:lang w:val="fr-FR"/>
        </w:rPr>
        <w:t xml:space="preserve"> </w:t>
      </w:r>
      <w:r w:rsidR="00EF089C" w:rsidRPr="00C73365">
        <w:rPr>
          <w:rFonts w:asciiTheme="minorHAnsi" w:hAnsiTheme="minorHAnsi" w:cstheme="minorHAnsi"/>
          <w:szCs w:val="22"/>
          <w:lang w:val="fr-FR"/>
        </w:rPr>
        <w:t>K€</w:t>
      </w:r>
      <w:r w:rsidRPr="00C73365">
        <w:rPr>
          <w:rFonts w:asciiTheme="minorHAnsi" w:hAnsiTheme="minorHAnsi" w:cstheme="minorHAnsi"/>
          <w:szCs w:val="22"/>
          <w:lang w:val="fr-FR"/>
        </w:rPr>
        <w:t xml:space="preserve"> en </w:t>
      </w:r>
      <w:r w:rsidR="00D563DE" w:rsidRPr="00C73365">
        <w:rPr>
          <w:rFonts w:asciiTheme="minorHAnsi" w:hAnsiTheme="minorHAnsi" w:cstheme="minorHAnsi"/>
          <w:szCs w:val="22"/>
          <w:lang w:val="fr-FR"/>
        </w:rPr>
        <w:t>2017</w:t>
      </w:r>
      <w:r w:rsidRPr="00C73365">
        <w:rPr>
          <w:rFonts w:asciiTheme="minorHAnsi" w:hAnsiTheme="minorHAnsi" w:cstheme="minorHAnsi"/>
          <w:szCs w:val="22"/>
          <w:lang w:val="fr-FR"/>
        </w:rPr>
        <w:t>)</w:t>
      </w:r>
      <w:r w:rsidR="009414F6" w:rsidRPr="00C73365">
        <w:rPr>
          <w:rFonts w:asciiTheme="minorHAnsi" w:hAnsiTheme="minorHAnsi" w:cstheme="minorHAnsi"/>
          <w:szCs w:val="22"/>
          <w:lang w:val="fr-FR"/>
        </w:rPr>
        <w:t>,</w:t>
      </w:r>
      <w:r w:rsidRPr="00C73365">
        <w:rPr>
          <w:rFonts w:asciiTheme="minorHAnsi" w:hAnsiTheme="minorHAnsi" w:cstheme="minorHAnsi"/>
          <w:szCs w:val="22"/>
          <w:lang w:val="fr-FR"/>
        </w:rPr>
        <w:t xml:space="preserve"> </w:t>
      </w:r>
      <w:r w:rsidR="00D563DE" w:rsidRPr="00C73365">
        <w:rPr>
          <w:rFonts w:asciiTheme="minorHAnsi" w:hAnsiTheme="minorHAnsi" w:cstheme="minorHAnsi"/>
          <w:szCs w:val="22"/>
          <w:lang w:val="fr-FR"/>
        </w:rPr>
        <w:t>et la ligne de financement en fonds propres</w:t>
      </w:r>
      <w:r w:rsidR="002869F0" w:rsidRPr="00C73365">
        <w:rPr>
          <w:rFonts w:asciiTheme="minorHAnsi" w:hAnsiTheme="minorHAnsi" w:cstheme="minorHAnsi"/>
          <w:szCs w:val="22"/>
          <w:lang w:val="fr-FR"/>
        </w:rPr>
        <w:t xml:space="preserve"> souscrite auprès de Kepler Cheuvreux</w:t>
      </w:r>
      <w:r w:rsidR="00D563DE" w:rsidRPr="00C73365">
        <w:rPr>
          <w:rFonts w:asciiTheme="minorHAnsi" w:hAnsiTheme="minorHAnsi" w:cstheme="minorHAnsi"/>
          <w:szCs w:val="22"/>
          <w:lang w:val="fr-FR"/>
        </w:rPr>
        <w:t xml:space="preserve">, </w:t>
      </w:r>
      <w:r w:rsidRPr="00C73365">
        <w:rPr>
          <w:rFonts w:asciiTheme="minorHAnsi" w:hAnsiTheme="minorHAnsi" w:cstheme="minorHAnsi"/>
          <w:szCs w:val="22"/>
          <w:lang w:val="fr-FR"/>
        </w:rPr>
        <w:t xml:space="preserve">elle est en mesure de faire face à ses échéances à venir jusqu’à </w:t>
      </w:r>
      <w:r w:rsidR="00DE07BE" w:rsidRPr="00C73365">
        <w:rPr>
          <w:rFonts w:asciiTheme="minorHAnsi" w:hAnsiTheme="minorHAnsi" w:cstheme="minorHAnsi"/>
          <w:szCs w:val="22"/>
          <w:lang w:val="fr-FR"/>
        </w:rPr>
        <w:t xml:space="preserve">mi </w:t>
      </w:r>
      <w:r w:rsidR="00D563DE" w:rsidRPr="00C73365">
        <w:rPr>
          <w:rFonts w:asciiTheme="minorHAnsi" w:hAnsiTheme="minorHAnsi" w:cstheme="minorHAnsi"/>
          <w:szCs w:val="22"/>
          <w:lang w:val="fr-FR"/>
        </w:rPr>
        <w:t>2019</w:t>
      </w:r>
      <w:r w:rsidR="00DE07BE" w:rsidRPr="00C73365">
        <w:rPr>
          <w:rFonts w:asciiTheme="minorHAnsi" w:hAnsiTheme="minorHAnsi" w:cstheme="minorHAnsi"/>
          <w:szCs w:val="22"/>
          <w:lang w:val="fr-FR"/>
        </w:rPr>
        <w:t>.</w:t>
      </w:r>
    </w:p>
    <w:p w:rsidR="00C367AD" w:rsidRDefault="00C367AD" w:rsidP="00C367AD">
      <w:pPr>
        <w:pStyle w:val="BodyText"/>
        <w:rPr>
          <w:rFonts w:asciiTheme="minorHAnsi" w:hAnsiTheme="minorHAnsi" w:cstheme="minorHAnsi"/>
          <w:lang w:val="fr-FR"/>
        </w:rPr>
      </w:pPr>
      <w:r w:rsidRPr="00C73365">
        <w:rPr>
          <w:rFonts w:asciiTheme="minorHAnsi" w:hAnsiTheme="minorHAnsi" w:cstheme="minorHAnsi"/>
          <w:lang w:val="fr-FR"/>
        </w:rPr>
        <w:t xml:space="preserve">La Société n’est pas exposée à un risque immédiat de liquidité sur les contrats d’aide à l’innovation au titre des avances remboursables dans la mesure où ces derniers ne prévoient pas la mise en œuvre de clause de remboursement anticipé. </w:t>
      </w:r>
    </w:p>
    <w:tbl>
      <w:tblPr>
        <w:tblpPr w:leftFromText="180" w:rightFromText="180" w:vertAnchor="text" w:horzAnchor="margin" w:tblpXSpec="center" w:tblpY="631"/>
        <w:tblW w:w="10801" w:type="dxa"/>
        <w:tblLook w:val="04A0" w:firstRow="1" w:lastRow="0" w:firstColumn="1" w:lastColumn="0" w:noHBand="0" w:noVBand="1"/>
      </w:tblPr>
      <w:tblGrid>
        <w:gridCol w:w="3544"/>
        <w:gridCol w:w="1276"/>
        <w:gridCol w:w="709"/>
        <w:gridCol w:w="708"/>
        <w:gridCol w:w="709"/>
        <w:gridCol w:w="709"/>
        <w:gridCol w:w="850"/>
        <w:gridCol w:w="737"/>
        <w:gridCol w:w="794"/>
        <w:gridCol w:w="765"/>
      </w:tblGrid>
      <w:tr w:rsidR="00C367AD" w:rsidRPr="00C73365" w:rsidTr="00C367AD">
        <w:trPr>
          <w:trHeight w:val="456"/>
        </w:trPr>
        <w:tc>
          <w:tcPr>
            <w:tcW w:w="3544" w:type="dxa"/>
            <w:tcBorders>
              <w:top w:val="single" w:sz="12" w:space="0" w:color="7030A0"/>
              <w:left w:val="nil"/>
              <w:bottom w:val="nil"/>
              <w:right w:val="nil"/>
            </w:tcBorders>
            <w:shd w:val="clear" w:color="auto" w:fill="auto"/>
            <w:vAlign w:val="center"/>
            <w:hideMark/>
          </w:tcPr>
          <w:p w:rsidR="00C367AD" w:rsidRPr="00C73365" w:rsidRDefault="00C367AD" w:rsidP="00C367AD">
            <w:pPr>
              <w:spacing w:after="0"/>
              <w:rPr>
                <w:rFonts w:asciiTheme="minorHAnsi" w:hAnsiTheme="minorHAnsi" w:cstheme="minorHAnsi"/>
                <w:b/>
                <w:bCs/>
                <w:color w:val="000000"/>
                <w:szCs w:val="20"/>
              </w:rPr>
            </w:pPr>
            <w:bookmarkStart w:id="53" w:name="_Hlk509998820"/>
            <w:r w:rsidRPr="00C73365">
              <w:rPr>
                <w:rFonts w:asciiTheme="minorHAnsi" w:hAnsiTheme="minorHAnsi" w:cstheme="minorHAnsi"/>
                <w:b/>
                <w:bCs/>
                <w:color w:val="000000"/>
                <w:szCs w:val="20"/>
              </w:rPr>
              <w:t>au 31 décembre 2017</w:t>
            </w:r>
          </w:p>
        </w:tc>
        <w:tc>
          <w:tcPr>
            <w:tcW w:w="1276"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Solde au 31 décembre 2017</w:t>
            </w:r>
          </w:p>
        </w:tc>
        <w:tc>
          <w:tcPr>
            <w:tcW w:w="709"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2018</w:t>
            </w:r>
          </w:p>
        </w:tc>
        <w:tc>
          <w:tcPr>
            <w:tcW w:w="708"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2019</w:t>
            </w:r>
          </w:p>
        </w:tc>
        <w:tc>
          <w:tcPr>
            <w:tcW w:w="709"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2020</w:t>
            </w:r>
          </w:p>
        </w:tc>
        <w:tc>
          <w:tcPr>
            <w:tcW w:w="709"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2021</w:t>
            </w:r>
          </w:p>
        </w:tc>
        <w:tc>
          <w:tcPr>
            <w:tcW w:w="850"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2022</w:t>
            </w:r>
          </w:p>
        </w:tc>
        <w:tc>
          <w:tcPr>
            <w:tcW w:w="737"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2023</w:t>
            </w:r>
          </w:p>
        </w:tc>
        <w:tc>
          <w:tcPr>
            <w:tcW w:w="794"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2024</w:t>
            </w:r>
          </w:p>
        </w:tc>
        <w:tc>
          <w:tcPr>
            <w:tcW w:w="765" w:type="dxa"/>
            <w:vMerge w:val="restart"/>
            <w:tcBorders>
              <w:top w:val="single" w:sz="12" w:space="0" w:color="7030A0"/>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2025</w:t>
            </w:r>
          </w:p>
        </w:tc>
      </w:tr>
      <w:tr w:rsidR="00C367AD" w:rsidRPr="00C73365" w:rsidTr="00C367AD">
        <w:trPr>
          <w:trHeight w:val="300"/>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d’euros</w:t>
            </w:r>
          </w:p>
        </w:tc>
        <w:tc>
          <w:tcPr>
            <w:tcW w:w="1276"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709"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708"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709"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709"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850"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737"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794"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c>
          <w:tcPr>
            <w:tcW w:w="765" w:type="dxa"/>
            <w:vMerge/>
            <w:tcBorders>
              <w:top w:val="single" w:sz="12" w:space="0" w:color="7030A0"/>
              <w:left w:val="nil"/>
              <w:bottom w:val="single" w:sz="8" w:space="0" w:color="7030A0"/>
              <w:right w:val="nil"/>
            </w:tcBorders>
            <w:vAlign w:val="center"/>
            <w:hideMark/>
          </w:tcPr>
          <w:p w:rsidR="00C367AD" w:rsidRPr="00C73365" w:rsidRDefault="00C367AD" w:rsidP="00C367AD">
            <w:pPr>
              <w:spacing w:after="0"/>
              <w:jc w:val="center"/>
              <w:rPr>
                <w:rFonts w:asciiTheme="minorHAnsi" w:hAnsiTheme="minorHAnsi" w:cstheme="minorHAnsi"/>
                <w:b/>
                <w:bCs/>
                <w:color w:val="000000"/>
                <w:szCs w:val="20"/>
              </w:rPr>
            </w:pPr>
          </w:p>
        </w:tc>
      </w:tr>
      <w:tr w:rsidR="00C367AD" w:rsidRPr="00C73365" w:rsidTr="00C367AD">
        <w:trPr>
          <w:trHeight w:val="288"/>
        </w:trPr>
        <w:tc>
          <w:tcPr>
            <w:tcW w:w="3544" w:type="dxa"/>
            <w:tcBorders>
              <w:top w:val="nil"/>
              <w:left w:val="nil"/>
              <w:bottom w:val="nil"/>
              <w:right w:val="nil"/>
            </w:tcBorders>
            <w:shd w:val="clear" w:color="auto" w:fill="auto"/>
            <w:vAlign w:val="center"/>
            <w:hideMark/>
          </w:tcPr>
          <w:p w:rsidR="00C367AD" w:rsidRPr="00C73365" w:rsidRDefault="00C367AD" w:rsidP="00C367AD">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ISI-CaReNA (part Subventions)</w:t>
            </w:r>
            <w:r w:rsidRPr="00C73365">
              <w:rPr>
                <w:rFonts w:asciiTheme="minorHAnsi" w:hAnsiTheme="minorHAnsi" w:cstheme="minorHAnsi"/>
                <w:color w:val="7030A0"/>
                <w:szCs w:val="20"/>
                <w:lang w:val="fr-FR"/>
              </w:rPr>
              <w:t>*</w:t>
            </w:r>
          </w:p>
        </w:tc>
        <w:tc>
          <w:tcPr>
            <w:tcW w:w="1276"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1 187</w:t>
            </w:r>
          </w:p>
        </w:tc>
        <w:tc>
          <w:tcPr>
            <w:tcW w:w="709"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210</w:t>
            </w:r>
          </w:p>
        </w:tc>
        <w:tc>
          <w:tcPr>
            <w:tcW w:w="708"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09"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09"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szCs w:val="20"/>
              </w:rPr>
            </w:pPr>
          </w:p>
        </w:tc>
        <w:tc>
          <w:tcPr>
            <w:tcW w:w="850"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szCs w:val="20"/>
              </w:rPr>
            </w:pPr>
          </w:p>
        </w:tc>
        <w:tc>
          <w:tcPr>
            <w:tcW w:w="737"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szCs w:val="20"/>
              </w:rPr>
            </w:pPr>
          </w:p>
        </w:tc>
        <w:tc>
          <w:tcPr>
            <w:tcW w:w="794"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szCs w:val="20"/>
              </w:rPr>
            </w:pPr>
          </w:p>
        </w:tc>
        <w:tc>
          <w:tcPr>
            <w:tcW w:w="765"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szCs w:val="20"/>
              </w:rPr>
            </w:pPr>
          </w:p>
        </w:tc>
      </w:tr>
      <w:tr w:rsidR="00C367AD" w:rsidRPr="00C73365" w:rsidTr="00C367AD">
        <w:trPr>
          <w:trHeight w:val="300"/>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ISI-CaReNA (part Avances Remboursables)</w:t>
            </w:r>
            <w:r w:rsidRPr="00C73365">
              <w:rPr>
                <w:rFonts w:asciiTheme="minorHAnsi" w:hAnsiTheme="minorHAnsi" w:cstheme="minorHAnsi"/>
                <w:color w:val="7030A0"/>
                <w:szCs w:val="20"/>
                <w:lang w:val="fr-FR"/>
              </w:rPr>
              <w:t>*</w:t>
            </w:r>
          </w:p>
        </w:tc>
        <w:tc>
          <w:tcPr>
            <w:tcW w:w="1276"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2 187</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000000"/>
                <w:szCs w:val="20"/>
              </w:rPr>
            </w:pPr>
            <w:r>
              <w:rPr>
                <w:rFonts w:asciiTheme="minorHAnsi" w:hAnsiTheme="minorHAnsi" w:cstheme="minorHAnsi"/>
                <w:color w:val="000000"/>
                <w:szCs w:val="20"/>
              </w:rPr>
              <w:t>1 643</w:t>
            </w:r>
          </w:p>
        </w:tc>
        <w:tc>
          <w:tcPr>
            <w:tcW w:w="708"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-500</w:t>
            </w:r>
          </w:p>
        </w:tc>
        <w:tc>
          <w:tcPr>
            <w:tcW w:w="850"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-750</w:t>
            </w:r>
          </w:p>
        </w:tc>
        <w:tc>
          <w:tcPr>
            <w:tcW w:w="737"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-1 100</w:t>
            </w:r>
          </w:p>
        </w:tc>
        <w:tc>
          <w:tcPr>
            <w:tcW w:w="794"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- 1747</w:t>
            </w:r>
          </w:p>
        </w:tc>
        <w:tc>
          <w:tcPr>
            <w:tcW w:w="765"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000000"/>
                <w:szCs w:val="20"/>
              </w:rPr>
            </w:pPr>
          </w:p>
        </w:tc>
      </w:tr>
      <w:tr w:rsidR="00C367AD" w:rsidRPr="00C73365" w:rsidTr="00C367AD">
        <w:trPr>
          <w:trHeight w:val="288"/>
        </w:trPr>
        <w:tc>
          <w:tcPr>
            <w:tcW w:w="3544" w:type="dxa"/>
            <w:tcBorders>
              <w:top w:val="nil"/>
              <w:left w:val="nil"/>
              <w:bottom w:val="nil"/>
              <w:right w:val="nil"/>
            </w:tcBorders>
            <w:shd w:val="clear" w:color="auto" w:fill="auto"/>
            <w:vAlign w:val="center"/>
            <w:hideMark/>
          </w:tcPr>
          <w:p w:rsidR="00C367AD" w:rsidRPr="00C73365" w:rsidRDefault="00C367AD" w:rsidP="00C367AD">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PSCPC- RNP Vir (part Subventions)</w:t>
            </w:r>
            <w:r w:rsidRPr="00C73365">
              <w:rPr>
                <w:rFonts w:asciiTheme="minorHAnsi" w:hAnsiTheme="minorHAnsi" w:cstheme="minorHAnsi"/>
                <w:color w:val="7030A0"/>
                <w:szCs w:val="20"/>
                <w:lang w:val="fr-FR"/>
              </w:rPr>
              <w:t>*</w:t>
            </w:r>
          </w:p>
        </w:tc>
        <w:tc>
          <w:tcPr>
            <w:tcW w:w="1276"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347</w:t>
            </w:r>
          </w:p>
        </w:tc>
        <w:tc>
          <w:tcPr>
            <w:tcW w:w="709"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Pr>
                <w:rFonts w:asciiTheme="minorHAnsi" w:hAnsiTheme="minorHAnsi" w:cstheme="minorHAnsi"/>
                <w:color w:val="000000"/>
                <w:szCs w:val="20"/>
              </w:rPr>
              <w:t>309</w:t>
            </w:r>
          </w:p>
        </w:tc>
        <w:tc>
          <w:tcPr>
            <w:tcW w:w="708"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r>
              <w:rPr>
                <w:rFonts w:asciiTheme="minorHAnsi" w:hAnsiTheme="minorHAnsi" w:cstheme="minorHAnsi"/>
                <w:color w:val="000000"/>
                <w:szCs w:val="20"/>
              </w:rPr>
              <w:t>28</w:t>
            </w:r>
          </w:p>
        </w:tc>
        <w:tc>
          <w:tcPr>
            <w:tcW w:w="709"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414</w:t>
            </w:r>
          </w:p>
        </w:tc>
        <w:tc>
          <w:tcPr>
            <w:tcW w:w="709"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96</w:t>
            </w:r>
          </w:p>
        </w:tc>
        <w:tc>
          <w:tcPr>
            <w:tcW w:w="850"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318</w:t>
            </w:r>
          </w:p>
        </w:tc>
        <w:tc>
          <w:tcPr>
            <w:tcW w:w="737"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94"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szCs w:val="20"/>
              </w:rPr>
            </w:pPr>
          </w:p>
        </w:tc>
        <w:tc>
          <w:tcPr>
            <w:tcW w:w="765" w:type="dxa"/>
            <w:tcBorders>
              <w:top w:val="nil"/>
              <w:left w:val="nil"/>
              <w:bottom w:val="nil"/>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szCs w:val="20"/>
              </w:rPr>
            </w:pPr>
          </w:p>
        </w:tc>
      </w:tr>
      <w:tr w:rsidR="00C367AD" w:rsidRPr="00C73365" w:rsidTr="00C367AD">
        <w:trPr>
          <w:trHeight w:val="300"/>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PSPC- RNP Vir (part Avances Remboursables)</w:t>
            </w:r>
            <w:r w:rsidRPr="00C73365">
              <w:rPr>
                <w:rFonts w:asciiTheme="minorHAnsi" w:hAnsiTheme="minorHAnsi" w:cstheme="minorHAnsi"/>
                <w:color w:val="7030A0"/>
                <w:szCs w:val="20"/>
                <w:lang w:val="fr-FR"/>
              </w:rPr>
              <w:t>*</w:t>
            </w:r>
          </w:p>
        </w:tc>
        <w:tc>
          <w:tcPr>
            <w:tcW w:w="1276"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1 756</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Pr>
                <w:rFonts w:asciiTheme="minorHAnsi" w:hAnsiTheme="minorHAnsi" w:cstheme="minorHAnsi"/>
                <w:color w:val="000000"/>
                <w:szCs w:val="20"/>
              </w:rPr>
              <w:t>979</w:t>
            </w:r>
          </w:p>
        </w:tc>
        <w:tc>
          <w:tcPr>
            <w:tcW w:w="708"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xml:space="preserve">1 </w:t>
            </w:r>
            <w:r>
              <w:rPr>
                <w:rFonts w:asciiTheme="minorHAnsi" w:hAnsiTheme="minorHAnsi" w:cstheme="minorHAnsi"/>
                <w:color w:val="000000"/>
                <w:szCs w:val="20"/>
              </w:rPr>
              <w:t>297</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1 154</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167</w:t>
            </w:r>
          </w:p>
        </w:tc>
        <w:tc>
          <w:tcPr>
            <w:tcW w:w="850"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-700</w:t>
            </w:r>
          </w:p>
        </w:tc>
        <w:tc>
          <w:tcPr>
            <w:tcW w:w="737"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-1 644</w:t>
            </w:r>
          </w:p>
        </w:tc>
        <w:tc>
          <w:tcPr>
            <w:tcW w:w="79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-1 644</w:t>
            </w:r>
          </w:p>
        </w:tc>
        <w:tc>
          <w:tcPr>
            <w:tcW w:w="765"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-1 644</w:t>
            </w:r>
          </w:p>
        </w:tc>
      </w:tr>
      <w:tr w:rsidR="00C367AD" w:rsidRPr="00C73365" w:rsidTr="00C367AD">
        <w:trPr>
          <w:trHeight w:val="564"/>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Aide conjointe </w:t>
            </w:r>
            <w:r>
              <w:rPr>
                <w:rFonts w:asciiTheme="minorHAnsi" w:hAnsiTheme="minorHAnsi" w:cstheme="minorHAnsi"/>
                <w:color w:val="000000"/>
                <w:szCs w:val="20"/>
                <w:lang w:val="fr-FR"/>
              </w:rPr>
              <w:t>Bpifrance</w:t>
            </w:r>
            <w:r w:rsidRPr="00C73365">
              <w:rPr>
                <w:rFonts w:asciiTheme="minorHAnsi" w:hAnsiTheme="minorHAnsi" w:cstheme="minorHAnsi"/>
                <w:color w:val="000000"/>
                <w:szCs w:val="20"/>
                <w:lang w:val="fr-FR"/>
              </w:rPr>
              <w:t xml:space="preserve"> et Région Occitanie (part Avances Remboursables)</w:t>
            </w:r>
          </w:p>
        </w:tc>
        <w:tc>
          <w:tcPr>
            <w:tcW w:w="1276"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90</w:t>
            </w:r>
          </w:p>
        </w:tc>
        <w:tc>
          <w:tcPr>
            <w:tcW w:w="708"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-40</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-60</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-80</w:t>
            </w:r>
          </w:p>
        </w:tc>
        <w:tc>
          <w:tcPr>
            <w:tcW w:w="850"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-100</w:t>
            </w:r>
          </w:p>
        </w:tc>
        <w:tc>
          <w:tcPr>
            <w:tcW w:w="737"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-110</w:t>
            </w:r>
          </w:p>
        </w:tc>
        <w:tc>
          <w:tcPr>
            <w:tcW w:w="79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765"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C367AD" w:rsidRPr="00C73365" w:rsidTr="00C367AD">
        <w:trPr>
          <w:trHeight w:val="300"/>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xml:space="preserve">Sous-Total autres fonds propres </w:t>
            </w:r>
            <w:r w:rsidRPr="00C73365">
              <w:rPr>
                <w:rFonts w:asciiTheme="minorHAnsi" w:hAnsiTheme="minorHAnsi" w:cstheme="minorHAnsi"/>
                <w:b/>
                <w:bCs/>
                <w:color w:val="7030A0"/>
                <w:szCs w:val="20"/>
                <w:lang w:val="fr-FR"/>
              </w:rPr>
              <w:t>(hors intérêts courus)</w:t>
            </w:r>
          </w:p>
        </w:tc>
        <w:tc>
          <w:tcPr>
            <w:tcW w:w="1276"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5 777</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Pr>
                <w:rFonts w:asciiTheme="minorHAnsi" w:hAnsiTheme="minorHAnsi" w:cstheme="minorHAnsi"/>
                <w:color w:val="7030A0"/>
                <w:szCs w:val="20"/>
              </w:rPr>
              <w:t>3 231</w:t>
            </w:r>
          </w:p>
        </w:tc>
        <w:tc>
          <w:tcPr>
            <w:tcW w:w="708"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Pr>
                <w:rFonts w:asciiTheme="minorHAnsi" w:hAnsiTheme="minorHAnsi" w:cstheme="minorHAnsi"/>
                <w:color w:val="7030A0"/>
                <w:szCs w:val="20"/>
              </w:rPr>
              <w:t>1 885</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1 208</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-317</w:t>
            </w:r>
          </w:p>
        </w:tc>
        <w:tc>
          <w:tcPr>
            <w:tcW w:w="850"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-1 232</w:t>
            </w:r>
          </w:p>
        </w:tc>
        <w:tc>
          <w:tcPr>
            <w:tcW w:w="737"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-2 854</w:t>
            </w:r>
          </w:p>
        </w:tc>
        <w:tc>
          <w:tcPr>
            <w:tcW w:w="794"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-3 391</w:t>
            </w:r>
          </w:p>
        </w:tc>
        <w:tc>
          <w:tcPr>
            <w:tcW w:w="765"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-1 644</w:t>
            </w:r>
          </w:p>
        </w:tc>
      </w:tr>
      <w:tr w:rsidR="00C367AD" w:rsidRPr="00C73365" w:rsidTr="00C367AD">
        <w:trPr>
          <w:trHeight w:val="300"/>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Aide conjointe </w:t>
            </w:r>
            <w:r>
              <w:rPr>
                <w:rFonts w:asciiTheme="minorHAnsi" w:hAnsiTheme="minorHAnsi" w:cstheme="minorHAnsi"/>
                <w:color w:val="000000"/>
                <w:szCs w:val="20"/>
                <w:lang w:val="fr-FR"/>
              </w:rPr>
              <w:t>Bpifrance</w:t>
            </w:r>
            <w:r w:rsidRPr="00C73365">
              <w:rPr>
                <w:rFonts w:asciiTheme="minorHAnsi" w:hAnsiTheme="minorHAnsi" w:cstheme="minorHAnsi"/>
                <w:color w:val="000000"/>
                <w:szCs w:val="20"/>
                <w:lang w:val="fr-FR"/>
              </w:rPr>
              <w:t xml:space="preserve"> et Feder (A 10 06 002G)**</w:t>
            </w:r>
          </w:p>
        </w:tc>
        <w:tc>
          <w:tcPr>
            <w:tcW w:w="1276"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708"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850"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37"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9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c>
          <w:tcPr>
            <w:tcW w:w="765"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000000"/>
                <w:szCs w:val="20"/>
              </w:rPr>
            </w:pPr>
          </w:p>
        </w:tc>
      </w:tr>
      <w:tr w:rsidR="00C367AD" w:rsidRPr="00C73365" w:rsidTr="00C367AD">
        <w:trPr>
          <w:trHeight w:val="300"/>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Sous-Total emprunts et dettes financières</w:t>
            </w:r>
          </w:p>
        </w:tc>
        <w:tc>
          <w:tcPr>
            <w:tcW w:w="1276"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-170</w:t>
            </w: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-170</w:t>
            </w:r>
          </w:p>
        </w:tc>
        <w:tc>
          <w:tcPr>
            <w:tcW w:w="708"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p>
        </w:tc>
        <w:tc>
          <w:tcPr>
            <w:tcW w:w="709"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p>
        </w:tc>
        <w:tc>
          <w:tcPr>
            <w:tcW w:w="850"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p>
        </w:tc>
        <w:tc>
          <w:tcPr>
            <w:tcW w:w="737"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p>
        </w:tc>
        <w:tc>
          <w:tcPr>
            <w:tcW w:w="79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p>
        </w:tc>
        <w:tc>
          <w:tcPr>
            <w:tcW w:w="765"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jc w:val="center"/>
              <w:rPr>
                <w:rFonts w:asciiTheme="minorHAnsi" w:hAnsiTheme="minorHAnsi" w:cstheme="minorHAnsi"/>
                <w:color w:val="7030A0"/>
                <w:szCs w:val="20"/>
              </w:rPr>
            </w:pPr>
          </w:p>
        </w:tc>
      </w:tr>
      <w:tr w:rsidR="00C367AD" w:rsidRPr="00C73365" w:rsidTr="00C367AD">
        <w:trPr>
          <w:trHeight w:val="300"/>
        </w:trPr>
        <w:tc>
          <w:tcPr>
            <w:tcW w:w="3544" w:type="dxa"/>
            <w:tcBorders>
              <w:top w:val="nil"/>
              <w:left w:val="nil"/>
              <w:bottom w:val="single" w:sz="8" w:space="0" w:color="7030A0"/>
              <w:right w:val="nil"/>
            </w:tcBorders>
            <w:shd w:val="clear" w:color="auto" w:fill="auto"/>
            <w:vAlign w:val="center"/>
            <w:hideMark/>
          </w:tcPr>
          <w:p w:rsidR="00C367AD" w:rsidRPr="00C73365" w:rsidRDefault="00C367AD" w:rsidP="00C367AD">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Total</w:t>
            </w:r>
          </w:p>
        </w:tc>
        <w:tc>
          <w:tcPr>
            <w:tcW w:w="1276"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5 607</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Pr>
                <w:rFonts w:asciiTheme="minorHAnsi" w:hAnsiTheme="minorHAnsi" w:cstheme="minorHAnsi"/>
                <w:b/>
                <w:bCs/>
                <w:color w:val="7030A0"/>
                <w:szCs w:val="20"/>
              </w:rPr>
              <w:t>3 061</w:t>
            </w:r>
          </w:p>
        </w:tc>
        <w:tc>
          <w:tcPr>
            <w:tcW w:w="708"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Pr>
                <w:rFonts w:asciiTheme="minorHAnsi" w:hAnsiTheme="minorHAnsi" w:cstheme="minorHAnsi"/>
                <w:b/>
                <w:bCs/>
                <w:color w:val="7030A0"/>
                <w:szCs w:val="20"/>
              </w:rPr>
              <w:t>1 885</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1 208</w:t>
            </w:r>
          </w:p>
        </w:tc>
        <w:tc>
          <w:tcPr>
            <w:tcW w:w="709"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-317</w:t>
            </w:r>
          </w:p>
        </w:tc>
        <w:tc>
          <w:tcPr>
            <w:tcW w:w="850"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- 1 232</w:t>
            </w:r>
          </w:p>
        </w:tc>
        <w:tc>
          <w:tcPr>
            <w:tcW w:w="737"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-2 854</w:t>
            </w:r>
          </w:p>
        </w:tc>
        <w:tc>
          <w:tcPr>
            <w:tcW w:w="794"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-3 391</w:t>
            </w:r>
          </w:p>
        </w:tc>
        <w:tc>
          <w:tcPr>
            <w:tcW w:w="765" w:type="dxa"/>
            <w:tcBorders>
              <w:top w:val="nil"/>
              <w:left w:val="nil"/>
              <w:bottom w:val="single" w:sz="8" w:space="0" w:color="7030A0"/>
              <w:right w:val="nil"/>
            </w:tcBorders>
            <w:shd w:val="clear" w:color="auto" w:fill="auto"/>
            <w:vAlign w:val="center"/>
          </w:tcPr>
          <w:p w:rsidR="00C367AD" w:rsidRPr="00C73365" w:rsidRDefault="00C367AD" w:rsidP="00C367AD">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-1 644</w:t>
            </w:r>
          </w:p>
        </w:tc>
      </w:tr>
    </w:tbl>
    <w:bookmarkEnd w:id="53"/>
    <w:p w:rsidR="00C367AD" w:rsidRPr="00C367AD" w:rsidRDefault="00C367AD" w:rsidP="00C367AD">
      <w:pPr>
        <w:pStyle w:val="BodyText"/>
        <w:rPr>
          <w:rFonts w:asciiTheme="minorHAnsi" w:hAnsiTheme="minorHAnsi" w:cstheme="minorHAnsi"/>
          <w:lang w:val="fr-FR"/>
        </w:rPr>
      </w:pPr>
      <w:r w:rsidRPr="00C73365">
        <w:rPr>
          <w:rFonts w:asciiTheme="minorHAnsi" w:hAnsiTheme="minorHAnsi" w:cstheme="minorHAnsi"/>
          <w:lang w:val="fr-FR"/>
        </w:rPr>
        <w:t>Le tableau ci-dessous illustre le risque de liquidité sur les engagements de remboursement des avances remboursables pris par la Société :</w:t>
      </w:r>
    </w:p>
    <w:p w:rsidR="000D14D3" w:rsidRDefault="000D14D3" w:rsidP="000D14D3">
      <w:pPr>
        <w:pStyle w:val="ListBullet"/>
        <w:numPr>
          <w:ilvl w:val="0"/>
          <w:numId w:val="0"/>
        </w:numPr>
        <w:ind w:left="720"/>
        <w:rPr>
          <w:rFonts w:asciiTheme="minorHAnsi" w:hAnsiTheme="minorHAnsi" w:cstheme="minorHAnsi"/>
          <w:lang w:val="fr-FR"/>
        </w:rPr>
      </w:pPr>
      <w:r>
        <w:rPr>
          <w:rFonts w:asciiTheme="minorHAnsi" w:hAnsiTheme="minorHAnsi" w:cstheme="minorHAnsi"/>
          <w:lang w:val="fr-FR"/>
        </w:rPr>
        <w:lastRenderedPageBreak/>
        <w:t>*</w:t>
      </w:r>
      <w:r w:rsidRPr="00E66FAB">
        <w:rPr>
          <w:rFonts w:asciiTheme="minorHAnsi" w:hAnsiTheme="minorHAnsi" w:cstheme="minorHAnsi"/>
          <w:lang w:val="fr-FR"/>
        </w:rPr>
        <w:t>Pour le projet ISI-CaReNA et PSPC-RNP Vir (Subventions et avances remboursables) : les montants indiqués sont des versements maximaux, voir détails des contrats au chapitre 22.4 ** à date d’enregistrement d</w:t>
      </w:r>
      <w:r>
        <w:rPr>
          <w:rFonts w:asciiTheme="minorHAnsi" w:hAnsiTheme="minorHAnsi" w:cstheme="minorHAnsi"/>
          <w:lang w:val="fr-FR"/>
        </w:rPr>
        <w:t>e ce document</w:t>
      </w:r>
      <w:r w:rsidRPr="00E66FAB">
        <w:rPr>
          <w:rFonts w:asciiTheme="minorHAnsi" w:hAnsiTheme="minorHAnsi" w:cstheme="minorHAnsi"/>
          <w:lang w:val="fr-FR"/>
        </w:rPr>
        <w:t>, l’aide conjointe Bpifrance et Feder est intégralement remboursée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Il est précisé que dans l’ensemble des avances mentionnées ci-dessus, seul le remboursement de </w:t>
      </w:r>
      <w:r w:rsidR="00AE5743" w:rsidRPr="00C73365">
        <w:rPr>
          <w:rFonts w:asciiTheme="minorHAnsi" w:hAnsiTheme="minorHAnsi" w:cstheme="minorHAnsi"/>
          <w:lang w:val="fr-FR"/>
        </w:rPr>
        <w:t>170 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correspondant à l’aide conjointe </w:t>
      </w:r>
      <w:r w:rsidR="001479F8">
        <w:rPr>
          <w:rFonts w:asciiTheme="minorHAnsi" w:hAnsiTheme="minorHAnsi" w:cstheme="minorHAnsi"/>
          <w:lang w:val="fr-FR"/>
        </w:rPr>
        <w:t>Bpifrance</w:t>
      </w:r>
      <w:r w:rsidRPr="00C73365">
        <w:rPr>
          <w:rFonts w:asciiTheme="minorHAnsi" w:hAnsiTheme="minorHAnsi" w:cstheme="minorHAnsi"/>
          <w:lang w:val="fr-FR"/>
        </w:rPr>
        <w:t>-FEDER viendra en déduction des emprunts et dettes financières diverses, le reste des remboursements viendra en réduction des autres fonds propres (avances conditionnées).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Par ailleurs, </w:t>
      </w:r>
      <w:r w:rsidR="004E7D26" w:rsidRPr="00C73365">
        <w:rPr>
          <w:rFonts w:asciiTheme="minorHAnsi" w:hAnsiTheme="minorHAnsi" w:cstheme="minorHAnsi"/>
          <w:lang w:val="fr-FR"/>
        </w:rPr>
        <w:t xml:space="preserve">des </w:t>
      </w:r>
      <w:r w:rsidRPr="00C73365">
        <w:rPr>
          <w:rFonts w:asciiTheme="minorHAnsi" w:hAnsiTheme="minorHAnsi" w:cstheme="minorHAnsi"/>
          <w:lang w:val="fr-FR"/>
        </w:rPr>
        <w:t>dépenses liées à la recherche et au développement des études cliniques ont été engagées depuis le démarrage de l’activité du Groupe, ce qui a généré jusqu’à ce jour des flux de trésorerie négatifs liés aux activités opérationnelles.</w:t>
      </w:r>
    </w:p>
    <w:p w:rsidR="00F46C7B" w:rsidRPr="00C73365" w:rsidRDefault="00F46C7B" w:rsidP="004572A0">
      <w:pPr>
        <w:pStyle w:val="List"/>
        <w:rPr>
          <w:rFonts w:asciiTheme="minorHAnsi" w:hAnsiTheme="minorHAnsi" w:cstheme="minorHAnsi"/>
          <w:lang w:val="fr-FR"/>
        </w:rPr>
      </w:pPr>
      <w:r w:rsidRPr="00C73365">
        <w:rPr>
          <w:rFonts w:asciiTheme="minorHAnsi" w:hAnsiTheme="minorHAnsi" w:cstheme="minorHAnsi"/>
          <w:lang w:val="fr-FR"/>
        </w:rPr>
        <w:t>Il est par ailleurs précisé que la Société n’a pas d’engagements hors bilan à moins d’un an.</w:t>
      </w:r>
    </w:p>
    <w:p w:rsidR="00934BC8" w:rsidRPr="00C73365" w:rsidRDefault="00934BC8" w:rsidP="004572A0">
      <w:pPr>
        <w:pStyle w:val="List"/>
        <w:rPr>
          <w:rFonts w:asciiTheme="minorHAnsi" w:hAnsiTheme="minorHAnsi" w:cstheme="minorHAnsi"/>
          <w:lang w:val="fr-FR"/>
        </w:rPr>
      </w:pPr>
      <w:r w:rsidRPr="00C73365">
        <w:rPr>
          <w:rFonts w:asciiTheme="minorHAnsi" w:hAnsiTheme="minorHAnsi" w:cstheme="minorHAnsi"/>
          <w:lang w:val="fr-FR"/>
        </w:rPr>
        <w:t>La Société considère qu’il n’y a pas d’autres risques significatifs hormis ceux présentés.</w:t>
      </w:r>
    </w:p>
    <w:p w:rsidR="000C131F" w:rsidRPr="00C73365" w:rsidRDefault="000C131F">
      <w:pPr>
        <w:autoSpaceDE w:val="0"/>
        <w:autoSpaceDN w:val="0"/>
        <w:adjustRightInd w:val="0"/>
        <w:rPr>
          <w:rFonts w:asciiTheme="minorHAnsi" w:hAnsiTheme="minorHAnsi" w:cstheme="minorHAnsi"/>
          <w:lang w:val="fr-FR"/>
        </w:rPr>
      </w:pP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de change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stratégie de la Société est de favoriser l’euro comme devise dans le cadre de la signature de ses contrats.</w:t>
      </w:r>
    </w:p>
    <w:p w:rsidR="00BB083E"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A ce jour, la Société considère ne pas être exposée à un risque de change significatif dans la mesure où seule une faible partie de ses approvisionnements est facturée en devises étrangères.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De même, la trésorerie de la Société est investie dans des produits de placement en euros exclusivement.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regard de ces montants peu significatifs, la Société n’a pas pris, à ce stade de développement de son activité, de disposition de couverture afin de protéger son activité contre les fluctuations des taux de change.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ne peut exclure qu’une augmentation importante de son activité résulte dans une plus grande exposition au risque de change. La Société envisagera alors de recourir à une politique adaptée de couverture de ces risques.</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de crédit</w:t>
      </w:r>
    </w:p>
    <w:p w:rsidR="00024BFE" w:rsidRPr="00C73365" w:rsidRDefault="00024BFE" w:rsidP="00A96CCA">
      <w:pPr>
        <w:pStyle w:val="ConmainL3"/>
        <w:tabs>
          <w:tab w:val="clear" w:pos="360"/>
        </w:tabs>
        <w:spacing w:after="120"/>
        <w:ind w:left="0" w:firstLine="0"/>
        <w:outlineLvl w:val="9"/>
        <w:rPr>
          <w:rFonts w:asciiTheme="minorHAnsi" w:hAnsiTheme="minorHAnsi" w:cstheme="minorHAnsi"/>
          <w:lang w:val="fr-FR"/>
        </w:rPr>
      </w:pPr>
      <w:r w:rsidRPr="00C73365">
        <w:rPr>
          <w:rFonts w:asciiTheme="minorHAnsi" w:hAnsiTheme="minorHAnsi" w:cstheme="minorHAnsi"/>
          <w:lang w:val="fr-FR"/>
        </w:rPr>
        <w:t xml:space="preserve">La Société exerce une gestion prudente de sa trésorerie disponible. La trésorerie et équivalents comprennent les disponibilités et les instruments financiers courants détenus par la Société (essentiellement des comptes à terme). </w:t>
      </w:r>
    </w:p>
    <w:p w:rsidR="00F46C7B" w:rsidRPr="00C73365" w:rsidRDefault="00024BFE" w:rsidP="004572A0">
      <w:pPr>
        <w:pStyle w:val="BodyText"/>
        <w:rPr>
          <w:rFonts w:asciiTheme="minorHAnsi" w:hAnsiTheme="minorHAnsi" w:cstheme="minorHAnsi"/>
          <w:szCs w:val="22"/>
          <w:lang w:val="fr-FR"/>
        </w:rPr>
      </w:pPr>
      <w:r w:rsidRPr="00C73365">
        <w:rPr>
          <w:rFonts w:asciiTheme="minorHAnsi" w:hAnsiTheme="minorHAnsi" w:cstheme="minorHAnsi"/>
          <w:lang w:val="fr-FR"/>
        </w:rPr>
        <w:t xml:space="preserve">La société bénéficie au 31 </w:t>
      </w:r>
      <w:r w:rsidR="008C1A4A">
        <w:rPr>
          <w:rFonts w:asciiTheme="minorHAnsi" w:hAnsiTheme="minorHAnsi" w:cstheme="minorHAnsi"/>
          <w:lang w:val="fr-FR"/>
        </w:rPr>
        <w:t>d</w:t>
      </w:r>
      <w:r w:rsidRPr="00C73365">
        <w:rPr>
          <w:rFonts w:asciiTheme="minorHAnsi" w:hAnsiTheme="minorHAnsi" w:cstheme="minorHAnsi"/>
          <w:lang w:val="fr-FR"/>
        </w:rPr>
        <w:t xml:space="preserve">écembre </w:t>
      </w:r>
      <w:r w:rsidR="00AE5743" w:rsidRPr="00C73365">
        <w:rPr>
          <w:rFonts w:asciiTheme="minorHAnsi" w:hAnsiTheme="minorHAnsi" w:cstheme="minorHAnsi"/>
          <w:lang w:val="fr-FR"/>
        </w:rPr>
        <w:t xml:space="preserve">2017 </w:t>
      </w:r>
      <w:r w:rsidR="00D133D8" w:rsidRPr="00C73365">
        <w:rPr>
          <w:rFonts w:asciiTheme="minorHAnsi" w:hAnsiTheme="minorHAnsi" w:cstheme="minorHAnsi"/>
          <w:lang w:val="fr-FR"/>
        </w:rPr>
        <w:t>de disponibilités</w:t>
      </w:r>
      <w:r w:rsidRPr="00C73365">
        <w:rPr>
          <w:rFonts w:asciiTheme="minorHAnsi" w:hAnsiTheme="minorHAnsi" w:cstheme="minorHAnsi"/>
          <w:lang w:val="fr-FR"/>
        </w:rPr>
        <w:t xml:space="preserve"> de </w:t>
      </w:r>
      <w:r w:rsidR="00AE5743" w:rsidRPr="00C73365">
        <w:rPr>
          <w:rFonts w:asciiTheme="minorHAnsi" w:hAnsiTheme="minorHAnsi" w:cstheme="minorHAnsi"/>
          <w:lang w:val="fr-FR"/>
        </w:rPr>
        <w:t>1 8</w:t>
      </w:r>
      <w:r w:rsidR="00E30413" w:rsidRPr="00C73365">
        <w:rPr>
          <w:rFonts w:asciiTheme="minorHAnsi" w:hAnsiTheme="minorHAnsi" w:cstheme="minorHAnsi"/>
          <w:lang w:val="fr-FR"/>
        </w:rPr>
        <w:t>81</w:t>
      </w:r>
      <w:r w:rsidR="00AE5743"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auxquels s’ajoutent 15 </w:t>
      </w:r>
      <w:r w:rsidR="00E30413" w:rsidRPr="00C73365">
        <w:rPr>
          <w:rFonts w:asciiTheme="minorHAnsi" w:hAnsiTheme="minorHAnsi" w:cstheme="minorHAnsi"/>
          <w:lang w:val="fr-FR"/>
        </w:rPr>
        <w:t>145</w:t>
      </w:r>
      <w:r w:rsidR="00AE5743"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de placements sur des comptes à terme et 6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de SICAV/OPCVM.</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risque de crédit est associé aux dépôts auprès des banques et des institutions financières. La Société fait appel pour ses placements de trésorerie à des institutions financières de premier plan et ne supporte donc pas de risque de crédit significatif sur sa trésorerie.</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de taux</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n’a aucune dette à taux variable et n’est donc pas exposé à un risque de taux.</w:t>
      </w:r>
    </w:p>
    <w:p w:rsidR="00F46C7B" w:rsidRPr="00C73365" w:rsidRDefault="00F46C7B" w:rsidP="00A96CCA">
      <w:pPr>
        <w:pStyle w:val="ConmainL3"/>
        <w:numPr>
          <w:ilvl w:val="2"/>
          <w:numId w:val="9"/>
        </w:numPr>
        <w:tabs>
          <w:tab w:val="clear" w:pos="1260"/>
        </w:tabs>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Risques sur actions</w:t>
      </w:r>
    </w:p>
    <w:p w:rsidR="00024BFE" w:rsidRPr="00C73365" w:rsidRDefault="00024BFE" w:rsidP="004572A0">
      <w:pPr>
        <w:pStyle w:val="BodyText"/>
        <w:rPr>
          <w:rFonts w:asciiTheme="minorHAnsi" w:hAnsiTheme="minorHAnsi" w:cstheme="minorHAnsi"/>
          <w:lang w:val="fr-FR"/>
        </w:rPr>
      </w:pPr>
      <w:r w:rsidRPr="00C73365">
        <w:rPr>
          <w:rFonts w:asciiTheme="minorHAnsi" w:hAnsiTheme="minorHAnsi" w:cstheme="minorHAnsi"/>
          <w:lang w:val="fr-FR"/>
        </w:rPr>
        <w:t>Au 26 Juin 2015, la Société a confié à la société TSAF – Tradition Securities And Futures – la mise en œuvre d</w:t>
      </w:r>
      <w:r w:rsidR="004572A0" w:rsidRPr="00C73365">
        <w:rPr>
          <w:rFonts w:asciiTheme="minorHAnsi" w:hAnsiTheme="minorHAnsi" w:cstheme="minorHAnsi"/>
          <w:lang w:val="fr-FR"/>
        </w:rPr>
        <w:t>’</w:t>
      </w:r>
      <w:r w:rsidRPr="00C73365">
        <w:rPr>
          <w:rFonts w:asciiTheme="minorHAnsi" w:hAnsiTheme="minorHAnsi" w:cstheme="minorHAnsi"/>
          <w:lang w:val="fr-FR"/>
        </w:rPr>
        <w:t>un contrat de liquidité. Pour ce faire, 1 million d’€ ont été affectés comme moyens au compte de liquidité. Dans le cadre de ce contrat, la Société a été amené à acquérir des titres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dont le montant s’élevait à </w:t>
      </w:r>
      <w:r w:rsidR="00AE5743" w:rsidRPr="00C73365">
        <w:rPr>
          <w:rFonts w:asciiTheme="minorHAnsi" w:hAnsiTheme="minorHAnsi" w:cstheme="minorHAnsi"/>
          <w:lang w:val="fr-FR"/>
        </w:rPr>
        <w:t>34</w:t>
      </w:r>
      <w:r w:rsidR="0010612E" w:rsidRPr="00C73365">
        <w:rPr>
          <w:rFonts w:asciiTheme="minorHAnsi" w:hAnsiTheme="minorHAnsi" w:cstheme="minorHAnsi"/>
          <w:lang w:val="fr-FR"/>
        </w:rPr>
        <w:t> </w:t>
      </w:r>
      <w:r w:rsidR="00AE5743" w:rsidRPr="00C73365">
        <w:rPr>
          <w:rFonts w:asciiTheme="minorHAnsi" w:hAnsiTheme="minorHAnsi" w:cstheme="minorHAnsi"/>
          <w:lang w:val="fr-FR"/>
        </w:rPr>
        <w:t>050</w:t>
      </w:r>
      <w:r w:rsidR="0010612E" w:rsidRPr="00C73365">
        <w:rPr>
          <w:rFonts w:asciiTheme="minorHAnsi" w:hAnsiTheme="minorHAnsi" w:cstheme="minorHAnsi"/>
          <w:lang w:val="fr-FR"/>
        </w:rPr>
        <w:t xml:space="preserve"> </w:t>
      </w:r>
      <w:r w:rsidRPr="00C73365">
        <w:rPr>
          <w:rFonts w:asciiTheme="minorHAnsi" w:hAnsiTheme="minorHAnsi" w:cstheme="minorHAnsi"/>
          <w:lang w:val="fr-FR"/>
        </w:rPr>
        <w:t xml:space="preserve">actions pour une valeur nominale de 499 euros et une valeur comptable de </w:t>
      </w:r>
      <w:r w:rsidR="0032557C" w:rsidRPr="00C73365">
        <w:rPr>
          <w:rFonts w:asciiTheme="minorHAnsi" w:hAnsiTheme="minorHAnsi" w:cstheme="minorHAnsi"/>
          <w:lang w:val="fr-FR"/>
        </w:rPr>
        <w:t xml:space="preserve">384 992 </w:t>
      </w:r>
      <w:r w:rsidRPr="00C73365">
        <w:rPr>
          <w:rFonts w:asciiTheme="minorHAnsi" w:hAnsiTheme="minorHAnsi" w:cstheme="minorHAnsi"/>
          <w:lang w:val="fr-FR"/>
        </w:rPr>
        <w:t>euros au 31/12/</w:t>
      </w:r>
      <w:r w:rsidR="00AE5743" w:rsidRPr="00C73365">
        <w:rPr>
          <w:rFonts w:asciiTheme="minorHAnsi" w:hAnsiTheme="minorHAnsi" w:cstheme="minorHAnsi"/>
          <w:lang w:val="fr-FR"/>
        </w:rPr>
        <w:t>2017</w:t>
      </w:r>
      <w:r w:rsidRPr="00C73365">
        <w:rPr>
          <w:rFonts w:asciiTheme="minorHAnsi" w:hAnsiTheme="minorHAnsi" w:cstheme="minorHAnsi"/>
          <w:lang w:val="fr-FR"/>
        </w:rPr>
        <w:t xml:space="preserve">. </w:t>
      </w:r>
    </w:p>
    <w:p w:rsidR="00024BFE" w:rsidRPr="00C73365" w:rsidRDefault="00024BFE"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détention de ses propres titres amène la Société à subir l’impact de la fluctuation du cours de bourse de l’action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situation de baisse de cours.</w:t>
      </w:r>
    </w:p>
    <w:p w:rsidR="00024BFE" w:rsidRPr="00C73365" w:rsidRDefault="00024BFE"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 xml:space="preserve">Il ne peut être exclu que la détention de ses propres titres par la Société ne se traduisent pas dans le futur par une dépréciation supplémentaire, en fonction de l’évolution à venir du cours de bourse de l’action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du nombre des actions auto-détenues.</w:t>
      </w:r>
    </w:p>
    <w:p w:rsidR="00024BFE" w:rsidRPr="00C73365" w:rsidRDefault="00024BFE" w:rsidP="004572A0">
      <w:pPr>
        <w:pStyle w:val="BodyText"/>
        <w:rPr>
          <w:rFonts w:asciiTheme="minorHAnsi" w:hAnsiTheme="minorHAnsi" w:cstheme="minorHAnsi"/>
          <w:lang w:val="fr-FR"/>
        </w:rPr>
      </w:pPr>
      <w:r w:rsidRPr="00C73365">
        <w:rPr>
          <w:rFonts w:asciiTheme="minorHAnsi" w:hAnsiTheme="minorHAnsi" w:cstheme="minorHAnsi"/>
          <w:lang w:val="fr-FR"/>
        </w:rPr>
        <w:t>En dehors de ses propres actions, la Société ne détient pas d’autres actions de sociétés cotées ou non cotées.</w:t>
      </w:r>
    </w:p>
    <w:p w:rsidR="00F46C7B" w:rsidRPr="00C93577" w:rsidRDefault="00F46C7B" w:rsidP="00A96CCA">
      <w:pPr>
        <w:pStyle w:val="ConmainL2"/>
        <w:numPr>
          <w:ilvl w:val="1"/>
          <w:numId w:val="9"/>
        </w:numPr>
        <w:spacing w:after="120"/>
        <w:rPr>
          <w:rFonts w:asciiTheme="minorHAnsi" w:hAnsiTheme="minorHAnsi" w:cstheme="minorHAnsi"/>
          <w:sz w:val="22"/>
          <w:szCs w:val="22"/>
          <w:lang w:val="fr-FR"/>
        </w:rPr>
      </w:pPr>
      <w:bookmarkStart w:id="54" w:name="_Toc474746845"/>
      <w:bookmarkStart w:id="55" w:name="_Toc476145760"/>
      <w:bookmarkStart w:id="56" w:name="_Toc476152967"/>
      <w:bookmarkStart w:id="57" w:name="_Toc476153086"/>
      <w:bookmarkStart w:id="58" w:name="_Toc476153205"/>
      <w:bookmarkStart w:id="59" w:name="_Toc476153328"/>
      <w:bookmarkStart w:id="60" w:name="_Toc476153447"/>
      <w:bookmarkStart w:id="61" w:name="_Toc474746846"/>
      <w:bookmarkStart w:id="62" w:name="_Toc476145761"/>
      <w:bookmarkStart w:id="63" w:name="_Toc476152968"/>
      <w:bookmarkStart w:id="64" w:name="_Toc476153087"/>
      <w:bookmarkStart w:id="65" w:name="_Toc476153206"/>
      <w:bookmarkStart w:id="66" w:name="_Toc476153329"/>
      <w:bookmarkStart w:id="67" w:name="_Toc476153448"/>
      <w:bookmarkStart w:id="68" w:name="_Toc474746847"/>
      <w:bookmarkStart w:id="69" w:name="_Toc476145762"/>
      <w:bookmarkStart w:id="70" w:name="_Toc476152969"/>
      <w:bookmarkStart w:id="71" w:name="_Toc476153088"/>
      <w:bookmarkStart w:id="72" w:name="_Toc476153207"/>
      <w:bookmarkStart w:id="73" w:name="_Toc476153330"/>
      <w:bookmarkStart w:id="74" w:name="_Toc476153449"/>
      <w:bookmarkStart w:id="75" w:name="_Toc474746848"/>
      <w:bookmarkStart w:id="76" w:name="_Toc476145763"/>
      <w:bookmarkStart w:id="77" w:name="_Toc476152970"/>
      <w:bookmarkStart w:id="78" w:name="_Toc476153089"/>
      <w:bookmarkStart w:id="79" w:name="_Toc476153208"/>
      <w:bookmarkStart w:id="80" w:name="_Toc476153331"/>
      <w:bookmarkStart w:id="81" w:name="_Toc476153450"/>
      <w:bookmarkStart w:id="82" w:name="_Toc474746849"/>
      <w:bookmarkStart w:id="83" w:name="_Toc476145764"/>
      <w:bookmarkStart w:id="84" w:name="_Toc476152971"/>
      <w:bookmarkStart w:id="85" w:name="_Toc476153090"/>
      <w:bookmarkStart w:id="86" w:name="_Toc476153209"/>
      <w:bookmarkStart w:id="87" w:name="_Toc476153332"/>
      <w:bookmarkStart w:id="88" w:name="_Toc476153451"/>
      <w:bookmarkStart w:id="89" w:name="_Toc474746850"/>
      <w:bookmarkStart w:id="90" w:name="_Toc476145765"/>
      <w:bookmarkStart w:id="91" w:name="_Toc476152972"/>
      <w:bookmarkStart w:id="92" w:name="_Toc476153091"/>
      <w:bookmarkStart w:id="93" w:name="_Toc476153210"/>
      <w:bookmarkStart w:id="94" w:name="_Toc476153333"/>
      <w:bookmarkStart w:id="95" w:name="_Toc476153452"/>
      <w:bookmarkStart w:id="96" w:name="_Toc474746851"/>
      <w:bookmarkStart w:id="97" w:name="_Toc476145766"/>
      <w:bookmarkStart w:id="98" w:name="_Toc476152973"/>
      <w:bookmarkStart w:id="99" w:name="_Toc476153092"/>
      <w:bookmarkStart w:id="100" w:name="_Toc476153211"/>
      <w:bookmarkStart w:id="101" w:name="_Toc476153334"/>
      <w:bookmarkStart w:id="102" w:name="_Toc476153453"/>
      <w:bookmarkStart w:id="103" w:name="_Toc402884125"/>
      <w:bookmarkStart w:id="104" w:name="_Toc462673232"/>
      <w:bookmarkStart w:id="105" w:name="_Toc467835578"/>
      <w:bookmarkStart w:id="106" w:name="_Toc512863892"/>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C93577">
        <w:rPr>
          <w:rFonts w:asciiTheme="minorHAnsi" w:hAnsiTheme="minorHAnsi" w:cstheme="minorHAnsi"/>
          <w:sz w:val="22"/>
          <w:szCs w:val="22"/>
          <w:lang w:val="fr-FR"/>
        </w:rPr>
        <w:t>Assurances et couvertures de risques</w:t>
      </w:r>
      <w:bookmarkEnd w:id="103"/>
      <w:bookmarkEnd w:id="104"/>
      <w:bookmarkEnd w:id="105"/>
      <w:bookmarkEnd w:id="106"/>
    </w:p>
    <w:p w:rsidR="00D563DE" w:rsidRPr="00C73365" w:rsidRDefault="00F46C7B" w:rsidP="004572A0">
      <w:pPr>
        <w:pStyle w:val="ListContinue"/>
        <w:rPr>
          <w:rFonts w:asciiTheme="minorHAnsi" w:hAnsiTheme="minorHAnsi" w:cstheme="minorHAnsi"/>
          <w:lang w:val="fr-FR"/>
        </w:rPr>
      </w:pPr>
      <w:r w:rsidRPr="00C73365">
        <w:rPr>
          <w:rFonts w:asciiTheme="minorHAnsi" w:hAnsiTheme="minorHAnsi" w:cstheme="minorHAnsi"/>
          <w:lang w:val="fr-FR"/>
        </w:rPr>
        <w:t xml:space="preserve">La Société a mis en place une politique de couverture des principaux risques assurables avec des montants de garantie qu’elle estime compatibles avec la nature de son activité et ses impératifs de consommation de trésorerie. </w:t>
      </w:r>
    </w:p>
    <w:p w:rsidR="00F46C7B" w:rsidRPr="00C73365" w:rsidRDefault="00F46C7B" w:rsidP="004572A0">
      <w:pPr>
        <w:pStyle w:val="ListContinue"/>
        <w:rPr>
          <w:rFonts w:asciiTheme="minorHAnsi" w:hAnsiTheme="minorHAnsi" w:cstheme="minorHAnsi"/>
          <w:b/>
          <w:lang w:val="fr-FR"/>
        </w:rPr>
      </w:pPr>
      <w:r w:rsidRPr="00C73365">
        <w:rPr>
          <w:rFonts w:asciiTheme="minorHAnsi" w:hAnsiTheme="minorHAnsi" w:cstheme="minorHAnsi"/>
          <w:b/>
          <w:lang w:val="fr-FR"/>
        </w:rPr>
        <w:t>Tableau récapitulatif des assurances souscrites par la Société :</w:t>
      </w:r>
    </w:p>
    <w:tbl>
      <w:tblPr>
        <w:tblW w:w="5221" w:type="pct"/>
        <w:tblLayout w:type="fixed"/>
        <w:tblCellMar>
          <w:left w:w="70" w:type="dxa"/>
          <w:right w:w="70" w:type="dxa"/>
        </w:tblCellMar>
        <w:tblLook w:val="04A0" w:firstRow="1" w:lastRow="0" w:firstColumn="1" w:lastColumn="0" w:noHBand="0" w:noVBand="1"/>
      </w:tblPr>
      <w:tblGrid>
        <w:gridCol w:w="2690"/>
        <w:gridCol w:w="992"/>
        <w:gridCol w:w="2130"/>
        <w:gridCol w:w="1701"/>
        <w:gridCol w:w="2552"/>
      </w:tblGrid>
      <w:tr w:rsidR="00B13C1A" w:rsidRPr="00C73365" w:rsidTr="00172502">
        <w:trPr>
          <w:trHeight w:val="576"/>
        </w:trPr>
        <w:tc>
          <w:tcPr>
            <w:tcW w:w="1336" w:type="pct"/>
            <w:tcBorders>
              <w:top w:val="single" w:sz="12" w:space="0" w:color="7030A0"/>
              <w:left w:val="nil"/>
              <w:bottom w:val="single" w:sz="8" w:space="0" w:color="7030A0"/>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Type d’assurance</w:t>
            </w:r>
          </w:p>
        </w:tc>
        <w:tc>
          <w:tcPr>
            <w:tcW w:w="493" w:type="pct"/>
            <w:tcBorders>
              <w:top w:val="single" w:sz="12" w:space="0" w:color="7030A0"/>
              <w:left w:val="nil"/>
              <w:bottom w:val="single" w:sz="8" w:space="0" w:color="7030A0"/>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Assureur</w:t>
            </w:r>
          </w:p>
        </w:tc>
        <w:tc>
          <w:tcPr>
            <w:tcW w:w="1058" w:type="pct"/>
            <w:tcBorders>
              <w:top w:val="single" w:sz="12" w:space="0" w:color="7030A0"/>
              <w:left w:val="nil"/>
              <w:bottom w:val="single" w:sz="8" w:space="0" w:color="7030A0"/>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Montants couverts</w:t>
            </w:r>
          </w:p>
        </w:tc>
        <w:tc>
          <w:tcPr>
            <w:tcW w:w="845" w:type="pct"/>
            <w:tcBorders>
              <w:top w:val="single" w:sz="12" w:space="0" w:color="7030A0"/>
              <w:left w:val="nil"/>
              <w:bottom w:val="single" w:sz="8" w:space="0" w:color="7030A0"/>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Franchise par sinistre</w:t>
            </w:r>
          </w:p>
        </w:tc>
        <w:tc>
          <w:tcPr>
            <w:tcW w:w="1268" w:type="pct"/>
            <w:tcBorders>
              <w:top w:val="single" w:sz="12" w:space="0" w:color="7030A0"/>
              <w:left w:val="nil"/>
              <w:bottom w:val="single" w:sz="8" w:space="0" w:color="7030A0"/>
              <w:right w:val="nil"/>
            </w:tcBorders>
            <w:shd w:val="clear" w:color="auto" w:fill="auto"/>
            <w:vAlign w:val="center"/>
            <w:hideMark/>
          </w:tcPr>
          <w:p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Expiration / Renouvellement</w:t>
            </w:r>
          </w:p>
        </w:tc>
      </w:tr>
      <w:tr w:rsidR="00B13C1A" w:rsidRPr="00F06F79" w:rsidTr="00172502">
        <w:trPr>
          <w:trHeight w:val="710"/>
        </w:trPr>
        <w:tc>
          <w:tcPr>
            <w:tcW w:w="1336"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Responsabilité des dirigeants</w:t>
            </w:r>
          </w:p>
        </w:tc>
        <w:tc>
          <w:tcPr>
            <w:tcW w:w="493"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AIG</w:t>
            </w:r>
          </w:p>
        </w:tc>
        <w:tc>
          <w:tcPr>
            <w:tcW w:w="105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5 000 000 € par année</w:t>
            </w:r>
          </w:p>
        </w:tc>
        <w:tc>
          <w:tcPr>
            <w:tcW w:w="845"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6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 w:val="19"/>
                <w:szCs w:val="19"/>
                <w:lang w:val="fr-FR" w:eastAsia="fr-FR"/>
              </w:rPr>
            </w:pPr>
            <w:r w:rsidRPr="00C73365">
              <w:rPr>
                <w:rFonts w:asciiTheme="minorHAnsi" w:hAnsiTheme="minorHAnsi" w:cstheme="minorHAnsi"/>
                <w:color w:val="000000"/>
                <w:sz w:val="19"/>
                <w:szCs w:val="19"/>
                <w:lang w:val="fr-FR" w:eastAsia="fr-FR"/>
              </w:rPr>
              <w:t>Un an avec tacite reconduction et préavis de 1 mois avant l’échéance</w:t>
            </w:r>
          </w:p>
        </w:tc>
      </w:tr>
      <w:tr w:rsidR="00B13C1A" w:rsidRPr="00F06F79" w:rsidTr="00172502">
        <w:trPr>
          <w:trHeight w:val="560"/>
        </w:trPr>
        <w:tc>
          <w:tcPr>
            <w:tcW w:w="1336" w:type="pct"/>
            <w:tcBorders>
              <w:top w:val="single" w:sz="8" w:space="0" w:color="7030A0"/>
              <w:left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Responsabilité Civile Exploitation</w:t>
            </w:r>
          </w:p>
        </w:tc>
        <w:tc>
          <w:tcPr>
            <w:tcW w:w="493" w:type="pct"/>
            <w:tcBorders>
              <w:top w:val="single" w:sz="8" w:space="0" w:color="7030A0"/>
              <w:left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 Insurance Company limited</w:t>
            </w:r>
          </w:p>
        </w:tc>
        <w:tc>
          <w:tcPr>
            <w:tcW w:w="1058" w:type="pct"/>
            <w:tcBorders>
              <w:top w:val="single" w:sz="8" w:space="0" w:color="7030A0"/>
              <w:left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(par sinistre et par année)</w:t>
            </w:r>
          </w:p>
        </w:tc>
        <w:tc>
          <w:tcPr>
            <w:tcW w:w="845" w:type="pct"/>
            <w:tcBorders>
              <w:top w:val="single" w:sz="8" w:space="0" w:color="7030A0"/>
              <w:left w:val="nil"/>
              <w:right w:val="nil"/>
            </w:tcBorders>
            <w:shd w:val="clear" w:color="000000" w:fill="FFFFFF"/>
            <w:vAlign w:val="center"/>
            <w:hideMark/>
          </w:tcPr>
          <w:p w:rsidR="00023BAF" w:rsidRPr="00C73365" w:rsidRDefault="00023BAF" w:rsidP="003002F9">
            <w:pPr>
              <w:spacing w:after="0"/>
              <w:rPr>
                <w:rFonts w:asciiTheme="minorHAnsi" w:hAnsiTheme="minorHAnsi" w:cstheme="minorHAnsi"/>
                <w:color w:val="000000"/>
                <w:szCs w:val="20"/>
                <w:lang w:val="fr-FR" w:eastAsia="fr-FR"/>
              </w:rPr>
            </w:pPr>
          </w:p>
        </w:tc>
        <w:tc>
          <w:tcPr>
            <w:tcW w:w="1268" w:type="pct"/>
            <w:tcBorders>
              <w:top w:val="single" w:sz="8" w:space="0" w:color="7030A0"/>
              <w:left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 w:val="19"/>
                <w:szCs w:val="19"/>
                <w:lang w:val="fr-FR" w:eastAsia="fr-FR"/>
              </w:rPr>
            </w:pPr>
            <w:r w:rsidRPr="00C73365">
              <w:rPr>
                <w:rFonts w:asciiTheme="minorHAnsi" w:hAnsiTheme="minorHAnsi" w:cstheme="minorHAnsi"/>
                <w:color w:val="000000"/>
                <w:sz w:val="19"/>
                <w:szCs w:val="19"/>
                <w:lang w:val="fr-FR" w:eastAsia="fr-FR"/>
              </w:rPr>
              <w:t>Un an avec tacite reconduction et préavis de 3 mois avant l’échéance</w:t>
            </w:r>
          </w:p>
        </w:tc>
      </w:tr>
      <w:tr w:rsidR="00B13C1A" w:rsidRPr="00C73365" w:rsidTr="00172502">
        <w:trPr>
          <w:trHeight w:val="279"/>
        </w:trPr>
        <w:tc>
          <w:tcPr>
            <w:tcW w:w="1336" w:type="pct"/>
            <w:tcBorders>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Tous dommages confondus dont :</w:t>
            </w:r>
          </w:p>
        </w:tc>
        <w:tc>
          <w:tcPr>
            <w:tcW w:w="493" w:type="pct"/>
            <w:tcBorders>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7 000 000 €</w:t>
            </w:r>
          </w:p>
        </w:tc>
        <w:tc>
          <w:tcPr>
            <w:tcW w:w="845" w:type="pct"/>
            <w:tcBorders>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68" w:type="pct"/>
            <w:tcBorders>
              <w:left w:val="nil"/>
              <w:bottom w:val="nil"/>
              <w:right w:val="nil"/>
            </w:tcBorders>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(y compris corporels)</w:t>
            </w:r>
          </w:p>
        </w:tc>
        <w:tc>
          <w:tcPr>
            <w:tcW w:w="493"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auto" w:fill="auto"/>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Dont :</w:t>
            </w:r>
          </w:p>
        </w:tc>
        <w:tc>
          <w:tcPr>
            <w:tcW w:w="493"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023BAF" w:rsidRPr="00C73365" w:rsidRDefault="00023BAF"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Faute inexcusable</w:t>
            </w:r>
          </w:p>
        </w:tc>
        <w:tc>
          <w:tcPr>
            <w:tcW w:w="493"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w:t>
            </w:r>
          </w:p>
        </w:tc>
        <w:tc>
          <w:tcPr>
            <w:tcW w:w="845"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w:t>
            </w:r>
          </w:p>
        </w:tc>
        <w:tc>
          <w:tcPr>
            <w:tcW w:w="126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023BAF" w:rsidRPr="00C73365" w:rsidRDefault="00023BAF"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Dommages matériels et immatériels</w:t>
            </w:r>
          </w:p>
        </w:tc>
        <w:tc>
          <w:tcPr>
            <w:tcW w:w="493"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2 000 000 €</w:t>
            </w:r>
          </w:p>
        </w:tc>
        <w:tc>
          <w:tcPr>
            <w:tcW w:w="845"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w:t>
            </w:r>
          </w:p>
        </w:tc>
        <w:tc>
          <w:tcPr>
            <w:tcW w:w="126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Dont :</w:t>
            </w:r>
          </w:p>
        </w:tc>
        <w:tc>
          <w:tcPr>
            <w:tcW w:w="493"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023BAF" w:rsidRPr="00C73365" w:rsidRDefault="00023BAF" w:rsidP="00A96CCA">
            <w:pPr>
              <w:spacing w:after="0"/>
              <w:ind w:firstLineChars="500" w:firstLine="1000"/>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Vol commis par les préposés</w:t>
            </w:r>
          </w:p>
        </w:tc>
        <w:tc>
          <w:tcPr>
            <w:tcW w:w="493"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20 000 €</w:t>
            </w:r>
          </w:p>
        </w:tc>
        <w:tc>
          <w:tcPr>
            <w:tcW w:w="845"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w:t>
            </w:r>
          </w:p>
        </w:tc>
        <w:tc>
          <w:tcPr>
            <w:tcW w:w="1268" w:type="pct"/>
            <w:tcBorders>
              <w:top w:val="nil"/>
              <w:left w:val="nil"/>
              <w:bottom w:val="nil"/>
              <w:right w:val="nil"/>
            </w:tcBorders>
            <w:shd w:val="clear" w:color="000000" w:fill="FFFFFF"/>
            <w:vAlign w:val="center"/>
            <w:hideMark/>
          </w:tcPr>
          <w:p w:rsidR="00023BAF" w:rsidRPr="00C73365" w:rsidRDefault="00023BAF"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right w:val="nil"/>
            </w:tcBorders>
            <w:shd w:val="clear" w:color="000000" w:fill="FFFFFF"/>
            <w:vAlign w:val="center"/>
            <w:hideMark/>
          </w:tcPr>
          <w:p w:rsidR="007358A1" w:rsidRPr="00C73365" w:rsidRDefault="007358A1" w:rsidP="00A96CCA">
            <w:pPr>
              <w:spacing w:after="0"/>
              <w:ind w:firstLineChars="500" w:firstLine="1000"/>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Dommages aux biens confiés</w:t>
            </w:r>
          </w:p>
        </w:tc>
        <w:tc>
          <w:tcPr>
            <w:tcW w:w="493" w:type="pct"/>
            <w:tcBorders>
              <w:top w:val="nil"/>
              <w:left w:val="nil"/>
              <w:right w:val="nil"/>
            </w:tcBorders>
            <w:shd w:val="clear" w:color="000000" w:fill="FFFFFF"/>
            <w:vAlign w:val="center"/>
            <w:hideMark/>
          </w:tcPr>
          <w:p w:rsidR="007358A1" w:rsidRPr="00C73365" w:rsidRDefault="007358A1" w:rsidP="00A96CCA">
            <w:pPr>
              <w:spacing w:after="0"/>
              <w:jc w:val="center"/>
              <w:rPr>
                <w:rFonts w:asciiTheme="minorHAnsi" w:hAnsiTheme="minorHAnsi" w:cstheme="minorHAnsi"/>
                <w:color w:val="000000"/>
                <w:szCs w:val="20"/>
                <w:lang w:val="fr-FR" w:eastAsia="fr-FR"/>
              </w:rPr>
            </w:pPr>
          </w:p>
        </w:tc>
        <w:tc>
          <w:tcPr>
            <w:tcW w:w="1058" w:type="pct"/>
            <w:tcBorders>
              <w:top w:val="nil"/>
              <w:left w:val="nil"/>
              <w:right w:val="nil"/>
            </w:tcBorders>
            <w:shd w:val="clear" w:color="auto" w:fill="auto"/>
            <w:noWrap/>
            <w:vAlign w:val="center"/>
            <w:hideMark/>
          </w:tcPr>
          <w:p w:rsidR="007358A1" w:rsidRPr="00C73365" w:rsidRDefault="007358A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200 000 €</w:t>
            </w:r>
          </w:p>
        </w:tc>
        <w:tc>
          <w:tcPr>
            <w:tcW w:w="845" w:type="pct"/>
            <w:tcBorders>
              <w:top w:val="nil"/>
              <w:left w:val="nil"/>
              <w:right w:val="nil"/>
            </w:tcBorders>
            <w:shd w:val="clear" w:color="000000" w:fill="FFFFFF"/>
            <w:vAlign w:val="center"/>
            <w:hideMark/>
          </w:tcPr>
          <w:p w:rsidR="007358A1" w:rsidRPr="00C73365" w:rsidRDefault="007358A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w:t>
            </w:r>
          </w:p>
        </w:tc>
        <w:tc>
          <w:tcPr>
            <w:tcW w:w="1268" w:type="pct"/>
            <w:tcBorders>
              <w:top w:val="nil"/>
              <w:left w:val="nil"/>
              <w:right w:val="nil"/>
            </w:tcBorders>
            <w:shd w:val="clear" w:color="000000" w:fill="FFFFFF"/>
            <w:vAlign w:val="center"/>
            <w:hideMark/>
          </w:tcPr>
          <w:p w:rsidR="007358A1" w:rsidRPr="00C73365" w:rsidRDefault="007358A1"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537"/>
        </w:trPr>
        <w:tc>
          <w:tcPr>
            <w:tcW w:w="1336" w:type="pct"/>
            <w:tcBorders>
              <w:left w:val="nil"/>
              <w:bottom w:val="nil"/>
              <w:right w:val="nil"/>
            </w:tcBorders>
            <w:shd w:val="clear" w:color="000000" w:fill="FFFFFF"/>
            <w:vAlign w:val="center"/>
            <w:hideMark/>
          </w:tcPr>
          <w:p w:rsidR="00B13C1A" w:rsidRPr="00C73365" w:rsidRDefault="00B13C1A" w:rsidP="00A96CCA">
            <w:pPr>
              <w:spacing w:after="0"/>
              <w:ind w:firstLineChars="500" w:firstLine="1000"/>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Dommages immatériels non consécutifs</w:t>
            </w:r>
          </w:p>
        </w:tc>
        <w:tc>
          <w:tcPr>
            <w:tcW w:w="493" w:type="pct"/>
            <w:tcBorders>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left w:val="nil"/>
              <w:bottom w:val="nil"/>
              <w:right w:val="nil"/>
            </w:tcBorders>
            <w:shd w:val="clear" w:color="auto" w:fill="auto"/>
            <w:noWrap/>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500 000 €</w:t>
            </w:r>
          </w:p>
        </w:tc>
        <w:tc>
          <w:tcPr>
            <w:tcW w:w="845" w:type="pct"/>
            <w:tcBorders>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w:t>
            </w:r>
          </w:p>
        </w:tc>
        <w:tc>
          <w:tcPr>
            <w:tcW w:w="1268" w:type="pct"/>
            <w:tcBorders>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B13C1A" w:rsidRPr="00C73365" w:rsidRDefault="00B13C1A" w:rsidP="00A96CCA">
            <w:pPr>
              <w:spacing w:after="0"/>
              <w:ind w:firstLineChars="500" w:firstLine="1000"/>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Pollution soudaine et accidentelle</w:t>
            </w:r>
          </w:p>
        </w:tc>
        <w:tc>
          <w:tcPr>
            <w:tcW w:w="493"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500 000 €</w:t>
            </w:r>
          </w:p>
        </w:tc>
        <w:tc>
          <w:tcPr>
            <w:tcW w:w="845"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w:t>
            </w:r>
          </w:p>
        </w:tc>
        <w:tc>
          <w:tcPr>
            <w:tcW w:w="1268"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rsidTr="00172502">
        <w:trPr>
          <w:trHeight w:val="279"/>
        </w:trPr>
        <w:tc>
          <w:tcPr>
            <w:tcW w:w="1336"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493"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rsidTr="00172502">
        <w:trPr>
          <w:trHeight w:val="290"/>
        </w:trPr>
        <w:tc>
          <w:tcPr>
            <w:tcW w:w="1336" w:type="pct"/>
            <w:tcBorders>
              <w:top w:val="nil"/>
              <w:left w:val="nil"/>
              <w:bottom w:val="single" w:sz="8" w:space="0" w:color="7030A0"/>
              <w:right w:val="nil"/>
            </w:tcBorders>
            <w:shd w:val="clear" w:color="000000" w:fill="FFFFFF"/>
            <w:vAlign w:val="center"/>
            <w:hideMark/>
          </w:tcPr>
          <w:p w:rsidR="00B13C1A" w:rsidRPr="00C73365" w:rsidRDefault="00B13C1A"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Défense et recours</w:t>
            </w:r>
          </w:p>
        </w:tc>
        <w:tc>
          <w:tcPr>
            <w:tcW w:w="493" w:type="pct"/>
            <w:tcBorders>
              <w:top w:val="nil"/>
              <w:left w:val="nil"/>
              <w:bottom w:val="single" w:sz="8" w:space="0" w:color="7030A0"/>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single" w:sz="8" w:space="0" w:color="7030A0"/>
              <w:right w:val="nil"/>
            </w:tcBorders>
            <w:shd w:val="clear" w:color="auto" w:fill="auto"/>
            <w:noWrap/>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30 000 €</w:t>
            </w:r>
          </w:p>
        </w:tc>
        <w:tc>
          <w:tcPr>
            <w:tcW w:w="845" w:type="pct"/>
            <w:tcBorders>
              <w:top w:val="nil"/>
              <w:left w:val="nil"/>
              <w:bottom w:val="single" w:sz="8" w:space="0" w:color="7030A0"/>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Litiges sup. à 500 €</w:t>
            </w:r>
          </w:p>
        </w:tc>
        <w:tc>
          <w:tcPr>
            <w:tcW w:w="1268" w:type="pct"/>
            <w:tcBorders>
              <w:top w:val="nil"/>
              <w:left w:val="nil"/>
              <w:bottom w:val="single" w:sz="8" w:space="0" w:color="7030A0"/>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8C1A4A" w:rsidTr="00172502">
        <w:trPr>
          <w:trHeight w:val="517"/>
        </w:trPr>
        <w:tc>
          <w:tcPr>
            <w:tcW w:w="1336" w:type="pct"/>
            <w:tcBorders>
              <w:top w:val="single" w:sz="8" w:space="0" w:color="7030A0"/>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Déplacements professionnels / Missions</w:t>
            </w:r>
          </w:p>
        </w:tc>
        <w:tc>
          <w:tcPr>
            <w:tcW w:w="493" w:type="pct"/>
            <w:tcBorders>
              <w:top w:val="single" w:sz="8" w:space="0" w:color="7030A0"/>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ALBINGIA</w:t>
            </w:r>
          </w:p>
        </w:tc>
        <w:tc>
          <w:tcPr>
            <w:tcW w:w="1058" w:type="pct"/>
            <w:tcBorders>
              <w:top w:val="single" w:sz="8" w:space="0" w:color="7030A0"/>
              <w:left w:val="nil"/>
              <w:bottom w:val="nil"/>
              <w:right w:val="nil"/>
            </w:tcBorders>
            <w:shd w:val="clear" w:color="000000" w:fill="FFFFFF"/>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845" w:type="pct"/>
            <w:tcBorders>
              <w:top w:val="single" w:sz="8" w:space="0" w:color="7030A0"/>
              <w:left w:val="nil"/>
              <w:bottom w:val="nil"/>
              <w:right w:val="nil"/>
            </w:tcBorders>
            <w:shd w:val="clear" w:color="000000" w:fill="FFFFFF"/>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268" w:type="pct"/>
            <w:tcBorders>
              <w:top w:val="single" w:sz="8" w:space="0" w:color="7030A0"/>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r w:rsidRPr="00C73365">
              <w:rPr>
                <w:rFonts w:asciiTheme="minorHAnsi" w:hAnsiTheme="minorHAnsi" w:cstheme="minorHAnsi"/>
                <w:color w:val="000000"/>
                <w:sz w:val="19"/>
                <w:szCs w:val="19"/>
                <w:lang w:val="fr-FR" w:eastAsia="fr-FR"/>
              </w:rPr>
              <w:t>Un an avec tacite reconduction et préavis de 2mois au moins</w:t>
            </w:r>
          </w:p>
        </w:tc>
      </w:tr>
      <w:tr w:rsidR="00B13C1A" w:rsidRPr="00C73365" w:rsidTr="00172502">
        <w:trPr>
          <w:trHeight w:val="279"/>
        </w:trPr>
        <w:tc>
          <w:tcPr>
            <w:tcW w:w="1336" w:type="pct"/>
            <w:vMerge w:val="restart"/>
            <w:tcBorders>
              <w:top w:val="nil"/>
              <w:left w:val="nil"/>
              <w:bottom w:val="nil"/>
              <w:right w:val="nil"/>
            </w:tcBorders>
            <w:shd w:val="clear" w:color="000000" w:fill="FFFFFF"/>
            <w:vAlign w:val="center"/>
            <w:hideMark/>
          </w:tcPr>
          <w:p w:rsidR="00B13C1A" w:rsidRPr="00C73365" w:rsidRDefault="00B13C1A"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Individuelle accident</w:t>
            </w:r>
          </w:p>
        </w:tc>
        <w:tc>
          <w:tcPr>
            <w:tcW w:w="493" w:type="pct"/>
            <w:vMerge w:val="restar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Jusqu</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à</w:t>
            </w:r>
          </w:p>
        </w:tc>
        <w:tc>
          <w:tcPr>
            <w:tcW w:w="845" w:type="pct"/>
            <w:vMerge w:val="restar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68" w:type="pct"/>
            <w:vMerge w:val="restart"/>
            <w:tcBorders>
              <w:top w:val="nil"/>
              <w:left w:val="nil"/>
              <w:bottom w:val="nil"/>
              <w:right w:val="nil"/>
            </w:tcBorders>
            <w:shd w:val="clear" w:color="000000" w:fill="FFFFFF"/>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rsidTr="00172502">
        <w:trPr>
          <w:trHeight w:val="279"/>
        </w:trPr>
        <w:tc>
          <w:tcPr>
            <w:tcW w:w="1336"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493"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150 000 € par victime</w:t>
            </w:r>
          </w:p>
        </w:tc>
        <w:tc>
          <w:tcPr>
            <w:tcW w:w="845"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268"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rsidTr="00172502">
        <w:trPr>
          <w:trHeight w:val="279"/>
        </w:trPr>
        <w:tc>
          <w:tcPr>
            <w:tcW w:w="1336" w:type="pct"/>
            <w:vMerge w:val="restart"/>
            <w:tcBorders>
              <w:top w:val="nil"/>
              <w:left w:val="nil"/>
              <w:bottom w:val="nil"/>
              <w:right w:val="nil"/>
            </w:tcBorders>
            <w:shd w:val="clear" w:color="000000" w:fill="FFFFFF"/>
            <w:vAlign w:val="center"/>
            <w:hideMark/>
          </w:tcPr>
          <w:p w:rsidR="00B13C1A" w:rsidRPr="00C73365" w:rsidRDefault="00B13C1A"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Assistance</w:t>
            </w:r>
          </w:p>
        </w:tc>
        <w:tc>
          <w:tcPr>
            <w:tcW w:w="493" w:type="pct"/>
            <w:vMerge w:val="restar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Jusqu</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à</w:t>
            </w:r>
          </w:p>
        </w:tc>
        <w:tc>
          <w:tcPr>
            <w:tcW w:w="845" w:type="pct"/>
            <w:vMerge w:val="restar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68" w:type="pct"/>
            <w:vMerge w:val="restart"/>
            <w:tcBorders>
              <w:top w:val="nil"/>
              <w:left w:val="nil"/>
              <w:bottom w:val="nil"/>
              <w:right w:val="nil"/>
            </w:tcBorders>
            <w:shd w:val="clear" w:color="000000" w:fill="FFFFFF"/>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rsidTr="00172502">
        <w:trPr>
          <w:trHeight w:val="279"/>
        </w:trPr>
        <w:tc>
          <w:tcPr>
            <w:tcW w:w="1336"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493"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 par victime</w:t>
            </w:r>
          </w:p>
        </w:tc>
        <w:tc>
          <w:tcPr>
            <w:tcW w:w="845"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268" w:type="pct"/>
            <w:vMerge/>
            <w:tcBorders>
              <w:top w:val="nil"/>
              <w:left w:val="nil"/>
              <w:bottom w:val="nil"/>
              <w:right w:val="nil"/>
            </w:tcBorders>
            <w:vAlign w:val="center"/>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rsidTr="00172502">
        <w:trPr>
          <w:trHeight w:val="279"/>
        </w:trPr>
        <w:tc>
          <w:tcPr>
            <w:tcW w:w="1336" w:type="pct"/>
            <w:vMerge w:val="restart"/>
            <w:tcBorders>
              <w:top w:val="nil"/>
              <w:left w:val="nil"/>
              <w:bottom w:val="single" w:sz="12" w:space="0" w:color="7030A0"/>
              <w:right w:val="nil"/>
            </w:tcBorders>
            <w:shd w:val="clear" w:color="000000" w:fill="FFFFFF"/>
            <w:vAlign w:val="center"/>
            <w:hideMark/>
          </w:tcPr>
          <w:p w:rsidR="00B13C1A" w:rsidRPr="00C73365" w:rsidRDefault="00B13C1A"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Responsabilité Civile Vie Privée</w:t>
            </w:r>
          </w:p>
        </w:tc>
        <w:tc>
          <w:tcPr>
            <w:tcW w:w="493" w:type="pct"/>
            <w:vMerge w:val="restart"/>
            <w:tcBorders>
              <w:top w:val="nil"/>
              <w:left w:val="nil"/>
              <w:bottom w:val="single" w:sz="12" w:space="0" w:color="7030A0"/>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Jusqu</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à</w:t>
            </w:r>
          </w:p>
        </w:tc>
        <w:tc>
          <w:tcPr>
            <w:tcW w:w="845" w:type="pct"/>
            <w:vMerge w:val="restart"/>
            <w:tcBorders>
              <w:top w:val="nil"/>
              <w:left w:val="nil"/>
              <w:bottom w:val="single" w:sz="12" w:space="0" w:color="7030A0"/>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w:t>
            </w:r>
            <w:r w:rsidR="00427AAE"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000</w:t>
            </w:r>
            <w:r w:rsidR="00427A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 max</w:t>
            </w:r>
          </w:p>
        </w:tc>
        <w:tc>
          <w:tcPr>
            <w:tcW w:w="1268" w:type="pct"/>
            <w:vMerge w:val="restart"/>
            <w:tcBorders>
              <w:top w:val="nil"/>
              <w:left w:val="nil"/>
              <w:bottom w:val="single" w:sz="12" w:space="0" w:color="7030A0"/>
              <w:right w:val="nil"/>
            </w:tcBorders>
            <w:shd w:val="clear" w:color="000000" w:fill="FFFFFF"/>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B13C1A" w:rsidRPr="00C73365" w:rsidTr="00172502">
        <w:trPr>
          <w:trHeight w:val="290"/>
        </w:trPr>
        <w:tc>
          <w:tcPr>
            <w:tcW w:w="1336" w:type="pct"/>
            <w:vMerge/>
            <w:tcBorders>
              <w:top w:val="nil"/>
              <w:left w:val="nil"/>
              <w:bottom w:val="single" w:sz="6" w:space="0" w:color="7030A0"/>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493" w:type="pct"/>
            <w:vMerge/>
            <w:tcBorders>
              <w:top w:val="nil"/>
              <w:left w:val="nil"/>
              <w:bottom w:val="single" w:sz="6" w:space="0" w:color="7030A0"/>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single" w:sz="6" w:space="0" w:color="7030A0"/>
              <w:right w:val="nil"/>
            </w:tcBorders>
            <w:shd w:val="clear" w:color="000000" w:fill="FFFFFF"/>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5 000 000 € par assuré</w:t>
            </w:r>
          </w:p>
        </w:tc>
        <w:tc>
          <w:tcPr>
            <w:tcW w:w="845" w:type="pct"/>
            <w:vMerge/>
            <w:tcBorders>
              <w:top w:val="nil"/>
              <w:left w:val="nil"/>
              <w:bottom w:val="single" w:sz="6" w:space="0" w:color="7030A0"/>
              <w:right w:val="nil"/>
            </w:tcBorders>
            <w:vAlign w:val="center"/>
            <w:hideMark/>
          </w:tcPr>
          <w:p w:rsidR="00B13C1A" w:rsidRPr="00C73365" w:rsidRDefault="00B13C1A" w:rsidP="00A96CCA">
            <w:pPr>
              <w:spacing w:after="0"/>
              <w:jc w:val="center"/>
              <w:rPr>
                <w:rFonts w:asciiTheme="minorHAnsi" w:hAnsiTheme="minorHAnsi" w:cstheme="minorHAnsi"/>
                <w:color w:val="000000"/>
                <w:szCs w:val="20"/>
                <w:lang w:val="fr-FR" w:eastAsia="fr-FR"/>
              </w:rPr>
            </w:pPr>
          </w:p>
        </w:tc>
        <w:tc>
          <w:tcPr>
            <w:tcW w:w="1268" w:type="pct"/>
            <w:vMerge/>
            <w:tcBorders>
              <w:top w:val="nil"/>
              <w:left w:val="nil"/>
              <w:bottom w:val="single" w:sz="6" w:space="0" w:color="7030A0"/>
              <w:right w:val="nil"/>
            </w:tcBorders>
            <w:vAlign w:val="center"/>
            <w:hideMark/>
          </w:tcPr>
          <w:p w:rsidR="00B13C1A" w:rsidRPr="00C73365" w:rsidRDefault="00B13C1A" w:rsidP="00A96CCA">
            <w:pPr>
              <w:spacing w:after="0"/>
              <w:jc w:val="center"/>
              <w:rPr>
                <w:rFonts w:asciiTheme="minorHAnsi" w:hAnsiTheme="minorHAnsi" w:cstheme="minorHAnsi"/>
                <w:color w:val="000000"/>
                <w:sz w:val="19"/>
                <w:szCs w:val="19"/>
                <w:lang w:val="fr-FR" w:eastAsia="fr-FR"/>
              </w:rPr>
            </w:pPr>
          </w:p>
        </w:tc>
      </w:tr>
      <w:tr w:rsidR="007F48F1" w:rsidRPr="008C1A4A" w:rsidTr="00172502">
        <w:trPr>
          <w:trHeight w:val="853"/>
        </w:trPr>
        <w:tc>
          <w:tcPr>
            <w:tcW w:w="1336" w:type="pct"/>
            <w:tcBorders>
              <w:top w:val="single" w:sz="6" w:space="0" w:color="7030A0"/>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Tous risques informatiques</w:t>
            </w:r>
          </w:p>
        </w:tc>
        <w:tc>
          <w:tcPr>
            <w:tcW w:w="493" w:type="pct"/>
            <w:tcBorders>
              <w:top w:val="single" w:sz="6" w:space="0" w:color="7030A0"/>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AXA</w:t>
            </w:r>
          </w:p>
        </w:tc>
        <w:tc>
          <w:tcPr>
            <w:tcW w:w="1058" w:type="pct"/>
            <w:tcBorders>
              <w:top w:val="single" w:sz="6" w:space="0" w:color="7030A0"/>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845" w:type="pct"/>
            <w:tcBorders>
              <w:top w:val="single" w:sz="6" w:space="0" w:color="7030A0"/>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268" w:type="pct"/>
            <w:tcBorders>
              <w:top w:val="single" w:sz="6" w:space="0" w:color="7030A0"/>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color w:val="000000"/>
                <w:sz w:val="19"/>
                <w:szCs w:val="19"/>
                <w:lang w:val="fr-FR" w:eastAsia="fr-FR"/>
              </w:rPr>
            </w:pPr>
            <w:r w:rsidRPr="00C73365">
              <w:rPr>
                <w:rFonts w:asciiTheme="minorHAnsi" w:hAnsiTheme="minorHAnsi" w:cstheme="minorHAnsi"/>
                <w:color w:val="000000"/>
                <w:sz w:val="19"/>
                <w:szCs w:val="19"/>
                <w:lang w:val="fr-FR" w:eastAsia="fr-FR"/>
              </w:rPr>
              <w:t>Un an avec tacite reconduction et préavis de 2mois au moins</w:t>
            </w:r>
          </w:p>
        </w:tc>
      </w:tr>
      <w:tr w:rsidR="007F48F1" w:rsidRPr="00C73365" w:rsidTr="00172502">
        <w:trPr>
          <w:trHeight w:val="279"/>
        </w:trPr>
        <w:tc>
          <w:tcPr>
            <w:tcW w:w="1336" w:type="pct"/>
            <w:tcBorders>
              <w:top w:val="nil"/>
              <w:left w:val="nil"/>
              <w:bottom w:val="nil"/>
              <w:right w:val="nil"/>
            </w:tcBorders>
            <w:shd w:val="clear" w:color="000000" w:fill="FFFFFF"/>
            <w:vAlign w:val="center"/>
            <w:hideMark/>
          </w:tcPr>
          <w:p w:rsidR="007F48F1" w:rsidRPr="00C73365" w:rsidRDefault="007F48F1"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Dommages aux matériels</w:t>
            </w:r>
          </w:p>
        </w:tc>
        <w:tc>
          <w:tcPr>
            <w:tcW w:w="493"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80 000 €</w:t>
            </w:r>
          </w:p>
        </w:tc>
        <w:tc>
          <w:tcPr>
            <w:tcW w:w="845" w:type="pct"/>
            <w:tcBorders>
              <w:top w:val="nil"/>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200 €</w:t>
            </w:r>
          </w:p>
        </w:tc>
        <w:tc>
          <w:tcPr>
            <w:tcW w:w="1268"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 w:val="19"/>
                <w:szCs w:val="19"/>
                <w:lang w:val="fr-FR" w:eastAsia="fr-FR"/>
              </w:rPr>
            </w:pPr>
          </w:p>
        </w:tc>
      </w:tr>
      <w:tr w:rsidR="007F48F1" w:rsidRPr="00C73365" w:rsidTr="00172502">
        <w:trPr>
          <w:trHeight w:val="279"/>
        </w:trPr>
        <w:tc>
          <w:tcPr>
            <w:tcW w:w="1336" w:type="pct"/>
            <w:tcBorders>
              <w:top w:val="nil"/>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Valeur totale des biens assurés</w:t>
            </w:r>
          </w:p>
        </w:tc>
        <w:tc>
          <w:tcPr>
            <w:tcW w:w="493"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40 000 €</w:t>
            </w:r>
          </w:p>
        </w:tc>
        <w:tc>
          <w:tcPr>
            <w:tcW w:w="845"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 w:val="19"/>
                <w:szCs w:val="19"/>
                <w:lang w:val="fr-FR" w:eastAsia="fr-FR"/>
              </w:rPr>
            </w:pPr>
          </w:p>
        </w:tc>
      </w:tr>
      <w:tr w:rsidR="007F48F1" w:rsidRPr="008C1A4A" w:rsidTr="00172502">
        <w:trPr>
          <w:trHeight w:val="279"/>
        </w:trPr>
        <w:tc>
          <w:tcPr>
            <w:tcW w:w="1336" w:type="pct"/>
            <w:tcBorders>
              <w:top w:val="nil"/>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lastRenderedPageBreak/>
              <w:t>Valeur limitée, en cours de transport</w:t>
            </w:r>
          </w:p>
        </w:tc>
        <w:tc>
          <w:tcPr>
            <w:tcW w:w="493"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 w:val="19"/>
                <w:szCs w:val="19"/>
                <w:lang w:val="fr-FR" w:eastAsia="fr-FR"/>
              </w:rPr>
            </w:pPr>
          </w:p>
        </w:tc>
      </w:tr>
      <w:tr w:rsidR="007F48F1" w:rsidRPr="008C1A4A" w:rsidTr="00172502">
        <w:trPr>
          <w:trHeight w:val="279"/>
        </w:trPr>
        <w:tc>
          <w:tcPr>
            <w:tcW w:w="1336" w:type="pct"/>
            <w:tcBorders>
              <w:top w:val="nil"/>
              <w:left w:val="nil"/>
              <w:bottom w:val="nil"/>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493"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 w:val="19"/>
                <w:szCs w:val="19"/>
                <w:lang w:val="fr-FR" w:eastAsia="fr-FR"/>
              </w:rPr>
            </w:pPr>
          </w:p>
        </w:tc>
      </w:tr>
      <w:tr w:rsidR="007F48F1" w:rsidRPr="00C73365" w:rsidTr="00172502">
        <w:trPr>
          <w:trHeight w:val="290"/>
        </w:trPr>
        <w:tc>
          <w:tcPr>
            <w:tcW w:w="1336" w:type="pct"/>
            <w:tcBorders>
              <w:top w:val="nil"/>
              <w:left w:val="nil"/>
              <w:bottom w:val="single" w:sz="8" w:space="0" w:color="7030A0"/>
              <w:right w:val="nil"/>
            </w:tcBorders>
            <w:shd w:val="clear" w:color="000000" w:fill="FFFFFF"/>
            <w:vAlign w:val="center"/>
            <w:hideMark/>
          </w:tcPr>
          <w:p w:rsidR="007F48F1" w:rsidRPr="00C73365" w:rsidRDefault="007F48F1"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Dommages aux données</w:t>
            </w:r>
          </w:p>
        </w:tc>
        <w:tc>
          <w:tcPr>
            <w:tcW w:w="493" w:type="pct"/>
            <w:tcBorders>
              <w:top w:val="nil"/>
              <w:left w:val="nil"/>
              <w:bottom w:val="single" w:sz="8" w:space="0" w:color="7030A0"/>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single" w:sz="8" w:space="0" w:color="7030A0"/>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20 000 €</w:t>
            </w:r>
          </w:p>
        </w:tc>
        <w:tc>
          <w:tcPr>
            <w:tcW w:w="845" w:type="pct"/>
            <w:tcBorders>
              <w:top w:val="nil"/>
              <w:left w:val="nil"/>
              <w:bottom w:val="single" w:sz="8" w:space="0" w:color="7030A0"/>
              <w:right w:val="nil"/>
            </w:tcBorders>
            <w:shd w:val="clear" w:color="000000" w:fill="FFFFFF"/>
            <w:vAlign w:val="center"/>
            <w:hideMark/>
          </w:tcPr>
          <w:p w:rsidR="007F48F1" w:rsidRPr="00C73365" w:rsidRDefault="007F48F1"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760 € max</w:t>
            </w:r>
          </w:p>
        </w:tc>
        <w:tc>
          <w:tcPr>
            <w:tcW w:w="1268" w:type="pct"/>
            <w:tcBorders>
              <w:top w:val="nil"/>
              <w:left w:val="nil"/>
              <w:bottom w:val="single" w:sz="8" w:space="0" w:color="7030A0"/>
              <w:right w:val="nil"/>
            </w:tcBorders>
            <w:shd w:val="clear" w:color="000000" w:fill="FFFFFF"/>
            <w:hideMark/>
          </w:tcPr>
          <w:p w:rsidR="007F48F1" w:rsidRPr="00C73365" w:rsidRDefault="007F48F1" w:rsidP="00A96CCA">
            <w:pPr>
              <w:spacing w:after="0"/>
              <w:jc w:val="center"/>
              <w:rPr>
                <w:rFonts w:asciiTheme="minorHAnsi" w:hAnsiTheme="minorHAnsi" w:cstheme="minorHAnsi"/>
                <w:color w:val="000000"/>
                <w:sz w:val="19"/>
                <w:szCs w:val="19"/>
                <w:lang w:val="fr-FR" w:eastAsia="fr-FR"/>
              </w:rPr>
            </w:pPr>
          </w:p>
        </w:tc>
      </w:tr>
      <w:tr w:rsidR="00172502" w:rsidRPr="008C1A4A" w:rsidTr="00172502">
        <w:trPr>
          <w:trHeight w:val="691"/>
        </w:trPr>
        <w:tc>
          <w:tcPr>
            <w:tcW w:w="1336" w:type="pct"/>
            <w:tcBorders>
              <w:top w:val="single" w:sz="4" w:space="0" w:color="7030A0"/>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Multirisque entreprise</w:t>
            </w:r>
          </w:p>
        </w:tc>
        <w:tc>
          <w:tcPr>
            <w:tcW w:w="493" w:type="pct"/>
            <w:tcBorders>
              <w:top w:val="single" w:sz="4" w:space="0" w:color="7030A0"/>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AXA</w:t>
            </w:r>
          </w:p>
        </w:tc>
        <w:tc>
          <w:tcPr>
            <w:tcW w:w="1058" w:type="pct"/>
            <w:tcBorders>
              <w:top w:val="single" w:sz="4" w:space="0" w:color="7030A0"/>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845" w:type="pct"/>
            <w:tcBorders>
              <w:top w:val="single" w:sz="4" w:space="0" w:color="7030A0"/>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single" w:sz="4" w:space="0" w:color="7030A0"/>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r w:rsidRPr="00C73365">
              <w:rPr>
                <w:rFonts w:asciiTheme="minorHAnsi" w:hAnsiTheme="minorHAnsi" w:cstheme="minorHAnsi"/>
                <w:color w:val="000000"/>
                <w:sz w:val="19"/>
                <w:szCs w:val="19"/>
                <w:lang w:val="fr-FR" w:eastAsia="fr-FR"/>
              </w:rPr>
              <w:t>Un an avec tacite reconduction et préavis de 2mois</w:t>
            </w:r>
          </w:p>
        </w:tc>
      </w:tr>
      <w:tr w:rsidR="00172502" w:rsidRPr="00C73365" w:rsidTr="00172502">
        <w:trPr>
          <w:trHeight w:val="27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Incendie et risques annexes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845"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8C1A4A" w:rsidTr="00172502">
        <w:trPr>
          <w:trHeight w:val="560"/>
        </w:trPr>
        <w:tc>
          <w:tcPr>
            <w:tcW w:w="1336" w:type="pct"/>
            <w:tcBorders>
              <w:top w:val="nil"/>
              <w:left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Bien, frais et pertes, multirisque entreprise</w:t>
            </w:r>
          </w:p>
        </w:tc>
        <w:tc>
          <w:tcPr>
            <w:tcW w:w="493" w:type="pct"/>
            <w:tcBorders>
              <w:top w:val="nil"/>
              <w:left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845" w:type="pct"/>
            <w:tcBorders>
              <w:top w:val="nil"/>
              <w:left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560"/>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Aménagements, matériel et mobilier en valeur à neuf</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470 000 €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279"/>
        </w:trPr>
        <w:tc>
          <w:tcPr>
            <w:tcW w:w="1336" w:type="pct"/>
            <w:tcBorders>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Support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informations</w:t>
            </w:r>
          </w:p>
        </w:tc>
        <w:tc>
          <w:tcPr>
            <w:tcW w:w="493" w:type="pct"/>
            <w:tcBorders>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17 520 €</w:t>
            </w:r>
          </w:p>
        </w:tc>
        <w:tc>
          <w:tcPr>
            <w:tcW w:w="845" w:type="pct"/>
            <w:tcBorders>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560"/>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Support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informations complémentaires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32 950 €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27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Marchandises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100 000 €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560"/>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dont certaines marrchandises en dépôt</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50 000 €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279"/>
        </w:trPr>
        <w:tc>
          <w:tcPr>
            <w:tcW w:w="1336" w:type="pct"/>
            <w:tcBorders>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Frais et pertes</w:t>
            </w:r>
          </w:p>
        </w:tc>
        <w:tc>
          <w:tcPr>
            <w:tcW w:w="493" w:type="pct"/>
            <w:tcBorders>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201 629 €</w:t>
            </w:r>
          </w:p>
        </w:tc>
        <w:tc>
          <w:tcPr>
            <w:tcW w:w="845" w:type="pct"/>
            <w:tcBorders>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504 €</w:t>
            </w:r>
          </w:p>
        </w:tc>
        <w:tc>
          <w:tcPr>
            <w:tcW w:w="1268" w:type="pct"/>
            <w:tcBorders>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27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Recours des voisins et tiers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1 512 214 €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 du dommage</w:t>
            </w:r>
          </w:p>
        </w:tc>
        <w:tc>
          <w:tcPr>
            <w:tcW w:w="1268" w:type="pct"/>
            <w:tcBorders>
              <w:top w:val="nil"/>
              <w:left w:val="nil"/>
              <w:bottom w:val="nil"/>
              <w:right w:val="nil"/>
            </w:tcBorders>
            <w:shd w:val="clear" w:color="000000" w:fill="FFFFFF"/>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27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sz w:val="19"/>
                <w:szCs w:val="19"/>
                <w:lang w:val="fr-FR" w:eastAsia="fr-FR"/>
              </w:rPr>
            </w:pPr>
          </w:p>
        </w:tc>
      </w:tr>
      <w:tr w:rsidR="00172502" w:rsidRPr="00C73365" w:rsidTr="00172502">
        <w:trPr>
          <w:trHeight w:val="27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Evènements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sz w:val="19"/>
                <w:szCs w:val="19"/>
                <w:lang w:val="fr-FR" w:eastAsia="fr-FR"/>
              </w:rPr>
            </w:pPr>
          </w:p>
        </w:tc>
      </w:tr>
      <w:tr w:rsidR="00172502" w:rsidRPr="00C73365" w:rsidTr="00172502">
        <w:trPr>
          <w:trHeight w:val="27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Incendies et risques divers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totalité</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504 €</w:t>
            </w: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560"/>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Tempête, grêle et neige</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totalité</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 des dommages (minimum 1773€)</w:t>
            </w: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560"/>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Emeutes, sabotage, vandalisme</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totalité</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 des dommages (minimum 2660€)</w:t>
            </w: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 w:val="19"/>
                <w:szCs w:val="19"/>
                <w:lang w:val="fr-FR" w:eastAsia="fr-FR"/>
              </w:rPr>
            </w:pPr>
          </w:p>
        </w:tc>
      </w:tr>
      <w:tr w:rsidR="00172502" w:rsidRPr="00C73365" w:rsidTr="00172502">
        <w:trPr>
          <w:trHeight w:val="279"/>
        </w:trPr>
        <w:tc>
          <w:tcPr>
            <w:tcW w:w="1336" w:type="pct"/>
            <w:tcBorders>
              <w:top w:val="nil"/>
              <w:left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Dégâts des eaux et gel</w:t>
            </w:r>
          </w:p>
        </w:tc>
        <w:tc>
          <w:tcPr>
            <w:tcW w:w="493" w:type="pct"/>
            <w:tcBorders>
              <w:top w:val="nil"/>
              <w:left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totalité</w:t>
            </w:r>
          </w:p>
        </w:tc>
        <w:tc>
          <w:tcPr>
            <w:tcW w:w="845" w:type="pct"/>
            <w:tcBorders>
              <w:top w:val="nil"/>
              <w:left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504 €</w:t>
            </w:r>
          </w:p>
        </w:tc>
        <w:tc>
          <w:tcPr>
            <w:tcW w:w="1268" w:type="pct"/>
            <w:tcBorders>
              <w:top w:val="nil"/>
              <w:left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365" w:rsidTr="00172502">
        <w:trPr>
          <w:trHeight w:val="306"/>
        </w:trPr>
        <w:tc>
          <w:tcPr>
            <w:tcW w:w="1336" w:type="pct"/>
            <w:tcBorders>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Accidents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ordre électrique à concurrence de 504 071 €</w:t>
            </w:r>
          </w:p>
        </w:tc>
        <w:tc>
          <w:tcPr>
            <w:tcW w:w="493" w:type="pct"/>
            <w:tcBorders>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totalité</w:t>
            </w:r>
          </w:p>
        </w:tc>
        <w:tc>
          <w:tcPr>
            <w:tcW w:w="845" w:type="pct"/>
            <w:tcBorders>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504 €</w:t>
            </w:r>
          </w:p>
        </w:tc>
        <w:tc>
          <w:tcPr>
            <w:tcW w:w="1268" w:type="pct"/>
            <w:vMerge w:val="restart"/>
            <w:tcBorders>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365" w:rsidTr="00172502">
        <w:trPr>
          <w:trHeight w:val="14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ind w:firstLineChars="200" w:firstLine="40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1268" w:type="pct"/>
            <w:vMerge/>
            <w:tcBorders>
              <w:top w:val="nil"/>
              <w:left w:val="nil"/>
              <w:bottom w:val="nil"/>
              <w:right w:val="nil"/>
            </w:tcBorders>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8C1A4A" w:rsidTr="00172502">
        <w:trPr>
          <w:trHeight w:val="306"/>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Renonciation à recours réciproque contre propriétaire.</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szCs w:val="20"/>
                <w:lang w:val="fr-FR" w:eastAsia="fr-FR"/>
              </w:rPr>
            </w:pP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szCs w:val="20"/>
                <w:lang w:val="fr-FR" w:eastAsia="fr-FR"/>
              </w:rPr>
            </w:pPr>
          </w:p>
        </w:tc>
      </w:tr>
      <w:tr w:rsidR="00172502" w:rsidRPr="00C73365" w:rsidTr="00172502">
        <w:trPr>
          <w:trHeight w:val="306"/>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Vol (biens, frais et pertes)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100 000 €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 de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indemnité (mini. 886€)</w:t>
            </w: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365" w:rsidTr="00172502">
        <w:trPr>
          <w:trHeight w:val="14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Bris de glaces (biens, frais et pertes)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20 163 €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365" w:rsidTr="00172502">
        <w:trPr>
          <w:trHeight w:val="149"/>
        </w:trPr>
        <w:tc>
          <w:tcPr>
            <w:tcW w:w="1336" w:type="pct"/>
            <w:tcBorders>
              <w:top w:val="nil"/>
              <w:left w:val="nil"/>
              <w:bottom w:val="nil"/>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Bris de machines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302 443 €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886 €</w:t>
            </w: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365" w:rsidTr="00172502">
        <w:trPr>
          <w:trHeight w:val="306"/>
        </w:trPr>
        <w:tc>
          <w:tcPr>
            <w:tcW w:w="1336"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Pertes de marchandises en installations frigorifiques</w:t>
            </w:r>
          </w:p>
        </w:tc>
        <w:tc>
          <w:tcPr>
            <w:tcW w:w="493" w:type="pct"/>
            <w:tcBorders>
              <w:top w:val="nil"/>
              <w:left w:val="nil"/>
              <w:bottom w:val="nil"/>
              <w:right w:val="nil"/>
            </w:tcBorders>
            <w:shd w:val="clear" w:color="auto" w:fill="auto"/>
            <w:noWrap/>
            <w:vAlign w:val="bottom"/>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nil"/>
              <w:right w:val="nil"/>
            </w:tcBorders>
            <w:shd w:val="clear" w:color="auto" w:fill="auto"/>
            <w:noWrap/>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30 000 €</w:t>
            </w:r>
          </w:p>
        </w:tc>
        <w:tc>
          <w:tcPr>
            <w:tcW w:w="845" w:type="pct"/>
            <w:tcBorders>
              <w:top w:val="nil"/>
              <w:left w:val="nil"/>
              <w:bottom w:val="nil"/>
              <w:right w:val="nil"/>
            </w:tcBorders>
            <w:shd w:val="clear" w:color="auto" w:fill="auto"/>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1 773 €</w:t>
            </w:r>
          </w:p>
        </w:tc>
        <w:tc>
          <w:tcPr>
            <w:tcW w:w="1268" w:type="pct"/>
            <w:tcBorders>
              <w:top w:val="nil"/>
              <w:left w:val="nil"/>
              <w:bottom w:val="nil"/>
              <w:right w:val="nil"/>
            </w:tcBorders>
            <w:shd w:val="clear" w:color="auto" w:fill="auto"/>
            <w:noWrap/>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r w:rsidR="00172502" w:rsidRPr="00C73365" w:rsidTr="00172502">
        <w:trPr>
          <w:trHeight w:val="155"/>
        </w:trPr>
        <w:tc>
          <w:tcPr>
            <w:tcW w:w="1336" w:type="pct"/>
            <w:tcBorders>
              <w:top w:val="nil"/>
              <w:left w:val="nil"/>
              <w:bottom w:val="single" w:sz="8" w:space="0" w:color="7030A0"/>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Frais de reprise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493" w:type="pct"/>
            <w:tcBorders>
              <w:top w:val="nil"/>
              <w:left w:val="nil"/>
              <w:bottom w:val="single" w:sz="8" w:space="0" w:color="7030A0"/>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058" w:type="pct"/>
            <w:tcBorders>
              <w:top w:val="nil"/>
              <w:left w:val="nil"/>
              <w:bottom w:val="single" w:sz="8" w:space="0" w:color="7030A0"/>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201 629 €</w:t>
            </w:r>
          </w:p>
        </w:tc>
        <w:tc>
          <w:tcPr>
            <w:tcW w:w="845" w:type="pct"/>
            <w:tcBorders>
              <w:top w:val="nil"/>
              <w:left w:val="nil"/>
              <w:bottom w:val="single" w:sz="8" w:space="0" w:color="7030A0"/>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c>
          <w:tcPr>
            <w:tcW w:w="1268" w:type="pct"/>
            <w:tcBorders>
              <w:top w:val="nil"/>
              <w:left w:val="nil"/>
              <w:bottom w:val="single" w:sz="8" w:space="0" w:color="7030A0"/>
              <w:right w:val="nil"/>
            </w:tcBorders>
            <w:shd w:val="clear" w:color="000000" w:fill="FFFFFF"/>
            <w:vAlign w:val="center"/>
            <w:hideMark/>
          </w:tcPr>
          <w:p w:rsidR="00172502" w:rsidRPr="00C73365" w:rsidRDefault="00172502" w:rsidP="00A96CCA">
            <w:pPr>
              <w:spacing w:after="0"/>
              <w:jc w:val="center"/>
              <w:rPr>
                <w:rFonts w:asciiTheme="minorHAnsi" w:hAnsiTheme="minorHAnsi" w:cstheme="minorHAnsi"/>
                <w:color w:val="000000"/>
                <w:szCs w:val="20"/>
                <w:lang w:val="fr-FR" w:eastAsia="fr-FR"/>
              </w:rPr>
            </w:pPr>
          </w:p>
        </w:tc>
      </w:tr>
    </w:tbl>
    <w:p w:rsidR="00D563DE" w:rsidRPr="00C73365" w:rsidRDefault="00D563DE" w:rsidP="00A96CCA">
      <w:pPr>
        <w:spacing w:after="0"/>
        <w:rPr>
          <w:rFonts w:asciiTheme="minorHAnsi" w:hAnsiTheme="minorHAnsi" w:cstheme="minorHAnsi"/>
          <w:lang w:val="fr-FR"/>
        </w:rPr>
      </w:pPr>
    </w:p>
    <w:p w:rsidR="00D563DE" w:rsidRPr="00C73365" w:rsidRDefault="00D563DE" w:rsidP="00A96CCA">
      <w:pPr>
        <w:rPr>
          <w:rFonts w:asciiTheme="minorHAnsi" w:hAnsiTheme="minorHAnsi" w:cstheme="minorHAnsi"/>
          <w:lang w:val="fr-FR"/>
        </w:rPr>
      </w:pPr>
      <w:r w:rsidRPr="00C73365">
        <w:rPr>
          <w:rFonts w:asciiTheme="minorHAnsi" w:hAnsiTheme="minorHAnsi" w:cstheme="minorHAnsi"/>
          <w:lang w:val="fr-FR"/>
        </w:rPr>
        <w:br w:type="page"/>
      </w:r>
    </w:p>
    <w:p w:rsidR="00023BAF" w:rsidRPr="00C73365" w:rsidRDefault="00023BAF">
      <w:pPr>
        <w:rPr>
          <w:rFonts w:asciiTheme="minorHAnsi" w:hAnsiTheme="minorHAnsi" w:cstheme="minorHAnsi"/>
          <w:lang w:val="fr-FR"/>
        </w:rPr>
      </w:pPr>
    </w:p>
    <w:tbl>
      <w:tblPr>
        <w:tblW w:w="9993" w:type="dxa"/>
        <w:tblCellMar>
          <w:left w:w="70" w:type="dxa"/>
          <w:right w:w="70" w:type="dxa"/>
        </w:tblCellMar>
        <w:tblLook w:val="04A0" w:firstRow="1" w:lastRow="0" w:firstColumn="1" w:lastColumn="0" w:noHBand="0" w:noVBand="1"/>
      </w:tblPr>
      <w:tblGrid>
        <w:gridCol w:w="3261"/>
        <w:gridCol w:w="879"/>
        <w:gridCol w:w="113"/>
        <w:gridCol w:w="3118"/>
        <w:gridCol w:w="142"/>
        <w:gridCol w:w="2480"/>
      </w:tblGrid>
      <w:tr w:rsidR="00E566D3" w:rsidRPr="00C73365" w:rsidTr="00981866">
        <w:trPr>
          <w:trHeight w:val="445"/>
        </w:trPr>
        <w:tc>
          <w:tcPr>
            <w:tcW w:w="3261" w:type="dxa"/>
            <w:tcBorders>
              <w:top w:val="single" w:sz="12" w:space="0" w:color="7030A0"/>
              <w:left w:val="nil"/>
              <w:bottom w:val="single" w:sz="8" w:space="0" w:color="7030A0"/>
              <w:right w:val="nil"/>
            </w:tcBorders>
            <w:shd w:val="clear" w:color="000000" w:fill="FFFFFF"/>
            <w:vAlign w:val="center"/>
          </w:tcPr>
          <w:p w:rsidR="00E566D3" w:rsidRPr="00C73365" w:rsidRDefault="00E566D3"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Type d’assurance</w:t>
            </w:r>
          </w:p>
        </w:tc>
        <w:tc>
          <w:tcPr>
            <w:tcW w:w="879" w:type="dxa"/>
            <w:tcBorders>
              <w:top w:val="single" w:sz="12" w:space="0" w:color="7030A0"/>
              <w:left w:val="nil"/>
              <w:bottom w:val="single" w:sz="8" w:space="0" w:color="7030A0"/>
              <w:right w:val="nil"/>
            </w:tcBorders>
            <w:shd w:val="clear" w:color="000000" w:fill="FFFFFF"/>
            <w:vAlign w:val="center"/>
          </w:tcPr>
          <w:p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Assureur</w:t>
            </w:r>
          </w:p>
        </w:tc>
        <w:tc>
          <w:tcPr>
            <w:tcW w:w="3373" w:type="dxa"/>
            <w:gridSpan w:val="3"/>
            <w:tcBorders>
              <w:top w:val="single" w:sz="12" w:space="0" w:color="7030A0"/>
              <w:left w:val="nil"/>
              <w:bottom w:val="single" w:sz="8" w:space="0" w:color="7030A0"/>
              <w:right w:val="nil"/>
            </w:tcBorders>
            <w:shd w:val="clear" w:color="000000" w:fill="FFFFFF"/>
            <w:vAlign w:val="center"/>
          </w:tcPr>
          <w:p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Montants couverts</w:t>
            </w:r>
          </w:p>
        </w:tc>
        <w:tc>
          <w:tcPr>
            <w:tcW w:w="2480" w:type="dxa"/>
            <w:tcBorders>
              <w:top w:val="single" w:sz="12" w:space="0" w:color="7030A0"/>
              <w:left w:val="nil"/>
              <w:bottom w:val="single" w:sz="8" w:space="0" w:color="7030A0"/>
              <w:right w:val="nil"/>
            </w:tcBorders>
            <w:shd w:val="clear" w:color="auto" w:fill="auto"/>
            <w:vAlign w:val="center"/>
          </w:tcPr>
          <w:p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Expiration / Renouvellement</w:t>
            </w:r>
          </w:p>
        </w:tc>
      </w:tr>
      <w:tr w:rsidR="00E566D3" w:rsidRPr="00C73365" w:rsidTr="00981866">
        <w:trPr>
          <w:trHeight w:val="202"/>
        </w:trPr>
        <w:tc>
          <w:tcPr>
            <w:tcW w:w="3261" w:type="dxa"/>
            <w:tcBorders>
              <w:top w:val="nil"/>
              <w:left w:val="nil"/>
              <w:bottom w:val="nil"/>
              <w:right w:val="nil"/>
            </w:tcBorders>
            <w:shd w:val="clear" w:color="000000" w:fill="FFFFFF"/>
            <w:hideMark/>
          </w:tcPr>
          <w:p w:rsidR="00E566D3" w:rsidRPr="00C73365" w:rsidRDefault="00E566D3"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Responsabilité essais cliniques</w:t>
            </w:r>
          </w:p>
        </w:tc>
        <w:tc>
          <w:tcPr>
            <w:tcW w:w="879" w:type="dxa"/>
            <w:tcBorders>
              <w:top w:val="nil"/>
              <w:left w:val="nil"/>
              <w:bottom w:val="nil"/>
              <w:right w:val="nil"/>
            </w:tcBorders>
            <w:shd w:val="clear" w:color="000000" w:fill="FFFFFF"/>
            <w:hideMark/>
          </w:tcPr>
          <w:p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QBE</w:t>
            </w:r>
          </w:p>
        </w:tc>
        <w:tc>
          <w:tcPr>
            <w:tcW w:w="3231" w:type="dxa"/>
            <w:gridSpan w:val="2"/>
            <w:tcBorders>
              <w:top w:val="nil"/>
              <w:left w:val="nil"/>
              <w:bottom w:val="nil"/>
              <w:right w:val="nil"/>
            </w:tcBorders>
            <w:shd w:val="clear" w:color="000000" w:fill="FFFFFF"/>
            <w:hideMark/>
          </w:tcPr>
          <w:p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250 000 € par personne testée</w:t>
            </w:r>
          </w:p>
        </w:tc>
        <w:tc>
          <w:tcPr>
            <w:tcW w:w="2622" w:type="dxa"/>
            <w:gridSpan w:val="2"/>
            <w:tcBorders>
              <w:top w:val="nil"/>
              <w:left w:val="nil"/>
              <w:bottom w:val="nil"/>
              <w:right w:val="nil"/>
            </w:tcBorders>
            <w:shd w:val="clear" w:color="auto" w:fill="auto"/>
            <w:hideMark/>
          </w:tcPr>
          <w:p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décembre 2018 à 0h01</w:t>
            </w:r>
          </w:p>
        </w:tc>
      </w:tr>
      <w:tr w:rsidR="00E566D3" w:rsidRPr="00C73365" w:rsidTr="004C6567">
        <w:trPr>
          <w:trHeight w:val="253"/>
        </w:trPr>
        <w:tc>
          <w:tcPr>
            <w:tcW w:w="3261" w:type="dxa"/>
            <w:tcBorders>
              <w:top w:val="nil"/>
              <w:left w:val="nil"/>
              <w:bottom w:val="single" w:sz="4" w:space="0" w:color="7030A0"/>
              <w:right w:val="nil"/>
            </w:tcBorders>
            <w:shd w:val="clear" w:color="000000" w:fill="FFFFFF"/>
            <w:hideMark/>
          </w:tcPr>
          <w:p w:rsidR="00E566D3" w:rsidRPr="00C73365" w:rsidRDefault="00E566D3"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w:t>
            </w:r>
            <w:r w:rsidR="004C6567" w:rsidRPr="00C73365">
              <w:rPr>
                <w:rFonts w:asciiTheme="minorHAnsi" w:hAnsiTheme="minorHAnsi" w:cstheme="minorHAnsi"/>
                <w:color w:val="000000"/>
                <w:szCs w:val="20"/>
                <w:lang w:val="fr-FR" w:eastAsia="fr-FR"/>
              </w:rPr>
              <w:t xml:space="preserve">-005 </w:t>
            </w:r>
            <w:r w:rsidRPr="00C73365">
              <w:rPr>
                <w:rFonts w:asciiTheme="minorHAnsi" w:hAnsiTheme="minorHAnsi" w:cstheme="minorHAnsi"/>
                <w:color w:val="000000"/>
                <w:szCs w:val="20"/>
                <w:lang w:val="fr-FR" w:eastAsia="fr-FR"/>
              </w:rPr>
              <w:t>testé en Espagne</w:t>
            </w:r>
          </w:p>
        </w:tc>
        <w:tc>
          <w:tcPr>
            <w:tcW w:w="992" w:type="dxa"/>
            <w:gridSpan w:val="2"/>
            <w:tcBorders>
              <w:top w:val="nil"/>
              <w:left w:val="nil"/>
              <w:bottom w:val="single" w:sz="4" w:space="0" w:color="7030A0"/>
              <w:right w:val="nil"/>
            </w:tcBorders>
            <w:shd w:val="clear" w:color="000000" w:fill="FFFFFF"/>
            <w:hideMark/>
          </w:tcPr>
          <w:p w:rsidR="00E566D3" w:rsidRPr="00C73365" w:rsidRDefault="00E566D3"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4" w:space="0" w:color="7030A0"/>
              <w:right w:val="nil"/>
            </w:tcBorders>
            <w:shd w:val="clear" w:color="000000" w:fill="FFFFFF"/>
            <w:noWrap/>
            <w:hideMark/>
          </w:tcPr>
          <w:p w:rsidR="00E566D3" w:rsidRPr="00C73365" w:rsidRDefault="00E566D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2 500 000 € au total</w:t>
            </w:r>
          </w:p>
        </w:tc>
        <w:tc>
          <w:tcPr>
            <w:tcW w:w="2622" w:type="dxa"/>
            <w:gridSpan w:val="2"/>
            <w:tcBorders>
              <w:top w:val="nil"/>
              <w:left w:val="nil"/>
              <w:bottom w:val="single" w:sz="4" w:space="0" w:color="7030A0"/>
              <w:right w:val="nil"/>
            </w:tcBorders>
            <w:shd w:val="clear" w:color="000000" w:fill="FFFFFF"/>
            <w:hideMark/>
          </w:tcPr>
          <w:p w:rsidR="00E566D3" w:rsidRPr="00C73365" w:rsidRDefault="00E566D3" w:rsidP="00A96CCA">
            <w:pPr>
              <w:spacing w:after="0"/>
              <w:jc w:val="center"/>
              <w:rPr>
                <w:rFonts w:asciiTheme="minorHAnsi" w:hAnsiTheme="minorHAnsi" w:cstheme="minorHAnsi"/>
                <w:color w:val="000000"/>
                <w:szCs w:val="20"/>
                <w:lang w:val="fr-FR" w:eastAsia="fr-FR"/>
              </w:rPr>
            </w:pPr>
          </w:p>
        </w:tc>
      </w:tr>
      <w:tr w:rsidR="001B37CE" w:rsidRPr="00C73365" w:rsidTr="00AE5743">
        <w:trPr>
          <w:trHeight w:val="253"/>
        </w:trPr>
        <w:tc>
          <w:tcPr>
            <w:tcW w:w="3261" w:type="dxa"/>
            <w:tcBorders>
              <w:top w:val="single" w:sz="4" w:space="0" w:color="7030A0"/>
              <w:left w:val="nil"/>
              <w:bottom w:val="nil"/>
              <w:right w:val="nil"/>
            </w:tcBorders>
            <w:shd w:val="clear" w:color="000000" w:fill="FFFFFF"/>
          </w:tcPr>
          <w:p w:rsidR="001B37CE" w:rsidRPr="00C73365" w:rsidRDefault="001B37C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Responsabilité essais cliniques</w:t>
            </w:r>
          </w:p>
        </w:tc>
        <w:tc>
          <w:tcPr>
            <w:tcW w:w="992" w:type="dxa"/>
            <w:gridSpan w:val="2"/>
            <w:tcBorders>
              <w:top w:val="single" w:sz="4" w:space="0" w:color="7030A0"/>
              <w:left w:val="nil"/>
              <w:bottom w:val="nil"/>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4" w:space="0" w:color="7030A0"/>
              <w:left w:val="nil"/>
              <w:bottom w:val="nil"/>
              <w:right w:val="nil"/>
            </w:tcBorders>
            <w:shd w:val="clear" w:color="000000" w:fill="FFFFFF"/>
            <w:noWrap/>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 par personne testée</w:t>
            </w:r>
          </w:p>
        </w:tc>
        <w:tc>
          <w:tcPr>
            <w:tcW w:w="2622" w:type="dxa"/>
            <w:gridSpan w:val="2"/>
            <w:tcBorders>
              <w:top w:val="single" w:sz="4" w:space="0" w:color="7030A0"/>
              <w:left w:val="nil"/>
              <w:bottom w:val="nil"/>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01 </w:t>
            </w:r>
            <w:r w:rsidR="00E73A7C">
              <w:rPr>
                <w:rFonts w:asciiTheme="minorHAnsi" w:hAnsiTheme="minorHAnsi" w:cstheme="minorHAnsi"/>
                <w:color w:val="000000"/>
                <w:szCs w:val="20"/>
                <w:lang w:val="fr-FR" w:eastAsia="fr-FR"/>
              </w:rPr>
              <w:t>septembre</w:t>
            </w:r>
            <w:r w:rsidR="002A5FF3"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2018 à 0h01</w:t>
            </w:r>
          </w:p>
        </w:tc>
      </w:tr>
      <w:tr w:rsidR="001B37CE" w:rsidRPr="00C73365" w:rsidTr="004C6567">
        <w:trPr>
          <w:trHeight w:val="253"/>
        </w:trPr>
        <w:tc>
          <w:tcPr>
            <w:tcW w:w="3261" w:type="dxa"/>
            <w:tcBorders>
              <w:top w:val="nil"/>
              <w:left w:val="nil"/>
              <w:bottom w:val="single" w:sz="4" w:space="0" w:color="7030A0"/>
              <w:right w:val="nil"/>
            </w:tcBorders>
            <w:shd w:val="clear" w:color="000000" w:fill="FFFFFF"/>
          </w:tcPr>
          <w:p w:rsidR="001B37CE" w:rsidRPr="00C73365" w:rsidRDefault="001B37C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France</w:t>
            </w:r>
          </w:p>
        </w:tc>
        <w:tc>
          <w:tcPr>
            <w:tcW w:w="992" w:type="dxa"/>
            <w:gridSpan w:val="2"/>
            <w:tcBorders>
              <w:top w:val="nil"/>
              <w:left w:val="nil"/>
              <w:bottom w:val="single" w:sz="4" w:space="0" w:color="7030A0"/>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4" w:space="0" w:color="7030A0"/>
              <w:right w:val="nil"/>
            </w:tcBorders>
            <w:shd w:val="clear" w:color="000000" w:fill="FFFFFF"/>
            <w:noWrap/>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10 000 000 € au total</w:t>
            </w:r>
          </w:p>
        </w:tc>
        <w:tc>
          <w:tcPr>
            <w:tcW w:w="2622" w:type="dxa"/>
            <w:gridSpan w:val="2"/>
            <w:tcBorders>
              <w:top w:val="nil"/>
              <w:left w:val="nil"/>
              <w:bottom w:val="single" w:sz="4" w:space="0" w:color="7030A0"/>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p>
        </w:tc>
      </w:tr>
      <w:tr w:rsidR="001B37CE" w:rsidRPr="00C73365" w:rsidTr="004C6567">
        <w:trPr>
          <w:trHeight w:val="253"/>
        </w:trPr>
        <w:tc>
          <w:tcPr>
            <w:tcW w:w="3261" w:type="dxa"/>
            <w:tcBorders>
              <w:top w:val="single" w:sz="4" w:space="0" w:color="7030A0"/>
              <w:left w:val="nil"/>
              <w:bottom w:val="nil"/>
              <w:right w:val="nil"/>
            </w:tcBorders>
            <w:shd w:val="clear" w:color="000000" w:fill="FFFFFF"/>
          </w:tcPr>
          <w:p w:rsidR="001B37CE" w:rsidRPr="00C73365" w:rsidRDefault="001B37C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Responsabilité essais cliniques</w:t>
            </w:r>
          </w:p>
        </w:tc>
        <w:tc>
          <w:tcPr>
            <w:tcW w:w="992" w:type="dxa"/>
            <w:gridSpan w:val="2"/>
            <w:tcBorders>
              <w:top w:val="single" w:sz="4" w:space="0" w:color="7030A0"/>
              <w:left w:val="nil"/>
              <w:bottom w:val="nil"/>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4" w:space="0" w:color="7030A0"/>
              <w:left w:val="nil"/>
              <w:bottom w:val="nil"/>
              <w:right w:val="nil"/>
            </w:tcBorders>
            <w:shd w:val="clear" w:color="000000" w:fill="FFFFFF"/>
            <w:noWrap/>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400 000 € par personne testée</w:t>
            </w:r>
          </w:p>
        </w:tc>
        <w:tc>
          <w:tcPr>
            <w:tcW w:w="2622" w:type="dxa"/>
            <w:gridSpan w:val="2"/>
            <w:tcBorders>
              <w:top w:val="single" w:sz="4" w:space="0" w:color="7030A0"/>
              <w:left w:val="nil"/>
              <w:bottom w:val="nil"/>
              <w:right w:val="nil"/>
            </w:tcBorders>
            <w:shd w:val="clear" w:color="000000" w:fill="FFFFFF"/>
          </w:tcPr>
          <w:p w:rsidR="001B37CE" w:rsidRPr="00C73365" w:rsidRDefault="002A5FF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01 </w:t>
            </w:r>
            <w:r w:rsidR="00E73A7C">
              <w:rPr>
                <w:rFonts w:asciiTheme="minorHAnsi" w:hAnsiTheme="minorHAnsi" w:cstheme="minorHAnsi"/>
                <w:color w:val="000000"/>
                <w:szCs w:val="20"/>
                <w:lang w:val="fr-FR" w:eastAsia="fr-FR"/>
              </w:rPr>
              <w:t>septembre</w:t>
            </w:r>
            <w:r w:rsidRPr="00C73365">
              <w:rPr>
                <w:rFonts w:asciiTheme="minorHAnsi" w:hAnsiTheme="minorHAnsi" w:cstheme="minorHAnsi"/>
                <w:color w:val="000000"/>
                <w:szCs w:val="20"/>
                <w:lang w:val="fr-FR" w:eastAsia="fr-FR"/>
              </w:rPr>
              <w:t xml:space="preserve"> 2018 à 0h01</w:t>
            </w:r>
          </w:p>
        </w:tc>
      </w:tr>
      <w:tr w:rsidR="001B37CE" w:rsidRPr="00C73365" w:rsidTr="004C6567">
        <w:trPr>
          <w:trHeight w:val="253"/>
        </w:trPr>
        <w:tc>
          <w:tcPr>
            <w:tcW w:w="3261" w:type="dxa"/>
            <w:tcBorders>
              <w:top w:val="nil"/>
              <w:left w:val="nil"/>
              <w:bottom w:val="single" w:sz="4" w:space="0" w:color="7030A0"/>
              <w:right w:val="nil"/>
            </w:tcBorders>
            <w:shd w:val="clear" w:color="000000" w:fill="FFFFFF"/>
          </w:tcPr>
          <w:p w:rsidR="001B37CE" w:rsidRPr="00C73365" w:rsidRDefault="001B37C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Belgique</w:t>
            </w:r>
          </w:p>
        </w:tc>
        <w:tc>
          <w:tcPr>
            <w:tcW w:w="992" w:type="dxa"/>
            <w:gridSpan w:val="2"/>
            <w:tcBorders>
              <w:top w:val="nil"/>
              <w:left w:val="nil"/>
              <w:bottom w:val="single" w:sz="4" w:space="0" w:color="7030A0"/>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4" w:space="0" w:color="7030A0"/>
              <w:right w:val="nil"/>
            </w:tcBorders>
            <w:shd w:val="clear" w:color="000000" w:fill="FFFFFF"/>
            <w:noWrap/>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3 000 000 € au total</w:t>
            </w:r>
          </w:p>
        </w:tc>
        <w:tc>
          <w:tcPr>
            <w:tcW w:w="2622" w:type="dxa"/>
            <w:gridSpan w:val="2"/>
            <w:tcBorders>
              <w:top w:val="nil"/>
              <w:left w:val="nil"/>
              <w:bottom w:val="single" w:sz="4" w:space="0" w:color="7030A0"/>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p>
        </w:tc>
      </w:tr>
      <w:tr w:rsidR="001B37CE" w:rsidRPr="00C73365" w:rsidTr="004C6567">
        <w:trPr>
          <w:trHeight w:val="253"/>
        </w:trPr>
        <w:tc>
          <w:tcPr>
            <w:tcW w:w="3261" w:type="dxa"/>
            <w:tcBorders>
              <w:top w:val="single" w:sz="4" w:space="0" w:color="7030A0"/>
              <w:left w:val="nil"/>
              <w:bottom w:val="nil"/>
              <w:right w:val="nil"/>
            </w:tcBorders>
            <w:shd w:val="clear" w:color="000000" w:fill="FFFFFF"/>
          </w:tcPr>
          <w:p w:rsidR="001B37CE" w:rsidRPr="00C73365" w:rsidRDefault="001B37C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Responsabilité essais cliniques</w:t>
            </w:r>
          </w:p>
        </w:tc>
        <w:tc>
          <w:tcPr>
            <w:tcW w:w="992" w:type="dxa"/>
            <w:gridSpan w:val="2"/>
            <w:tcBorders>
              <w:top w:val="single" w:sz="4" w:space="0" w:color="7030A0"/>
              <w:left w:val="nil"/>
              <w:bottom w:val="nil"/>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4" w:space="0" w:color="7030A0"/>
              <w:left w:val="nil"/>
              <w:bottom w:val="nil"/>
              <w:right w:val="nil"/>
            </w:tcBorders>
            <w:shd w:val="clear" w:color="000000" w:fill="FFFFFF"/>
            <w:noWrap/>
          </w:tcPr>
          <w:p w:rsidR="001B37CE" w:rsidRPr="00C73365" w:rsidRDefault="001B37CE"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500 000 € par personne testée</w:t>
            </w:r>
          </w:p>
        </w:tc>
        <w:tc>
          <w:tcPr>
            <w:tcW w:w="2622" w:type="dxa"/>
            <w:gridSpan w:val="2"/>
            <w:tcBorders>
              <w:top w:val="single" w:sz="4" w:space="0" w:color="7030A0"/>
              <w:left w:val="nil"/>
              <w:bottom w:val="nil"/>
              <w:right w:val="nil"/>
            </w:tcBorders>
            <w:shd w:val="clear" w:color="000000" w:fill="FFFFFF"/>
          </w:tcPr>
          <w:p w:rsidR="001B37CE" w:rsidRPr="00C73365" w:rsidRDefault="002A5FF3"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01 </w:t>
            </w:r>
            <w:r w:rsidR="00E73A7C">
              <w:rPr>
                <w:rFonts w:asciiTheme="minorHAnsi" w:hAnsiTheme="minorHAnsi" w:cstheme="minorHAnsi"/>
                <w:color w:val="000000"/>
                <w:szCs w:val="20"/>
                <w:lang w:val="fr-FR" w:eastAsia="fr-FR"/>
              </w:rPr>
              <w:t>septembre</w:t>
            </w:r>
            <w:r w:rsidRPr="00C73365">
              <w:rPr>
                <w:rFonts w:asciiTheme="minorHAnsi" w:hAnsiTheme="minorHAnsi" w:cstheme="minorHAnsi"/>
                <w:color w:val="000000"/>
                <w:szCs w:val="20"/>
                <w:lang w:val="fr-FR" w:eastAsia="fr-FR"/>
              </w:rPr>
              <w:t xml:space="preserve"> 2018 à 0h01</w:t>
            </w:r>
          </w:p>
        </w:tc>
      </w:tr>
      <w:tr w:rsidR="001B37CE" w:rsidRPr="00C73365" w:rsidTr="00AE5743">
        <w:trPr>
          <w:trHeight w:val="253"/>
        </w:trPr>
        <w:tc>
          <w:tcPr>
            <w:tcW w:w="3261" w:type="dxa"/>
            <w:tcBorders>
              <w:top w:val="nil"/>
              <w:left w:val="nil"/>
              <w:bottom w:val="single" w:sz="8" w:space="0" w:color="7030A0"/>
              <w:right w:val="nil"/>
            </w:tcBorders>
            <w:shd w:val="clear" w:color="000000" w:fill="FFFFFF"/>
          </w:tcPr>
          <w:p w:rsidR="001B37CE" w:rsidRPr="00C73365" w:rsidRDefault="001B37C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Pologne</w:t>
            </w:r>
          </w:p>
        </w:tc>
        <w:tc>
          <w:tcPr>
            <w:tcW w:w="992" w:type="dxa"/>
            <w:gridSpan w:val="2"/>
            <w:tcBorders>
              <w:top w:val="nil"/>
              <w:left w:val="nil"/>
              <w:bottom w:val="single" w:sz="8" w:space="0" w:color="7030A0"/>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8" w:space="0" w:color="7030A0"/>
              <w:right w:val="nil"/>
            </w:tcBorders>
            <w:shd w:val="clear" w:color="000000" w:fill="FFFFFF"/>
            <w:noWrap/>
          </w:tcPr>
          <w:p w:rsidR="001B37CE" w:rsidRPr="00C73365" w:rsidRDefault="001B37CE" w:rsidP="00A96CCA">
            <w:pPr>
              <w:spacing w:after="0"/>
              <w:jc w:val="center"/>
              <w:rPr>
                <w:rFonts w:asciiTheme="minorHAnsi" w:hAnsiTheme="minorHAnsi" w:cstheme="minorHAnsi"/>
                <w:color w:val="000000"/>
                <w:szCs w:val="20"/>
                <w:lang w:val="fr-FR" w:eastAsia="fr-FR"/>
              </w:rPr>
            </w:pPr>
          </w:p>
        </w:tc>
        <w:tc>
          <w:tcPr>
            <w:tcW w:w="2622" w:type="dxa"/>
            <w:gridSpan w:val="2"/>
            <w:tcBorders>
              <w:top w:val="nil"/>
              <w:left w:val="nil"/>
              <w:bottom w:val="single" w:sz="8" w:space="0" w:color="7030A0"/>
              <w:right w:val="nil"/>
            </w:tcBorders>
            <w:shd w:val="clear" w:color="000000" w:fill="FFFFFF"/>
          </w:tcPr>
          <w:p w:rsidR="001B37CE" w:rsidRPr="00C73365" w:rsidRDefault="001B37CE" w:rsidP="00A96CCA">
            <w:pPr>
              <w:spacing w:after="0"/>
              <w:jc w:val="center"/>
              <w:rPr>
                <w:rFonts w:asciiTheme="minorHAnsi" w:hAnsiTheme="minorHAnsi" w:cstheme="minorHAnsi"/>
                <w:color w:val="000000"/>
                <w:szCs w:val="20"/>
                <w:lang w:val="fr-FR" w:eastAsia="fr-FR"/>
              </w:rPr>
            </w:pPr>
          </w:p>
        </w:tc>
      </w:tr>
      <w:tr w:rsidR="004F69B4" w:rsidRPr="00C73365" w:rsidTr="00AE5743">
        <w:trPr>
          <w:trHeight w:val="253"/>
        </w:trPr>
        <w:tc>
          <w:tcPr>
            <w:tcW w:w="3261" w:type="dxa"/>
            <w:tcBorders>
              <w:top w:val="single" w:sz="8" w:space="0" w:color="7030A0"/>
              <w:left w:val="nil"/>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Responsabilité essais cliniques</w:t>
            </w:r>
          </w:p>
        </w:tc>
        <w:tc>
          <w:tcPr>
            <w:tcW w:w="99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8" w:space="0" w:color="7030A0"/>
              <w:left w:val="nil"/>
              <w:right w:val="nil"/>
            </w:tcBorders>
            <w:shd w:val="clear" w:color="000000" w:fill="FFFFFF"/>
            <w:noWrap/>
          </w:tcPr>
          <w:p w:rsidR="004F69B4" w:rsidRPr="00C73365" w:rsidRDefault="00AD2C40"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w:t>
            </w:r>
            <w:r w:rsidR="004F69B4" w:rsidRPr="00C73365">
              <w:rPr>
                <w:rFonts w:asciiTheme="minorHAnsi" w:hAnsiTheme="minorHAnsi" w:cstheme="minorHAnsi"/>
                <w:color w:val="000000"/>
                <w:szCs w:val="20"/>
                <w:lang w:val="fr-FR" w:eastAsia="fr-FR"/>
              </w:rPr>
              <w:t>00 000 € par personne testée</w:t>
            </w:r>
          </w:p>
        </w:tc>
        <w:tc>
          <w:tcPr>
            <w:tcW w:w="262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octobre 2018 à 0h01</w:t>
            </w:r>
          </w:p>
        </w:tc>
      </w:tr>
      <w:tr w:rsidR="004F69B4" w:rsidRPr="00C73365" w:rsidTr="00AE5743">
        <w:trPr>
          <w:trHeight w:val="253"/>
        </w:trPr>
        <w:tc>
          <w:tcPr>
            <w:tcW w:w="3261" w:type="dxa"/>
            <w:tcBorders>
              <w:left w:val="nil"/>
              <w:bottom w:val="single" w:sz="8"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Pologne</w:t>
            </w:r>
          </w:p>
        </w:tc>
        <w:tc>
          <w:tcPr>
            <w:tcW w:w="992" w:type="dxa"/>
            <w:gridSpan w:val="2"/>
            <w:tcBorders>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left w:val="nil"/>
              <w:bottom w:val="single" w:sz="8"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2622" w:type="dxa"/>
            <w:gridSpan w:val="2"/>
            <w:tcBorders>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AE5743">
        <w:trPr>
          <w:trHeight w:val="253"/>
        </w:trPr>
        <w:tc>
          <w:tcPr>
            <w:tcW w:w="3261" w:type="dxa"/>
            <w:tcBorders>
              <w:top w:val="single" w:sz="8" w:space="0" w:color="7030A0"/>
              <w:left w:val="nil"/>
              <w:right w:val="nil"/>
            </w:tcBorders>
            <w:shd w:val="clear" w:color="000000" w:fill="FFFFFF"/>
          </w:tcPr>
          <w:p w:rsidR="004F69B4" w:rsidRPr="00C73365" w:rsidRDefault="004F69B4" w:rsidP="00A96CCA">
            <w:pPr>
              <w:spacing w:after="0"/>
              <w:rPr>
                <w:rFonts w:asciiTheme="minorHAnsi" w:hAnsiTheme="minorHAnsi" w:cstheme="minorHAnsi"/>
                <w:b/>
                <w:color w:val="000000"/>
                <w:szCs w:val="20"/>
                <w:lang w:val="fr-FR" w:eastAsia="fr-FR"/>
              </w:rPr>
            </w:pPr>
            <w:bookmarkStart w:id="107" w:name="_Toc482087291"/>
            <w:bookmarkStart w:id="108" w:name="_Toc482089531"/>
            <w:bookmarkStart w:id="109" w:name="_Toc482090839"/>
            <w:bookmarkStart w:id="110" w:name="_Toc482174866"/>
            <w:bookmarkStart w:id="111" w:name="_Toc482175011"/>
            <w:bookmarkStart w:id="112" w:name="_Toc482188527"/>
            <w:bookmarkEnd w:id="107"/>
            <w:bookmarkEnd w:id="108"/>
            <w:bookmarkEnd w:id="109"/>
            <w:bookmarkEnd w:id="110"/>
            <w:bookmarkEnd w:id="111"/>
            <w:bookmarkEnd w:id="112"/>
            <w:r w:rsidRPr="00C73365">
              <w:rPr>
                <w:rFonts w:asciiTheme="minorHAnsi" w:hAnsiTheme="minorHAnsi" w:cstheme="minorHAnsi"/>
                <w:b/>
                <w:color w:val="000000"/>
                <w:szCs w:val="20"/>
                <w:lang w:val="fr-FR" w:eastAsia="fr-FR"/>
              </w:rPr>
              <w:t>Responsabilité essais cliniques</w:t>
            </w:r>
          </w:p>
        </w:tc>
        <w:tc>
          <w:tcPr>
            <w:tcW w:w="99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8" w:space="0" w:color="7030A0"/>
              <w:left w:val="nil"/>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 par personne testée</w:t>
            </w:r>
          </w:p>
        </w:tc>
        <w:tc>
          <w:tcPr>
            <w:tcW w:w="262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octobre 2018 à 0h01</w:t>
            </w:r>
          </w:p>
        </w:tc>
      </w:tr>
      <w:tr w:rsidR="004F69B4" w:rsidRPr="00C73365" w:rsidTr="0017682C">
        <w:trPr>
          <w:trHeight w:val="253"/>
        </w:trPr>
        <w:tc>
          <w:tcPr>
            <w:tcW w:w="3261" w:type="dxa"/>
            <w:tcBorders>
              <w:top w:val="nil"/>
              <w:left w:val="nil"/>
              <w:bottom w:val="single" w:sz="8"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République Tchèque</w:t>
            </w:r>
          </w:p>
        </w:tc>
        <w:tc>
          <w:tcPr>
            <w:tcW w:w="99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8"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5 000 000 € au total</w:t>
            </w:r>
          </w:p>
        </w:tc>
        <w:tc>
          <w:tcPr>
            <w:tcW w:w="262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AE5743">
        <w:trPr>
          <w:trHeight w:val="253"/>
        </w:trPr>
        <w:tc>
          <w:tcPr>
            <w:tcW w:w="3261" w:type="dxa"/>
            <w:tcBorders>
              <w:top w:val="nil"/>
              <w:left w:val="nil"/>
              <w:right w:val="nil"/>
            </w:tcBorders>
            <w:shd w:val="clear" w:color="000000" w:fill="FFFFFF"/>
          </w:tcPr>
          <w:p w:rsidR="004F69B4" w:rsidRPr="00C73365" w:rsidRDefault="004F69B4" w:rsidP="00A96CCA">
            <w:pPr>
              <w:spacing w:after="0"/>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Responsabilité essais cliniques</w:t>
            </w:r>
          </w:p>
        </w:tc>
        <w:tc>
          <w:tcPr>
            <w:tcW w:w="992" w:type="dxa"/>
            <w:gridSpan w:val="2"/>
            <w:tcBorders>
              <w:top w:val="nil"/>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nil"/>
              <w:left w:val="nil"/>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500 000 € par personne testée</w:t>
            </w:r>
          </w:p>
        </w:tc>
        <w:tc>
          <w:tcPr>
            <w:tcW w:w="2622" w:type="dxa"/>
            <w:gridSpan w:val="2"/>
            <w:tcBorders>
              <w:top w:val="nil"/>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octobre 2018 à 0h01</w:t>
            </w:r>
          </w:p>
        </w:tc>
      </w:tr>
      <w:tr w:rsidR="004F69B4" w:rsidRPr="00C73365" w:rsidTr="004C69C6">
        <w:trPr>
          <w:trHeight w:val="253"/>
        </w:trPr>
        <w:tc>
          <w:tcPr>
            <w:tcW w:w="3261" w:type="dxa"/>
            <w:tcBorders>
              <w:top w:val="nil"/>
              <w:left w:val="nil"/>
              <w:bottom w:val="single" w:sz="8"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Allemagne</w:t>
            </w:r>
          </w:p>
        </w:tc>
        <w:tc>
          <w:tcPr>
            <w:tcW w:w="99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8"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5 000 000 € au total</w:t>
            </w:r>
          </w:p>
        </w:tc>
        <w:tc>
          <w:tcPr>
            <w:tcW w:w="262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4C69C6">
        <w:trPr>
          <w:trHeight w:val="253"/>
        </w:trPr>
        <w:tc>
          <w:tcPr>
            <w:tcW w:w="3261" w:type="dxa"/>
            <w:tcBorders>
              <w:top w:val="single" w:sz="8" w:space="0" w:color="7030A0"/>
              <w:left w:val="nil"/>
              <w:right w:val="nil"/>
            </w:tcBorders>
            <w:shd w:val="clear" w:color="000000" w:fill="FFFFFF"/>
          </w:tcPr>
          <w:p w:rsidR="004F69B4" w:rsidRPr="00C73365" w:rsidRDefault="004F69B4" w:rsidP="00A96CCA">
            <w:pPr>
              <w:spacing w:after="0"/>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Responsabilité essais cliniques</w:t>
            </w:r>
          </w:p>
        </w:tc>
        <w:tc>
          <w:tcPr>
            <w:tcW w:w="99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8" w:space="0" w:color="7030A0"/>
              <w:left w:val="nil"/>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250 000 € par personne testée</w:t>
            </w:r>
          </w:p>
        </w:tc>
        <w:tc>
          <w:tcPr>
            <w:tcW w:w="262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01 </w:t>
            </w:r>
            <w:r w:rsidR="001B0002" w:rsidRPr="00C73365">
              <w:rPr>
                <w:rFonts w:asciiTheme="minorHAnsi" w:hAnsiTheme="minorHAnsi" w:cstheme="minorHAnsi"/>
                <w:color w:val="000000"/>
                <w:szCs w:val="20"/>
                <w:lang w:val="fr-FR" w:eastAsia="fr-FR"/>
              </w:rPr>
              <w:t>novembre</w:t>
            </w:r>
            <w:r w:rsidRPr="00C73365">
              <w:rPr>
                <w:rFonts w:asciiTheme="minorHAnsi" w:hAnsiTheme="minorHAnsi" w:cstheme="minorHAnsi"/>
                <w:color w:val="000000"/>
                <w:szCs w:val="20"/>
                <w:lang w:val="fr-FR" w:eastAsia="fr-FR"/>
              </w:rPr>
              <w:t xml:space="preserve"> 2018 à 0h01</w:t>
            </w:r>
          </w:p>
        </w:tc>
      </w:tr>
      <w:tr w:rsidR="004F69B4" w:rsidRPr="00C73365" w:rsidTr="004C69C6">
        <w:trPr>
          <w:trHeight w:val="253"/>
        </w:trPr>
        <w:tc>
          <w:tcPr>
            <w:tcW w:w="3261" w:type="dxa"/>
            <w:tcBorders>
              <w:top w:val="nil"/>
              <w:left w:val="nil"/>
              <w:bottom w:val="single" w:sz="8"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Espagne</w:t>
            </w:r>
          </w:p>
        </w:tc>
        <w:tc>
          <w:tcPr>
            <w:tcW w:w="99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8"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2 500 000 € au total</w:t>
            </w:r>
          </w:p>
        </w:tc>
        <w:tc>
          <w:tcPr>
            <w:tcW w:w="262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4C69C6">
        <w:trPr>
          <w:trHeight w:val="253"/>
        </w:trPr>
        <w:tc>
          <w:tcPr>
            <w:tcW w:w="3261" w:type="dxa"/>
            <w:tcBorders>
              <w:top w:val="single" w:sz="8" w:space="0" w:color="7030A0"/>
              <w:left w:val="nil"/>
              <w:right w:val="nil"/>
            </w:tcBorders>
            <w:shd w:val="clear" w:color="000000" w:fill="FFFFFF"/>
          </w:tcPr>
          <w:p w:rsidR="004F69B4" w:rsidRPr="00C73365" w:rsidRDefault="004F69B4" w:rsidP="00A96CCA">
            <w:pPr>
              <w:spacing w:after="0"/>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Responsabilité essais cliniques</w:t>
            </w:r>
          </w:p>
        </w:tc>
        <w:tc>
          <w:tcPr>
            <w:tcW w:w="99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8" w:space="0" w:color="7030A0"/>
              <w:left w:val="nil"/>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100 000 € par personne testée</w:t>
            </w:r>
          </w:p>
        </w:tc>
        <w:tc>
          <w:tcPr>
            <w:tcW w:w="262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octobre 2018 à 0h01</w:t>
            </w:r>
          </w:p>
        </w:tc>
      </w:tr>
      <w:tr w:rsidR="004F69B4" w:rsidRPr="00C73365" w:rsidTr="00AE5743">
        <w:trPr>
          <w:trHeight w:val="253"/>
        </w:trPr>
        <w:tc>
          <w:tcPr>
            <w:tcW w:w="3261" w:type="dxa"/>
            <w:tcBorders>
              <w:top w:val="nil"/>
              <w:left w:val="nil"/>
              <w:bottom w:val="single" w:sz="8"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Hongrie</w:t>
            </w:r>
          </w:p>
        </w:tc>
        <w:tc>
          <w:tcPr>
            <w:tcW w:w="99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8"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 au total</w:t>
            </w:r>
          </w:p>
        </w:tc>
        <w:tc>
          <w:tcPr>
            <w:tcW w:w="2622" w:type="dxa"/>
            <w:gridSpan w:val="2"/>
            <w:tcBorders>
              <w:top w:val="nil"/>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1B37CE">
        <w:trPr>
          <w:trHeight w:val="253"/>
        </w:trPr>
        <w:tc>
          <w:tcPr>
            <w:tcW w:w="3261" w:type="dxa"/>
            <w:tcBorders>
              <w:top w:val="single" w:sz="8" w:space="0" w:color="7030A0"/>
              <w:left w:val="nil"/>
              <w:right w:val="nil"/>
            </w:tcBorders>
            <w:shd w:val="clear" w:color="000000" w:fill="FFFFFF"/>
          </w:tcPr>
          <w:p w:rsidR="004F69B4" w:rsidRPr="00C73365" w:rsidRDefault="004F69B4" w:rsidP="00A96CCA">
            <w:pPr>
              <w:spacing w:after="0"/>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Responsabilité essais cliniques</w:t>
            </w:r>
          </w:p>
        </w:tc>
        <w:tc>
          <w:tcPr>
            <w:tcW w:w="99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8" w:space="0" w:color="7030A0"/>
              <w:left w:val="nil"/>
              <w:right w:val="nil"/>
            </w:tcBorders>
            <w:shd w:val="clear" w:color="000000" w:fill="FFFFFF"/>
            <w:noWrap/>
          </w:tcPr>
          <w:p w:rsidR="004F69B4" w:rsidRPr="00C73365" w:rsidRDefault="001B00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r w:rsidR="004F69B4" w:rsidRPr="00C73365">
              <w:rPr>
                <w:rFonts w:asciiTheme="minorHAnsi" w:hAnsiTheme="minorHAnsi" w:cstheme="minorHAnsi"/>
                <w:color w:val="000000"/>
                <w:szCs w:val="20"/>
                <w:lang w:val="fr-FR" w:eastAsia="fr-FR"/>
              </w:rPr>
              <w:t>00 000 € par personne testée</w:t>
            </w:r>
          </w:p>
        </w:tc>
        <w:tc>
          <w:tcPr>
            <w:tcW w:w="2622" w:type="dxa"/>
            <w:gridSpan w:val="2"/>
            <w:tcBorders>
              <w:top w:val="single" w:sz="8" w:space="0" w:color="7030A0"/>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février 2019 à 0h01</w:t>
            </w:r>
          </w:p>
        </w:tc>
      </w:tr>
      <w:tr w:rsidR="004F69B4" w:rsidRPr="00C73365" w:rsidTr="00AE5743">
        <w:trPr>
          <w:trHeight w:val="253"/>
        </w:trPr>
        <w:tc>
          <w:tcPr>
            <w:tcW w:w="3261" w:type="dxa"/>
            <w:tcBorders>
              <w:left w:val="nil"/>
              <w:bottom w:val="single" w:sz="8"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ABX464-101 testé en Autriche</w:t>
            </w:r>
          </w:p>
        </w:tc>
        <w:tc>
          <w:tcPr>
            <w:tcW w:w="992" w:type="dxa"/>
            <w:gridSpan w:val="2"/>
            <w:tcBorders>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left w:val="nil"/>
              <w:bottom w:val="single" w:sz="8" w:space="0" w:color="7030A0"/>
              <w:right w:val="nil"/>
            </w:tcBorders>
            <w:shd w:val="clear" w:color="000000" w:fill="FFFFFF"/>
            <w:noWrap/>
          </w:tcPr>
          <w:p w:rsidR="004F69B4" w:rsidRPr="00C73365" w:rsidRDefault="001B0002"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w:t>
            </w:r>
            <w:r w:rsidR="004F69B4" w:rsidRPr="00C73365">
              <w:rPr>
                <w:rFonts w:asciiTheme="minorHAnsi" w:hAnsiTheme="minorHAnsi" w:cstheme="minorHAnsi"/>
                <w:color w:val="000000"/>
                <w:szCs w:val="20"/>
                <w:lang w:val="fr-FR" w:eastAsia="fr-FR"/>
              </w:rPr>
              <w:t> 000 000 € au total</w:t>
            </w:r>
          </w:p>
        </w:tc>
        <w:tc>
          <w:tcPr>
            <w:tcW w:w="2622" w:type="dxa"/>
            <w:gridSpan w:val="2"/>
            <w:tcBorders>
              <w:left w:val="nil"/>
              <w:bottom w:val="single" w:sz="8"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AD2C40">
        <w:trPr>
          <w:trHeight w:val="253"/>
        </w:trPr>
        <w:tc>
          <w:tcPr>
            <w:tcW w:w="3261" w:type="dxa"/>
            <w:tcBorders>
              <w:top w:val="single" w:sz="4" w:space="0" w:color="7030A0"/>
              <w:left w:val="nil"/>
              <w:bottom w:val="nil"/>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bookmarkStart w:id="113" w:name="_Toc402884126"/>
            <w:bookmarkStart w:id="114" w:name="_Toc462673233"/>
            <w:bookmarkStart w:id="115" w:name="_Toc467835579"/>
            <w:r w:rsidRPr="00C73365">
              <w:rPr>
                <w:rFonts w:asciiTheme="minorHAnsi" w:hAnsiTheme="minorHAnsi" w:cstheme="minorHAnsi"/>
                <w:b/>
                <w:bCs/>
                <w:color w:val="000000"/>
                <w:szCs w:val="20"/>
                <w:lang w:val="fr-FR" w:eastAsia="fr-FR"/>
              </w:rPr>
              <w:t>Responsabilité essais cliniques</w:t>
            </w:r>
          </w:p>
        </w:tc>
        <w:tc>
          <w:tcPr>
            <w:tcW w:w="992" w:type="dxa"/>
            <w:gridSpan w:val="2"/>
            <w:tcBorders>
              <w:top w:val="single" w:sz="4" w:space="0" w:color="7030A0"/>
              <w:left w:val="nil"/>
              <w:bottom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4" w:space="0" w:color="7030A0"/>
              <w:left w:val="nil"/>
              <w:bottom w:val="nil"/>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 par personne testée</w:t>
            </w:r>
          </w:p>
        </w:tc>
        <w:tc>
          <w:tcPr>
            <w:tcW w:w="2622" w:type="dxa"/>
            <w:gridSpan w:val="2"/>
            <w:tcBorders>
              <w:top w:val="single" w:sz="4" w:space="0" w:color="7030A0"/>
              <w:left w:val="nil"/>
              <w:bottom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aout 2019 à 0h01</w:t>
            </w:r>
          </w:p>
        </w:tc>
      </w:tr>
      <w:tr w:rsidR="004F69B4" w:rsidRPr="00C73365" w:rsidTr="00AD2C40">
        <w:trPr>
          <w:trHeight w:val="253"/>
        </w:trPr>
        <w:tc>
          <w:tcPr>
            <w:tcW w:w="3261" w:type="dxa"/>
            <w:tcBorders>
              <w:top w:val="nil"/>
              <w:left w:val="nil"/>
              <w:bottom w:val="single" w:sz="4"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ABX464-102 testé en France</w:t>
            </w:r>
          </w:p>
        </w:tc>
        <w:tc>
          <w:tcPr>
            <w:tcW w:w="992" w:type="dxa"/>
            <w:gridSpan w:val="2"/>
            <w:tcBorders>
              <w:top w:val="nil"/>
              <w:left w:val="nil"/>
              <w:bottom w:val="single" w:sz="4"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4"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10 000 000 € au total</w:t>
            </w:r>
          </w:p>
        </w:tc>
        <w:tc>
          <w:tcPr>
            <w:tcW w:w="2622" w:type="dxa"/>
            <w:gridSpan w:val="2"/>
            <w:tcBorders>
              <w:top w:val="nil"/>
              <w:left w:val="nil"/>
              <w:bottom w:val="single" w:sz="4"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AD2C40">
        <w:trPr>
          <w:trHeight w:val="253"/>
        </w:trPr>
        <w:tc>
          <w:tcPr>
            <w:tcW w:w="3261" w:type="dxa"/>
            <w:tcBorders>
              <w:top w:val="single" w:sz="4" w:space="0" w:color="7030A0"/>
              <w:left w:val="nil"/>
              <w:bottom w:val="nil"/>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Responsabilité essais cliniques</w:t>
            </w:r>
          </w:p>
        </w:tc>
        <w:tc>
          <w:tcPr>
            <w:tcW w:w="992" w:type="dxa"/>
            <w:gridSpan w:val="2"/>
            <w:tcBorders>
              <w:top w:val="single" w:sz="4" w:space="0" w:color="7030A0"/>
              <w:left w:val="nil"/>
              <w:bottom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single" w:sz="4" w:space="0" w:color="7030A0"/>
              <w:left w:val="nil"/>
              <w:bottom w:val="nil"/>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400 000 € par personne testée</w:t>
            </w:r>
          </w:p>
        </w:tc>
        <w:tc>
          <w:tcPr>
            <w:tcW w:w="2622" w:type="dxa"/>
            <w:gridSpan w:val="2"/>
            <w:tcBorders>
              <w:top w:val="single" w:sz="4" w:space="0" w:color="7030A0"/>
              <w:left w:val="nil"/>
              <w:bottom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 aout 2019 à 0h01</w:t>
            </w:r>
          </w:p>
        </w:tc>
      </w:tr>
      <w:tr w:rsidR="004F69B4" w:rsidRPr="00C73365" w:rsidTr="00AD2C40">
        <w:trPr>
          <w:trHeight w:val="253"/>
        </w:trPr>
        <w:tc>
          <w:tcPr>
            <w:tcW w:w="3261" w:type="dxa"/>
            <w:tcBorders>
              <w:top w:val="nil"/>
              <w:left w:val="nil"/>
              <w:bottom w:val="single" w:sz="4"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ABX464-102 testé en Belgique</w:t>
            </w:r>
          </w:p>
        </w:tc>
        <w:tc>
          <w:tcPr>
            <w:tcW w:w="992" w:type="dxa"/>
            <w:gridSpan w:val="2"/>
            <w:tcBorders>
              <w:top w:val="nil"/>
              <w:left w:val="nil"/>
              <w:bottom w:val="single" w:sz="4"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4"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3 000 000 € au total</w:t>
            </w:r>
          </w:p>
        </w:tc>
        <w:tc>
          <w:tcPr>
            <w:tcW w:w="2622" w:type="dxa"/>
            <w:gridSpan w:val="2"/>
            <w:tcBorders>
              <w:top w:val="nil"/>
              <w:left w:val="nil"/>
              <w:bottom w:val="single" w:sz="4"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r w:rsidR="004F69B4" w:rsidRPr="00C73365" w:rsidTr="004F69B4">
        <w:trPr>
          <w:trHeight w:val="253"/>
        </w:trPr>
        <w:tc>
          <w:tcPr>
            <w:tcW w:w="3261" w:type="dxa"/>
            <w:tcBorders>
              <w:top w:val="nil"/>
              <w:left w:val="nil"/>
              <w:right w:val="nil"/>
            </w:tcBorders>
            <w:shd w:val="clear" w:color="000000" w:fill="FFFFFF"/>
          </w:tcPr>
          <w:p w:rsidR="004F69B4" w:rsidRPr="00C73365" w:rsidRDefault="004F69B4" w:rsidP="00A96CCA">
            <w:pPr>
              <w:spacing w:after="0"/>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Responsabilité essais cliniques</w:t>
            </w:r>
          </w:p>
        </w:tc>
        <w:tc>
          <w:tcPr>
            <w:tcW w:w="992" w:type="dxa"/>
            <w:gridSpan w:val="2"/>
            <w:tcBorders>
              <w:top w:val="nil"/>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CNA</w:t>
            </w:r>
          </w:p>
        </w:tc>
        <w:tc>
          <w:tcPr>
            <w:tcW w:w="3118" w:type="dxa"/>
            <w:tcBorders>
              <w:top w:val="nil"/>
              <w:left w:val="nil"/>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100 000 € par personne testée</w:t>
            </w:r>
          </w:p>
        </w:tc>
        <w:tc>
          <w:tcPr>
            <w:tcW w:w="2622" w:type="dxa"/>
            <w:gridSpan w:val="2"/>
            <w:tcBorders>
              <w:top w:val="nil"/>
              <w:left w:val="nil"/>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 octobre 2019 à 0h01</w:t>
            </w:r>
          </w:p>
        </w:tc>
      </w:tr>
      <w:tr w:rsidR="004F69B4" w:rsidRPr="00C73365" w:rsidTr="004F69B4">
        <w:trPr>
          <w:trHeight w:val="253"/>
        </w:trPr>
        <w:tc>
          <w:tcPr>
            <w:tcW w:w="3261" w:type="dxa"/>
            <w:tcBorders>
              <w:top w:val="nil"/>
              <w:left w:val="nil"/>
              <w:bottom w:val="single" w:sz="4" w:space="0" w:color="7030A0"/>
              <w:right w:val="nil"/>
            </w:tcBorders>
            <w:shd w:val="clear" w:color="000000" w:fill="FFFFFF"/>
          </w:tcPr>
          <w:p w:rsidR="004F69B4" w:rsidRPr="00C73365" w:rsidRDefault="004F69B4"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ABX464-102 testé en Hongrie</w:t>
            </w:r>
          </w:p>
        </w:tc>
        <w:tc>
          <w:tcPr>
            <w:tcW w:w="992" w:type="dxa"/>
            <w:gridSpan w:val="2"/>
            <w:tcBorders>
              <w:top w:val="nil"/>
              <w:left w:val="nil"/>
              <w:bottom w:val="single" w:sz="4"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c>
          <w:tcPr>
            <w:tcW w:w="3118" w:type="dxa"/>
            <w:tcBorders>
              <w:top w:val="nil"/>
              <w:left w:val="nil"/>
              <w:bottom w:val="single" w:sz="4" w:space="0" w:color="7030A0"/>
              <w:right w:val="nil"/>
            </w:tcBorders>
            <w:shd w:val="clear" w:color="000000" w:fill="FFFFFF"/>
            <w:noWrap/>
          </w:tcPr>
          <w:p w:rsidR="004F69B4" w:rsidRPr="00C73365" w:rsidRDefault="004F69B4"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1 000 000 € au total</w:t>
            </w:r>
          </w:p>
        </w:tc>
        <w:tc>
          <w:tcPr>
            <w:tcW w:w="2622" w:type="dxa"/>
            <w:gridSpan w:val="2"/>
            <w:tcBorders>
              <w:top w:val="nil"/>
              <w:left w:val="nil"/>
              <w:bottom w:val="single" w:sz="4" w:space="0" w:color="7030A0"/>
              <w:right w:val="nil"/>
            </w:tcBorders>
            <w:shd w:val="clear" w:color="000000" w:fill="FFFFFF"/>
          </w:tcPr>
          <w:p w:rsidR="004F69B4" w:rsidRPr="00C73365" w:rsidRDefault="004F69B4" w:rsidP="00A96CCA">
            <w:pPr>
              <w:spacing w:after="0"/>
              <w:jc w:val="center"/>
              <w:rPr>
                <w:rFonts w:asciiTheme="minorHAnsi" w:hAnsiTheme="minorHAnsi" w:cstheme="minorHAnsi"/>
                <w:color w:val="000000"/>
                <w:szCs w:val="20"/>
                <w:lang w:val="fr-FR" w:eastAsia="fr-FR"/>
              </w:rPr>
            </w:pPr>
          </w:p>
        </w:tc>
      </w:tr>
    </w:tbl>
    <w:p w:rsidR="00702F54" w:rsidRPr="00C73365" w:rsidRDefault="00702F54" w:rsidP="00A96CCA">
      <w:pPr>
        <w:rPr>
          <w:rFonts w:asciiTheme="minorHAnsi" w:hAnsiTheme="minorHAnsi" w:cstheme="minorHAnsi"/>
          <w:sz w:val="22"/>
          <w:szCs w:val="22"/>
          <w:lang w:val="fr-FR"/>
        </w:rPr>
      </w:pPr>
    </w:p>
    <w:p w:rsidR="00702F54" w:rsidRPr="00C73365" w:rsidRDefault="00702F54" w:rsidP="00A96CCA">
      <w:pPr>
        <w:rPr>
          <w:rFonts w:asciiTheme="minorHAnsi" w:hAnsiTheme="minorHAnsi" w:cstheme="minorHAnsi"/>
          <w:b/>
          <w:sz w:val="22"/>
          <w:szCs w:val="22"/>
          <w:lang w:val="fr-FR"/>
        </w:rPr>
      </w:pPr>
      <w:r w:rsidRPr="00C73365">
        <w:rPr>
          <w:rFonts w:asciiTheme="minorHAnsi" w:hAnsiTheme="minorHAnsi" w:cstheme="minorHAnsi"/>
          <w:sz w:val="22"/>
          <w:szCs w:val="22"/>
          <w:lang w:val="fr-FR"/>
        </w:rPr>
        <w:br w:type="page"/>
      </w:r>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116" w:name="_Toc512863893"/>
      <w:r w:rsidRPr="00C73365">
        <w:rPr>
          <w:rFonts w:asciiTheme="minorHAnsi" w:hAnsiTheme="minorHAnsi" w:cstheme="minorHAnsi"/>
          <w:sz w:val="22"/>
          <w:szCs w:val="22"/>
          <w:lang w:val="fr-FR"/>
        </w:rPr>
        <w:lastRenderedPageBreak/>
        <w:t>Faits exceptionnels et litiges</w:t>
      </w:r>
      <w:bookmarkEnd w:id="113"/>
      <w:bookmarkEnd w:id="114"/>
      <w:bookmarkEnd w:id="115"/>
      <w:bookmarkEnd w:id="116"/>
    </w:p>
    <w:p w:rsidR="005A3A05" w:rsidRPr="00C73365" w:rsidRDefault="00655CBD" w:rsidP="00130569">
      <w:pPr>
        <w:pStyle w:val="ListContinue"/>
        <w:ind w:left="0"/>
        <w:rPr>
          <w:rFonts w:asciiTheme="minorHAnsi" w:hAnsiTheme="minorHAnsi" w:cstheme="minorHAnsi"/>
          <w:lang w:val="fr-FR"/>
        </w:rPr>
      </w:pPr>
      <w:r w:rsidRPr="006A05A6">
        <w:rPr>
          <w:rFonts w:asciiTheme="minorHAnsi" w:hAnsiTheme="minorHAnsi"/>
          <w:lang w:val="fr-FR"/>
        </w:rPr>
        <w:t>La Société n’a</w:t>
      </w:r>
      <w:r w:rsidR="00E32CFE" w:rsidRPr="006A05A6">
        <w:rPr>
          <w:rFonts w:asciiTheme="minorHAnsi" w:hAnsiTheme="minorHAnsi"/>
          <w:lang w:val="fr-FR"/>
        </w:rPr>
        <w:t xml:space="preserve"> </w:t>
      </w:r>
      <w:r w:rsidRPr="006A05A6">
        <w:rPr>
          <w:rFonts w:asciiTheme="minorHAnsi" w:hAnsiTheme="minorHAnsi"/>
          <w:lang w:val="fr-FR"/>
        </w:rPr>
        <w:t>été impliquée au cours de l’exercice 2017</w:t>
      </w:r>
      <w:r w:rsidR="001D0E5D">
        <w:rPr>
          <w:rFonts w:asciiTheme="minorHAnsi" w:hAnsiTheme="minorHAnsi"/>
          <w:lang w:val="fr-FR"/>
        </w:rPr>
        <w:t xml:space="preserve"> et juqu’à la date d’enregistrement de ce document</w:t>
      </w:r>
      <w:r w:rsidRPr="006A05A6">
        <w:rPr>
          <w:rFonts w:asciiTheme="minorHAnsi" w:hAnsiTheme="minorHAnsi"/>
          <w:lang w:val="fr-FR"/>
        </w:rPr>
        <w:t xml:space="preserve"> dans aucune procédure gouvernementale, judiciaire ou d’arbitrage (y compris toute procédure dont l’émetteur a connaissance, qui est en suspens ou dont il est menacé) qui pourrait avoir ou a eu récemment des effets significatifs sur la situation financière ou la rentabilité de la Société</w:t>
      </w:r>
      <w:r w:rsidRPr="00C73365">
        <w:rPr>
          <w:rFonts w:asciiTheme="minorHAnsi" w:hAnsiTheme="minorHAnsi" w:cstheme="minorHAnsi"/>
          <w:lang w:val="fr-FR"/>
        </w:rPr>
        <w:t>.</w:t>
      </w:r>
    </w:p>
    <w:p w:rsidR="00F46C7B" w:rsidRPr="00C73365" w:rsidRDefault="00F46C7B" w:rsidP="00A96CCA">
      <w:pPr>
        <w:pStyle w:val="ConmainL1"/>
        <w:numPr>
          <w:ilvl w:val="0"/>
          <w:numId w:val="9"/>
        </w:numPr>
        <w:spacing w:after="120"/>
        <w:rPr>
          <w:rFonts w:asciiTheme="minorHAnsi" w:hAnsiTheme="minorHAnsi" w:cstheme="minorHAnsi"/>
          <w:lang w:val="fr-FR"/>
        </w:rPr>
      </w:pPr>
      <w:bookmarkStart w:id="117" w:name="_Toc462673234"/>
      <w:bookmarkStart w:id="118" w:name="_Toc467835580"/>
      <w:bookmarkStart w:id="119" w:name="_Toc512863894"/>
      <w:r w:rsidRPr="00C73365">
        <w:rPr>
          <w:rFonts w:asciiTheme="minorHAnsi" w:hAnsiTheme="minorHAnsi" w:cstheme="minorHAnsi"/>
          <w:lang w:val="fr-FR"/>
        </w:rPr>
        <w:lastRenderedPageBreak/>
        <w:t>INFORMATIONS CONCERNANT LA SOCIETE</w:t>
      </w:r>
      <w:bookmarkEnd w:id="117"/>
      <w:bookmarkEnd w:id="118"/>
      <w:bookmarkEnd w:id="119"/>
    </w:p>
    <w:p w:rsidR="00F46C7B" w:rsidRPr="00C73365" w:rsidRDefault="00F46C7B" w:rsidP="00A96CCA">
      <w:pPr>
        <w:pStyle w:val="ConmainL2"/>
        <w:numPr>
          <w:ilvl w:val="1"/>
          <w:numId w:val="9"/>
        </w:numPr>
        <w:spacing w:after="120"/>
        <w:rPr>
          <w:rFonts w:asciiTheme="minorHAnsi" w:hAnsiTheme="minorHAnsi" w:cstheme="minorHAnsi"/>
          <w:sz w:val="22"/>
          <w:szCs w:val="22"/>
          <w:lang w:val="fr-FR"/>
        </w:rPr>
      </w:pPr>
      <w:bookmarkStart w:id="120" w:name="_Toc402884128"/>
      <w:bookmarkStart w:id="121" w:name="_Toc462673235"/>
      <w:bookmarkStart w:id="122" w:name="_Toc467835581"/>
      <w:bookmarkStart w:id="123" w:name="_Toc290245266"/>
      <w:bookmarkStart w:id="124" w:name="_Toc290293191"/>
      <w:bookmarkStart w:id="125" w:name="_Toc290294824"/>
      <w:bookmarkStart w:id="126" w:name="_Toc291712592"/>
      <w:bookmarkStart w:id="127" w:name="_Toc292267431"/>
      <w:bookmarkStart w:id="128" w:name="_Toc292876351"/>
      <w:bookmarkStart w:id="129" w:name="_Toc293328185"/>
      <w:bookmarkStart w:id="130" w:name="_Toc299092903"/>
      <w:bookmarkStart w:id="131" w:name="_Toc299094388"/>
      <w:bookmarkStart w:id="132" w:name="_Toc512863895"/>
      <w:r w:rsidRPr="00C73365">
        <w:rPr>
          <w:rFonts w:asciiTheme="minorHAnsi" w:hAnsiTheme="minorHAnsi" w:cstheme="minorHAnsi"/>
          <w:sz w:val="22"/>
          <w:szCs w:val="22"/>
          <w:lang w:val="fr-FR"/>
        </w:rPr>
        <w:t>Histoire et évolution de la Société</w:t>
      </w:r>
      <w:bookmarkEnd w:id="120"/>
      <w:bookmarkEnd w:id="121"/>
      <w:bookmarkEnd w:id="122"/>
      <w:bookmarkEnd w:id="132"/>
    </w:p>
    <w:p w:rsidR="00F46C7B" w:rsidRPr="00C73365" w:rsidRDefault="00F46C7B" w:rsidP="00A96CCA">
      <w:pPr>
        <w:pStyle w:val="ConmainL3"/>
        <w:numPr>
          <w:ilvl w:val="2"/>
          <w:numId w:val="9"/>
        </w:numPr>
        <w:spacing w:after="120"/>
        <w:ind w:left="1276" w:hanging="556"/>
        <w:rPr>
          <w:rFonts w:asciiTheme="minorHAnsi" w:hAnsiTheme="minorHAnsi" w:cstheme="minorHAnsi"/>
          <w:b/>
          <w:color w:val="7030A0"/>
          <w:lang w:val="fr-FR"/>
        </w:rPr>
      </w:pPr>
      <w:bookmarkStart w:id="133" w:name="_Toc290245260"/>
      <w:bookmarkStart w:id="134" w:name="_Toc290293185"/>
      <w:bookmarkStart w:id="135" w:name="_Toc290294818"/>
      <w:bookmarkStart w:id="136" w:name="_Toc291712586"/>
      <w:bookmarkStart w:id="137" w:name="_Toc292267425"/>
      <w:bookmarkStart w:id="138" w:name="_Toc292876345"/>
      <w:bookmarkStart w:id="139" w:name="_Toc293328179"/>
      <w:bookmarkStart w:id="140" w:name="_Toc299092896"/>
      <w:bookmarkStart w:id="141" w:name="_Toc299094381"/>
      <w:r w:rsidRPr="00C73365">
        <w:rPr>
          <w:rFonts w:asciiTheme="minorHAnsi" w:hAnsiTheme="minorHAnsi" w:cstheme="minorHAnsi"/>
          <w:b/>
          <w:color w:val="7030A0"/>
          <w:lang w:val="fr-FR"/>
        </w:rPr>
        <w:t>Raison sociale et nom commercial de la Société</w:t>
      </w:r>
      <w:bookmarkEnd w:id="133"/>
      <w:bookmarkEnd w:id="134"/>
      <w:bookmarkEnd w:id="135"/>
      <w:bookmarkEnd w:id="136"/>
      <w:bookmarkEnd w:id="137"/>
      <w:bookmarkEnd w:id="138"/>
      <w:bookmarkEnd w:id="139"/>
      <w:bookmarkEnd w:id="140"/>
      <w:bookmarkEnd w:id="141"/>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a pour dénomination sociale :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w:t>
      </w:r>
    </w:p>
    <w:p w:rsidR="00F46C7B" w:rsidRPr="00C73365" w:rsidRDefault="00F46C7B" w:rsidP="00A96CCA">
      <w:pPr>
        <w:pStyle w:val="ConmainL3"/>
        <w:numPr>
          <w:ilvl w:val="2"/>
          <w:numId w:val="9"/>
        </w:numPr>
        <w:spacing w:after="120"/>
        <w:ind w:left="1276" w:hanging="556"/>
        <w:rPr>
          <w:rFonts w:asciiTheme="minorHAnsi" w:hAnsiTheme="minorHAnsi" w:cstheme="minorHAnsi"/>
          <w:b/>
          <w:color w:val="7030A0"/>
          <w:lang w:val="fr-FR"/>
        </w:rPr>
      </w:pPr>
      <w:bookmarkStart w:id="142" w:name="_Toc290245261"/>
      <w:bookmarkStart w:id="143" w:name="_Toc290293186"/>
      <w:bookmarkStart w:id="144" w:name="_Toc290294819"/>
      <w:bookmarkStart w:id="145" w:name="_Toc291712587"/>
      <w:bookmarkStart w:id="146" w:name="_Toc292267426"/>
      <w:bookmarkStart w:id="147" w:name="_Toc292876346"/>
      <w:bookmarkStart w:id="148" w:name="_Toc293328180"/>
      <w:bookmarkStart w:id="149" w:name="_Toc299092897"/>
      <w:bookmarkStart w:id="150" w:name="_Toc299094382"/>
      <w:r w:rsidRPr="00C73365">
        <w:rPr>
          <w:rFonts w:asciiTheme="minorHAnsi" w:hAnsiTheme="minorHAnsi" w:cstheme="minorHAnsi"/>
          <w:b/>
          <w:color w:val="7030A0"/>
          <w:lang w:val="fr-FR"/>
        </w:rPr>
        <w:t>Lieu et numéro d’enregistrement de la Société</w:t>
      </w:r>
      <w:bookmarkEnd w:id="142"/>
      <w:bookmarkEnd w:id="143"/>
      <w:bookmarkEnd w:id="144"/>
      <w:bookmarkEnd w:id="145"/>
      <w:bookmarkEnd w:id="146"/>
      <w:bookmarkEnd w:id="147"/>
      <w:bookmarkEnd w:id="148"/>
      <w:bookmarkEnd w:id="149"/>
      <w:bookmarkEnd w:id="150"/>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est immatriculée au registre du commerce et des sociétés de Paris sous le numéro 799 363 718.</w:t>
      </w:r>
    </w:p>
    <w:p w:rsidR="00F46C7B" w:rsidRPr="00C73365" w:rsidRDefault="00F46C7B" w:rsidP="00A96CCA">
      <w:pPr>
        <w:pStyle w:val="ConmainL3"/>
        <w:numPr>
          <w:ilvl w:val="2"/>
          <w:numId w:val="9"/>
        </w:numPr>
        <w:spacing w:after="120"/>
        <w:ind w:left="1276" w:hanging="556"/>
        <w:rPr>
          <w:rFonts w:asciiTheme="minorHAnsi" w:hAnsiTheme="minorHAnsi" w:cstheme="minorHAnsi"/>
          <w:b/>
          <w:color w:val="7030A0"/>
          <w:lang w:val="fr-FR"/>
        </w:rPr>
      </w:pPr>
      <w:bookmarkStart w:id="151" w:name="_Toc290245262"/>
      <w:bookmarkStart w:id="152" w:name="_Toc290293187"/>
      <w:bookmarkStart w:id="153" w:name="_Toc290294820"/>
      <w:bookmarkStart w:id="154" w:name="_Toc291712588"/>
      <w:bookmarkStart w:id="155" w:name="_Toc292267427"/>
      <w:bookmarkStart w:id="156" w:name="_Toc292876347"/>
      <w:bookmarkStart w:id="157" w:name="_Toc293328181"/>
      <w:bookmarkStart w:id="158" w:name="_Toc299092898"/>
      <w:bookmarkStart w:id="159" w:name="_Toc299094383"/>
      <w:r w:rsidRPr="00C73365">
        <w:rPr>
          <w:rFonts w:asciiTheme="minorHAnsi" w:hAnsiTheme="minorHAnsi" w:cstheme="minorHAnsi"/>
          <w:b/>
          <w:color w:val="7030A0"/>
          <w:lang w:val="fr-FR"/>
        </w:rPr>
        <w:t>Date de constitution et durée</w:t>
      </w:r>
      <w:bookmarkEnd w:id="151"/>
      <w:bookmarkEnd w:id="152"/>
      <w:bookmarkEnd w:id="153"/>
      <w:bookmarkEnd w:id="154"/>
      <w:bookmarkEnd w:id="155"/>
      <w:bookmarkEnd w:id="156"/>
      <w:bookmarkEnd w:id="157"/>
      <w:bookmarkEnd w:id="158"/>
      <w:bookmarkEnd w:id="159"/>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a été créée le 4 décembre 2013 et immatriculée le 27 décembre 2013 sous forme d’une société par actions, pour une durée de 99 ans à compter de sa date d’immatriculation au registre du commerce et des sociétés, soit jusqu’au 22 décembre 2112, sauf prorogation ou dissolution anticipée.</w:t>
      </w:r>
    </w:p>
    <w:p w:rsidR="00F46C7B" w:rsidRPr="00C73365" w:rsidRDefault="00F46C7B" w:rsidP="00A96CCA">
      <w:pPr>
        <w:pStyle w:val="ConmainL3"/>
        <w:numPr>
          <w:ilvl w:val="2"/>
          <w:numId w:val="9"/>
        </w:numPr>
        <w:spacing w:after="120"/>
        <w:ind w:left="1276" w:hanging="556"/>
        <w:rPr>
          <w:rFonts w:asciiTheme="minorHAnsi" w:hAnsiTheme="minorHAnsi" w:cstheme="minorHAnsi"/>
          <w:b/>
          <w:color w:val="7030A0"/>
          <w:lang w:val="fr-FR"/>
        </w:rPr>
      </w:pPr>
      <w:bookmarkStart w:id="160" w:name="_Toc290245263"/>
      <w:bookmarkStart w:id="161" w:name="_Toc290293188"/>
      <w:bookmarkStart w:id="162" w:name="_Toc290294821"/>
      <w:bookmarkStart w:id="163" w:name="_Toc291712589"/>
      <w:bookmarkStart w:id="164" w:name="_Toc292267428"/>
      <w:bookmarkStart w:id="165" w:name="_Toc292876348"/>
      <w:bookmarkStart w:id="166" w:name="_Toc293328182"/>
      <w:bookmarkStart w:id="167" w:name="_Toc299092899"/>
      <w:bookmarkStart w:id="168" w:name="_Toc299094384"/>
      <w:r w:rsidRPr="00C73365">
        <w:rPr>
          <w:rFonts w:asciiTheme="minorHAnsi" w:hAnsiTheme="minorHAnsi" w:cstheme="minorHAnsi"/>
          <w:b/>
          <w:color w:val="7030A0"/>
          <w:lang w:val="fr-FR"/>
        </w:rPr>
        <w:t>Siège social de la Société, forme juridique, législation régissant ses activités</w:t>
      </w:r>
      <w:bookmarkEnd w:id="160"/>
      <w:bookmarkEnd w:id="161"/>
      <w:bookmarkEnd w:id="162"/>
      <w:bookmarkEnd w:id="163"/>
      <w:bookmarkEnd w:id="164"/>
      <w:bookmarkEnd w:id="165"/>
      <w:bookmarkEnd w:id="166"/>
      <w:bookmarkEnd w:id="167"/>
      <w:bookmarkEnd w:id="168"/>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est une société anonyme régie par le droit français, et principalement soumise, pour son fonctionnement, aux articles L. 225-1 et suivants du code de commerce.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siège social de la Société est situé 5, rue de la Baume, 75008 Paris.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coordonnées de la Société sont les suivantes :</w:t>
      </w:r>
    </w:p>
    <w:p w:rsidR="00F46C7B" w:rsidRPr="00C73365" w:rsidRDefault="00F46C7B">
      <w:pPr>
        <w:rPr>
          <w:rFonts w:asciiTheme="minorHAnsi" w:hAnsiTheme="minorHAnsi" w:cstheme="minorHAnsi"/>
          <w:lang w:val="fr-FR"/>
        </w:rPr>
      </w:pPr>
      <w:r w:rsidRPr="00C73365">
        <w:rPr>
          <w:rFonts w:asciiTheme="minorHAnsi" w:hAnsiTheme="minorHAnsi" w:cstheme="minorHAnsi"/>
          <w:lang w:val="fr-FR"/>
        </w:rPr>
        <w:t>Téléphone :</w:t>
      </w:r>
      <w:r w:rsidRPr="00C73365">
        <w:rPr>
          <w:rFonts w:asciiTheme="minorHAnsi" w:hAnsiTheme="minorHAnsi" w:cstheme="minorHAnsi"/>
          <w:lang w:val="fr-FR"/>
        </w:rPr>
        <w:tab/>
        <w:t>+33 (0) 1 53 83 08 41</w:t>
      </w:r>
    </w:p>
    <w:p w:rsidR="00F46C7B" w:rsidRPr="00C73365" w:rsidRDefault="00F46C7B">
      <w:pPr>
        <w:pStyle w:val="BlockLeft"/>
        <w:ind w:left="1440" w:hanging="1440"/>
        <w:rPr>
          <w:rFonts w:asciiTheme="minorHAnsi" w:hAnsiTheme="minorHAnsi" w:cstheme="minorHAnsi"/>
          <w:i/>
          <w:iCs/>
          <w:lang w:val="fr-FR"/>
        </w:rPr>
      </w:pPr>
      <w:r w:rsidRPr="00C73365">
        <w:rPr>
          <w:rFonts w:asciiTheme="minorHAnsi" w:hAnsiTheme="minorHAnsi" w:cstheme="minorHAnsi"/>
          <w:lang w:val="fr-FR"/>
        </w:rPr>
        <w:t xml:space="preserve">Courriel :         </w:t>
      </w:r>
      <w:r w:rsidRPr="00C73365">
        <w:rPr>
          <w:rFonts w:asciiTheme="minorHAnsi" w:hAnsiTheme="minorHAnsi" w:cstheme="minorHAnsi"/>
          <w:lang w:val="fr-FR"/>
        </w:rPr>
        <w:tab/>
      </w:r>
      <w:hyperlink r:id="rId13" w:history="1">
        <w:r w:rsidR="004572A0" w:rsidRPr="00C73365">
          <w:rPr>
            <w:rStyle w:val="Hyperlink"/>
            <w:rFonts w:asciiTheme="minorHAnsi" w:hAnsiTheme="minorHAnsi" w:cstheme="minorHAnsi"/>
            <w:lang w:val="fr-FR"/>
          </w:rPr>
          <w:t>info@ABIVAX.com</w:t>
        </w:r>
      </w:hyperlink>
      <w:r w:rsidRPr="00C73365">
        <w:rPr>
          <w:rFonts w:asciiTheme="minorHAnsi" w:hAnsiTheme="minorHAnsi" w:cstheme="minorHAnsi"/>
          <w:lang w:val="fr-FR"/>
        </w:rPr>
        <w:t xml:space="preserve"> </w:t>
      </w:r>
    </w:p>
    <w:p w:rsidR="00F46C7B" w:rsidRPr="00C73365" w:rsidRDefault="00F46C7B">
      <w:pPr>
        <w:rPr>
          <w:rFonts w:asciiTheme="minorHAnsi" w:hAnsiTheme="minorHAnsi" w:cstheme="minorHAnsi"/>
          <w:lang w:val="fr-FR"/>
        </w:rPr>
      </w:pPr>
      <w:r w:rsidRPr="00C73365">
        <w:rPr>
          <w:rFonts w:asciiTheme="minorHAnsi" w:hAnsiTheme="minorHAnsi" w:cstheme="minorHAnsi"/>
          <w:lang w:val="fr-FR"/>
        </w:rPr>
        <w:t xml:space="preserve">Site Internet : </w:t>
      </w:r>
      <w:r w:rsidRPr="00C73365">
        <w:rPr>
          <w:rFonts w:asciiTheme="minorHAnsi" w:hAnsiTheme="minorHAnsi" w:cstheme="minorHAnsi"/>
          <w:lang w:val="fr-FR"/>
        </w:rPr>
        <w:tab/>
      </w:r>
      <w:hyperlink r:id="rId14" w:history="1">
        <w:r w:rsidR="004572A0" w:rsidRPr="00C73365">
          <w:rPr>
            <w:rStyle w:val="Hyperlink"/>
            <w:rFonts w:asciiTheme="minorHAnsi" w:hAnsiTheme="minorHAnsi" w:cstheme="minorHAnsi"/>
            <w:lang w:val="fr-FR"/>
          </w:rPr>
          <w:t>www.ABIVAX.com</w:t>
        </w:r>
      </w:hyperlink>
      <w:r w:rsidRPr="00C73365">
        <w:rPr>
          <w:rFonts w:asciiTheme="minorHAnsi" w:hAnsiTheme="minorHAnsi" w:cstheme="minorHAnsi"/>
          <w:lang w:val="fr-FR"/>
        </w:rPr>
        <w:t xml:space="preserve">  </w:t>
      </w:r>
    </w:p>
    <w:p w:rsidR="00BE1E6B" w:rsidRPr="00C73365" w:rsidRDefault="00BE1E6B" w:rsidP="00BE1E6B">
      <w:pPr>
        <w:pStyle w:val="ConmainL3"/>
        <w:numPr>
          <w:ilvl w:val="2"/>
          <w:numId w:val="9"/>
        </w:numPr>
        <w:spacing w:after="120"/>
        <w:ind w:left="1276" w:hanging="556"/>
        <w:rPr>
          <w:rFonts w:asciiTheme="minorHAnsi" w:hAnsiTheme="minorHAnsi" w:cstheme="minorHAnsi"/>
          <w:b/>
          <w:color w:val="7030A0"/>
          <w:lang w:val="fr-FR"/>
        </w:rPr>
      </w:pPr>
      <w:bookmarkStart w:id="169" w:name="_Toc290245264"/>
      <w:bookmarkStart w:id="170" w:name="_Toc290293189"/>
      <w:bookmarkStart w:id="171" w:name="_Toc290294822"/>
      <w:bookmarkStart w:id="172" w:name="_Toc291712590"/>
      <w:bookmarkStart w:id="173" w:name="_Toc292267429"/>
      <w:bookmarkStart w:id="174" w:name="_Toc292876349"/>
      <w:bookmarkStart w:id="175" w:name="_Toc293328183"/>
      <w:bookmarkStart w:id="176" w:name="_Toc299092900"/>
      <w:bookmarkStart w:id="177" w:name="_Toc299094385"/>
      <w:bookmarkStart w:id="178" w:name="_Toc402884129"/>
      <w:bookmarkStart w:id="179" w:name="_Toc462673236"/>
      <w:bookmarkStart w:id="180" w:name="_Toc467835582"/>
      <w:r w:rsidRPr="00C73365">
        <w:rPr>
          <w:rFonts w:asciiTheme="minorHAnsi" w:hAnsiTheme="minorHAnsi" w:cstheme="minorHAnsi"/>
          <w:b/>
          <w:color w:val="7030A0"/>
          <w:lang w:val="fr-FR"/>
        </w:rPr>
        <w:t>Evénements importants dans le développement des activités de la Société</w:t>
      </w:r>
      <w:bookmarkEnd w:id="169"/>
      <w:bookmarkEnd w:id="170"/>
      <w:bookmarkEnd w:id="171"/>
      <w:bookmarkEnd w:id="172"/>
      <w:bookmarkEnd w:id="173"/>
      <w:bookmarkEnd w:id="174"/>
      <w:bookmarkEnd w:id="175"/>
      <w:bookmarkEnd w:id="176"/>
      <w:bookmarkEnd w:id="177"/>
    </w:p>
    <w:tbl>
      <w:tblPr>
        <w:tblStyle w:val="Grilledutableau3"/>
        <w:tblW w:w="9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843"/>
        <w:gridCol w:w="7699"/>
      </w:tblGrid>
      <w:tr w:rsidR="00BE1E6B" w:rsidRPr="00C73365"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Juillet 2005</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Constitution de WITTYCELL</w:t>
            </w:r>
          </w:p>
        </w:tc>
      </w:tr>
      <w:tr w:rsidR="00BE1E6B" w:rsidRPr="008C1A4A"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Novembre 2006</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Accord de licence entre WITTYCELL, Scripps Research Institute, l’Université de Chicago et l’Université Brigham Young pour développer </w:t>
            </w:r>
            <w:r w:rsidR="00E32CFE" w:rsidRPr="00C73365">
              <w:rPr>
                <w:rFonts w:asciiTheme="minorHAnsi" w:hAnsiTheme="minorHAnsi" w:cstheme="minorHAnsi"/>
                <w:lang w:val="fr-FR"/>
              </w:rPr>
              <w:t>ABX196</w:t>
            </w:r>
            <w:r w:rsidRPr="00C73365">
              <w:rPr>
                <w:rFonts w:asciiTheme="minorHAnsi" w:hAnsiTheme="minorHAnsi" w:cstheme="minorHAnsi"/>
                <w:lang w:val="fr-FR"/>
              </w:rPr>
              <w:t>, nouveau candidat stimulant immunitaire utilisant les cellules agonistes NKT</w:t>
            </w:r>
          </w:p>
        </w:tc>
      </w:tr>
      <w:tr w:rsidR="00BE1E6B" w:rsidRPr="00C73365"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Février 2008</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Constitution de SPLICOS</w:t>
            </w:r>
          </w:p>
        </w:tc>
      </w:tr>
      <w:tr w:rsidR="00BE1E6B" w:rsidRPr="008C1A4A"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Janvier 2009</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Conclusion de contrats entre SPLICOS, le CNRS et l’Université de Montpellier 2 pour mettre en œuvre un laboratoire collaboratif</w:t>
            </w:r>
          </w:p>
        </w:tc>
      </w:tr>
      <w:tr w:rsidR="00BE1E6B" w:rsidRPr="008C1A4A"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Mars 2009</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Conclusion d’un contrat collaboratif entre SPLICOS et l’Institut Curie</w:t>
            </w:r>
          </w:p>
        </w:tc>
      </w:tr>
      <w:tr w:rsidR="00BE1E6B" w:rsidRPr="00C73365"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Mars 2011</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Constitution de ZOPHIS</w:t>
            </w:r>
          </w:p>
        </w:tc>
      </w:tr>
      <w:tr w:rsidR="00BE1E6B" w:rsidRPr="008C1A4A"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Février 2013</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Conclusion d’un contrat </w:t>
            </w:r>
            <w:r w:rsidR="001479F8">
              <w:rPr>
                <w:rFonts w:asciiTheme="minorHAnsi" w:hAnsiTheme="minorHAnsi" w:cstheme="minorHAnsi"/>
                <w:lang w:val="fr-FR"/>
              </w:rPr>
              <w:t>Bpifrance</w:t>
            </w:r>
            <w:r w:rsidRPr="00C73365">
              <w:rPr>
                <w:rFonts w:asciiTheme="minorHAnsi" w:hAnsiTheme="minorHAnsi" w:cstheme="minorHAnsi"/>
                <w:lang w:val="fr-FR"/>
              </w:rPr>
              <w:t xml:space="preserve"> (anciennement projet OSEO-ISI) baptisé projet CaReNA entre SPLICOS, THERADIAG et le CNRS ayant pour objectif de développer des solutions thérapeutiques et diagnostiques associées et fondées sur le ciblage de l’ARN avec pour premières applications le traitement du VIH/SIDA pour une aide d’un montant de l’ordre de 5,2 </w:t>
            </w:r>
            <w:r w:rsidR="00EF089C" w:rsidRPr="00C73365">
              <w:rPr>
                <w:rFonts w:asciiTheme="minorHAnsi" w:hAnsiTheme="minorHAnsi" w:cstheme="minorHAnsi"/>
                <w:lang w:val="fr-FR"/>
              </w:rPr>
              <w:t>M€</w:t>
            </w:r>
          </w:p>
        </w:tc>
      </w:tr>
      <w:tr w:rsidR="00BE1E6B" w:rsidRPr="008C1A4A"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Juillet 2013</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Accord de licence avec Heber Biotec représentant le CIGB (Cuba) pour le co-développement d’</w:t>
            </w:r>
            <w:r w:rsidR="00E32CFE" w:rsidRPr="00C73365">
              <w:rPr>
                <w:rFonts w:asciiTheme="minorHAnsi" w:hAnsiTheme="minorHAnsi" w:cstheme="minorHAnsi"/>
                <w:lang w:val="fr-FR"/>
              </w:rPr>
              <w:t>ABX203</w:t>
            </w:r>
          </w:p>
        </w:tc>
      </w:tr>
      <w:tr w:rsidR="00BE1E6B" w:rsidRPr="00C73365"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Décembre 2013</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Constitution d’</w:t>
            </w:r>
            <w:r w:rsidR="00EF089C" w:rsidRPr="00C73365">
              <w:rPr>
                <w:rFonts w:asciiTheme="minorHAnsi" w:hAnsiTheme="minorHAnsi" w:cstheme="minorHAnsi"/>
                <w:lang w:val="fr-FR"/>
              </w:rPr>
              <w:t>ABIVAX</w:t>
            </w:r>
          </w:p>
        </w:tc>
      </w:tr>
      <w:tr w:rsidR="00BE1E6B" w:rsidRPr="00F06F79"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Mars 2014</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Lancement d’une étude de Phase I avec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(évaluation des propriétés pharmacocinétiques et de l’innocuité biologique d’</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sur volontaires sains)</w:t>
            </w:r>
          </w:p>
        </w:tc>
      </w:tr>
      <w:tr w:rsidR="00BE1E6B" w:rsidRPr="00F06F79"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bookmarkStart w:id="181" w:name="_Hlk509585168"/>
            <w:r w:rsidRPr="00C73365">
              <w:rPr>
                <w:rFonts w:asciiTheme="minorHAnsi" w:hAnsiTheme="minorHAnsi" w:cstheme="minorHAnsi"/>
                <w:b/>
                <w:lang w:val="fr-FR"/>
              </w:rPr>
              <w:t>Avril 2014</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Opérations d’apports en nature des sociétés SPLICOS, WITTYCELL et ZOPHIS à </w:t>
            </w:r>
            <w:r w:rsidR="00EF089C" w:rsidRPr="00C73365">
              <w:rPr>
                <w:rFonts w:asciiTheme="minorHAnsi" w:hAnsiTheme="minorHAnsi" w:cstheme="minorHAnsi"/>
                <w:lang w:val="fr-FR"/>
              </w:rPr>
              <w:t>ABIVAX</w:t>
            </w:r>
          </w:p>
        </w:tc>
      </w:tr>
      <w:bookmarkEnd w:id="181"/>
      <w:tr w:rsidR="00BE1E6B" w:rsidRPr="00F06F79"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Juillet 2014</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Transmissions universelles de patrimoine de WITTYCELL et ZOPHIS à </w:t>
            </w:r>
            <w:r w:rsidR="00EF089C" w:rsidRPr="00C73365">
              <w:rPr>
                <w:rFonts w:asciiTheme="minorHAnsi" w:hAnsiTheme="minorHAnsi" w:cstheme="minorHAnsi"/>
                <w:lang w:val="fr-FR"/>
              </w:rPr>
              <w:t>ABIVAX</w:t>
            </w:r>
          </w:p>
        </w:tc>
      </w:tr>
      <w:tr w:rsidR="00BE1E6B" w:rsidRPr="00F06F79" w:rsidTr="00BE1E6B">
        <w:tc>
          <w:tcPr>
            <w:tcW w:w="1843" w:type="dxa"/>
            <w:shd w:val="clear" w:color="auto" w:fill="auto"/>
          </w:tcPr>
          <w:p w:rsidR="00BE1E6B" w:rsidRPr="00C73365" w:rsidRDefault="00E73A7C" w:rsidP="00BE1E6B">
            <w:pPr>
              <w:rPr>
                <w:rFonts w:asciiTheme="minorHAnsi" w:hAnsiTheme="minorHAnsi" w:cstheme="minorHAnsi"/>
                <w:b/>
                <w:szCs w:val="22"/>
                <w:lang w:val="fr-FR"/>
              </w:rPr>
            </w:pPr>
            <w:r>
              <w:rPr>
                <w:rFonts w:asciiTheme="minorHAnsi" w:hAnsiTheme="minorHAnsi" w:cstheme="minorHAnsi"/>
                <w:b/>
                <w:lang w:val="fr-FR"/>
              </w:rPr>
              <w:lastRenderedPageBreak/>
              <w:t>Septembre</w:t>
            </w:r>
            <w:r w:rsidR="00BE1E6B" w:rsidRPr="00C73365">
              <w:rPr>
                <w:rFonts w:asciiTheme="minorHAnsi" w:hAnsiTheme="minorHAnsi" w:cstheme="minorHAnsi"/>
                <w:b/>
                <w:lang w:val="fr-FR"/>
              </w:rPr>
              <w:t xml:space="preserve"> 2014</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Résultat d’une étude de phase I pour </w:t>
            </w:r>
            <w:r w:rsidR="00E32CFE" w:rsidRPr="00C73365">
              <w:rPr>
                <w:rFonts w:asciiTheme="minorHAnsi" w:hAnsiTheme="minorHAnsi" w:cstheme="minorHAnsi"/>
                <w:lang w:val="fr-FR"/>
              </w:rPr>
              <w:t>ABX196</w:t>
            </w:r>
            <w:r w:rsidRPr="00C73365">
              <w:rPr>
                <w:rFonts w:asciiTheme="minorHAnsi" w:hAnsiTheme="minorHAnsi" w:cstheme="minorHAnsi"/>
                <w:lang w:val="fr-FR"/>
              </w:rPr>
              <w:t xml:space="preserve"> avec un vaccin prophylactique contre l’hépatite B. L’ajout d’</w:t>
            </w:r>
            <w:r w:rsidR="00E32CFE" w:rsidRPr="00C73365">
              <w:rPr>
                <w:rFonts w:asciiTheme="minorHAnsi" w:hAnsiTheme="minorHAnsi" w:cstheme="minorHAnsi"/>
                <w:lang w:val="fr-FR"/>
              </w:rPr>
              <w:t>ABX196</w:t>
            </w:r>
            <w:r w:rsidRPr="00C73365">
              <w:rPr>
                <w:rFonts w:asciiTheme="minorHAnsi" w:hAnsiTheme="minorHAnsi" w:cstheme="minorHAnsi"/>
                <w:lang w:val="fr-FR"/>
              </w:rPr>
              <w:t xml:space="preserve"> à un antigène HBs peu immunogénique a engendré une réponse protectrice d’anticorps anti-Hbs chez la majorité des patients</w:t>
            </w:r>
          </w:p>
        </w:tc>
      </w:tr>
      <w:tr w:rsidR="00BE1E6B" w:rsidRPr="00F06F79"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Octobre 2014</w:t>
            </w:r>
          </w:p>
        </w:tc>
        <w:tc>
          <w:tcPr>
            <w:tcW w:w="7699" w:type="dxa"/>
            <w:shd w:val="clear" w:color="auto" w:fill="auto"/>
          </w:tcPr>
          <w:p w:rsidR="00BE1E6B" w:rsidRPr="00C73365" w:rsidRDefault="00BE1E6B" w:rsidP="00BE1E6B">
            <w:pPr>
              <w:rPr>
                <w:rFonts w:asciiTheme="minorHAnsi" w:hAnsiTheme="minorHAnsi" w:cstheme="minorHAnsi"/>
                <w:szCs w:val="22"/>
                <w:lang w:val="fr-FR"/>
              </w:rPr>
            </w:pPr>
            <w:r w:rsidRPr="00C73365">
              <w:rPr>
                <w:rFonts w:asciiTheme="minorHAnsi" w:hAnsiTheme="minorHAnsi" w:cstheme="minorHAnsi"/>
                <w:lang w:val="fr-FR"/>
              </w:rPr>
              <w:t xml:space="preserve">Transmission universelle de patrimoine de SPLICOS à </w:t>
            </w:r>
            <w:r w:rsidR="00EF089C" w:rsidRPr="00C73365">
              <w:rPr>
                <w:rFonts w:asciiTheme="minorHAnsi" w:hAnsiTheme="minorHAnsi" w:cstheme="minorHAnsi"/>
                <w:lang w:val="fr-FR"/>
              </w:rPr>
              <w:t>ABIVAX</w:t>
            </w:r>
          </w:p>
        </w:tc>
      </w:tr>
      <w:tr w:rsidR="00BE1E6B" w:rsidRPr="008C1A4A" w:rsidTr="00BE1E6B">
        <w:trPr>
          <w:trHeight w:val="545"/>
        </w:trPr>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Décembre 2014</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Finalisation de l’étude de Phase Ia d’</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dans le traitement du VIH permettant de passer à la Phase IIa.</w:t>
            </w:r>
          </w:p>
        </w:tc>
      </w:tr>
      <w:tr w:rsidR="00BE1E6B" w:rsidRPr="008C1A4A" w:rsidTr="00BE1E6B">
        <w:trPr>
          <w:trHeight w:val="283"/>
        </w:trPr>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Janvier 2015</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szCs w:val="22"/>
                <w:lang w:val="fr-FR"/>
              </w:rPr>
            </w:pPr>
            <w:r w:rsidRPr="00C73365">
              <w:rPr>
                <w:rFonts w:asciiTheme="minorHAnsi" w:hAnsiTheme="minorHAnsi" w:cstheme="minorHAnsi"/>
                <w:lang w:val="fr-FR"/>
              </w:rPr>
              <w:t>Traitement du premier patient VIH positif dans le cadre de l’essai clinique de phase IIa d’</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à l’île Maurice</w:t>
            </w:r>
          </w:p>
        </w:tc>
      </w:tr>
      <w:tr w:rsidR="00BE1E6B" w:rsidRPr="008C1A4A" w:rsidTr="00BE1E6B">
        <w:tc>
          <w:tcPr>
            <w:tcW w:w="1843" w:type="dxa"/>
            <w:shd w:val="clear" w:color="auto" w:fill="auto"/>
          </w:tcPr>
          <w:p w:rsidR="00BE1E6B" w:rsidRPr="00C73365" w:rsidRDefault="00BE1E6B" w:rsidP="00BE1E6B">
            <w:pPr>
              <w:rPr>
                <w:rFonts w:asciiTheme="minorHAnsi" w:hAnsiTheme="minorHAnsi" w:cstheme="minorHAnsi"/>
                <w:b/>
                <w:szCs w:val="22"/>
                <w:lang w:val="fr-FR"/>
              </w:rPr>
            </w:pPr>
            <w:r w:rsidRPr="00C73365">
              <w:rPr>
                <w:rFonts w:asciiTheme="minorHAnsi" w:hAnsiTheme="minorHAnsi" w:cstheme="minorHAnsi"/>
                <w:b/>
                <w:lang w:val="fr-FR"/>
              </w:rPr>
              <w:t>Février 2015</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szCs w:val="22"/>
                <w:lang w:val="fr-FR"/>
              </w:rPr>
            </w:pPr>
            <w:r w:rsidRPr="00C73365">
              <w:rPr>
                <w:rFonts w:asciiTheme="minorHAnsi" w:hAnsiTheme="minorHAnsi" w:cstheme="minorHAnsi"/>
                <w:lang w:val="fr-FR"/>
              </w:rPr>
              <w:t>Traitement du premier patient en Nouvelle-Zélande dans le cadre de l’étude clinique de phase IIb/III d’</w:t>
            </w:r>
            <w:r w:rsidR="00E32CFE" w:rsidRPr="00C73365">
              <w:rPr>
                <w:rFonts w:asciiTheme="minorHAnsi" w:hAnsiTheme="minorHAnsi" w:cstheme="minorHAnsi"/>
                <w:lang w:val="fr-FR"/>
              </w:rPr>
              <w:t>ABX203</w:t>
            </w:r>
          </w:p>
        </w:tc>
      </w:tr>
      <w:tr w:rsidR="00BE1E6B" w:rsidRPr="008C1A4A"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Mars 2015</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 xml:space="preserve">Obtention de la qualification </w:t>
            </w:r>
            <w:r w:rsidR="001479F8">
              <w:rPr>
                <w:rFonts w:asciiTheme="minorHAnsi" w:hAnsiTheme="minorHAnsi" w:cstheme="minorHAnsi"/>
                <w:lang w:val="fr-FR"/>
              </w:rPr>
              <w:t>Bpifrance</w:t>
            </w:r>
            <w:r w:rsidRPr="00C73365">
              <w:rPr>
                <w:rFonts w:asciiTheme="minorHAnsi" w:hAnsiTheme="minorHAnsi" w:cstheme="minorHAnsi"/>
                <w:lang w:val="fr-FR"/>
              </w:rPr>
              <w:t xml:space="preserve"> « Entreprise Innovante »</w:t>
            </w:r>
          </w:p>
        </w:tc>
      </w:tr>
      <w:tr w:rsidR="00BE1E6B" w:rsidRPr="008C1A4A"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Juin 2015</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 xml:space="preserve">Introduction en bourse sur le marché réglementé d’Euronext à Paris - Levée de 57,7 </w:t>
            </w:r>
            <w:r w:rsidR="00EF089C" w:rsidRPr="00C73365">
              <w:rPr>
                <w:rFonts w:asciiTheme="minorHAnsi" w:hAnsiTheme="minorHAnsi" w:cstheme="minorHAnsi"/>
                <w:lang w:val="fr-FR"/>
              </w:rPr>
              <w:t>M€</w:t>
            </w:r>
          </w:p>
        </w:tc>
      </w:tr>
      <w:tr w:rsidR="00BE1E6B" w:rsidRPr="008C1A4A" w:rsidTr="00BE1E6B">
        <w:tc>
          <w:tcPr>
            <w:tcW w:w="1843" w:type="dxa"/>
            <w:shd w:val="clear" w:color="auto" w:fill="auto"/>
          </w:tcPr>
          <w:p w:rsidR="00BE1E6B" w:rsidRPr="00C73365" w:rsidRDefault="00E73A7C" w:rsidP="00BE1E6B">
            <w:pPr>
              <w:rPr>
                <w:rFonts w:asciiTheme="minorHAnsi" w:hAnsiTheme="minorHAnsi" w:cstheme="minorHAnsi"/>
                <w:b/>
                <w:lang w:val="fr-FR"/>
              </w:rPr>
            </w:pPr>
            <w:r>
              <w:rPr>
                <w:rFonts w:asciiTheme="minorHAnsi" w:hAnsiTheme="minorHAnsi" w:cstheme="minorHAnsi"/>
                <w:b/>
                <w:lang w:val="fr-FR"/>
              </w:rPr>
              <w:t>Septembre</w:t>
            </w:r>
            <w:r w:rsidR="00BE1E6B" w:rsidRPr="00C73365">
              <w:rPr>
                <w:rFonts w:asciiTheme="minorHAnsi" w:hAnsiTheme="minorHAnsi" w:cstheme="minorHAnsi"/>
                <w:b/>
                <w:lang w:val="fr-FR"/>
              </w:rPr>
              <w:t xml:space="preserve"> 2015</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Fin du recrutement dans l’étude clinique pivot de Phase IIb/III d’</w:t>
            </w:r>
            <w:r w:rsidR="00E32CFE" w:rsidRPr="00C73365">
              <w:rPr>
                <w:rFonts w:asciiTheme="minorHAnsi" w:hAnsiTheme="minorHAnsi" w:cstheme="minorHAnsi"/>
                <w:lang w:val="fr-FR"/>
              </w:rPr>
              <w:t>ABX203</w:t>
            </w:r>
          </w:p>
        </w:tc>
      </w:tr>
      <w:tr w:rsidR="00BE1E6B" w:rsidRPr="008C1A4A"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Janvier 2016</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Présentation à CROI, la conférence sur les rétrovirus et les infections opportunistes, des premiers résultats positifs de l’étude clinique de Phase IIa pour l’</w:t>
            </w:r>
            <w:r w:rsidR="00E32CFE" w:rsidRPr="00C73365">
              <w:rPr>
                <w:rFonts w:asciiTheme="minorHAnsi" w:hAnsiTheme="minorHAnsi" w:cstheme="minorHAnsi"/>
                <w:lang w:val="fr-FR"/>
              </w:rPr>
              <w:t>ABX464</w:t>
            </w:r>
          </w:p>
        </w:tc>
      </w:tr>
      <w:tr w:rsidR="00BE1E6B" w:rsidRPr="008C1A4A"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Mai 2016</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 xml:space="preserve">Lancement de l’étude </w:t>
            </w:r>
            <w:r w:rsidR="00E32CFE" w:rsidRPr="00C73365">
              <w:rPr>
                <w:rFonts w:asciiTheme="minorHAnsi" w:hAnsiTheme="minorHAnsi" w:cstheme="minorHAnsi"/>
                <w:lang w:val="fr-FR"/>
              </w:rPr>
              <w:t>ABX464</w:t>
            </w:r>
            <w:r w:rsidRPr="00C73365">
              <w:rPr>
                <w:rFonts w:asciiTheme="minorHAnsi" w:hAnsiTheme="minorHAnsi" w:cstheme="minorHAnsi"/>
                <w:lang w:val="fr-FR"/>
              </w:rPr>
              <w:t>-004 pour le développement clinique d’</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en co-thérapie avec un autre traitement antiviral</w:t>
            </w:r>
            <w:r w:rsidR="00EE0050" w:rsidRPr="00C73365">
              <w:rPr>
                <w:rFonts w:asciiTheme="minorHAnsi" w:hAnsiTheme="minorHAnsi" w:cstheme="minorHAnsi"/>
                <w:lang w:val="fr-FR"/>
              </w:rPr>
              <w:t xml:space="preserve"> </w:t>
            </w:r>
            <w:r w:rsidRPr="00C73365">
              <w:rPr>
                <w:rFonts w:asciiTheme="minorHAnsi" w:hAnsiTheme="minorHAnsi" w:cstheme="minorHAnsi"/>
                <w:lang w:val="fr-FR"/>
              </w:rPr>
              <w:t>; Premier patient recruté dans la seconde étude de Phase IIa</w:t>
            </w:r>
          </w:p>
        </w:tc>
      </w:tr>
      <w:tr w:rsidR="00BE1E6B" w:rsidRPr="008C1A4A"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Juin 2016</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Une analyse de l</w:t>
            </w:r>
            <w:r w:rsidR="004572A0" w:rsidRPr="00C73365">
              <w:rPr>
                <w:rFonts w:asciiTheme="minorHAnsi" w:hAnsiTheme="minorHAnsi" w:cstheme="minorHAnsi"/>
                <w:lang w:val="fr-FR"/>
              </w:rPr>
              <w:t>’</w:t>
            </w:r>
            <w:r w:rsidRPr="00C73365">
              <w:rPr>
                <w:rFonts w:asciiTheme="minorHAnsi" w:hAnsiTheme="minorHAnsi" w:cstheme="minorHAnsi"/>
                <w:lang w:val="fr-FR"/>
              </w:rPr>
              <w:t>étude de Phase IIb/III sur l</w:t>
            </w:r>
            <w:r w:rsidR="004572A0" w:rsidRPr="00C73365">
              <w:rPr>
                <w:rFonts w:asciiTheme="minorHAnsi" w:hAnsiTheme="minorHAnsi" w:cstheme="minorHAnsi"/>
                <w:lang w:val="fr-FR"/>
              </w:rPr>
              <w:t>’</w:t>
            </w:r>
            <w:r w:rsidR="00E32CFE" w:rsidRPr="00C73365">
              <w:rPr>
                <w:rFonts w:asciiTheme="minorHAnsi" w:hAnsiTheme="minorHAnsi" w:cstheme="minorHAnsi"/>
                <w:lang w:val="fr-FR"/>
              </w:rPr>
              <w:t>ABX203</w:t>
            </w:r>
            <w:r w:rsidRPr="00C73365">
              <w:rPr>
                <w:rFonts w:asciiTheme="minorHAnsi" w:hAnsiTheme="minorHAnsi" w:cstheme="minorHAnsi"/>
                <w:lang w:val="fr-FR"/>
              </w:rPr>
              <w:t xml:space="preserve"> pour le traitement de l</w:t>
            </w:r>
            <w:r w:rsidR="004572A0" w:rsidRPr="00C73365">
              <w:rPr>
                <w:rFonts w:asciiTheme="minorHAnsi" w:hAnsiTheme="minorHAnsi" w:cstheme="minorHAnsi"/>
                <w:lang w:val="fr-FR"/>
              </w:rPr>
              <w:t>’</w:t>
            </w:r>
            <w:r w:rsidRPr="00C73365">
              <w:rPr>
                <w:rFonts w:asciiTheme="minorHAnsi" w:hAnsiTheme="minorHAnsi" w:cstheme="minorHAnsi"/>
                <w:lang w:val="fr-FR"/>
              </w:rPr>
              <w:t>hépatite B chronique met en évidence la bonne tolérance du traitement, mais révèle que le critère d</w:t>
            </w:r>
            <w:r w:rsidR="004572A0" w:rsidRPr="00C73365">
              <w:rPr>
                <w:rFonts w:asciiTheme="minorHAnsi" w:hAnsiTheme="minorHAnsi" w:cstheme="minorHAnsi"/>
                <w:lang w:val="fr-FR"/>
              </w:rPr>
              <w:t>’</w:t>
            </w:r>
            <w:r w:rsidRPr="00C73365">
              <w:rPr>
                <w:rFonts w:asciiTheme="minorHAnsi" w:hAnsiTheme="minorHAnsi" w:cstheme="minorHAnsi"/>
                <w:lang w:val="fr-FR"/>
              </w:rPr>
              <w:t>évaluation principal a peu de chance d’être atteint</w:t>
            </w:r>
          </w:p>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Franchissement de la 2</w:t>
            </w:r>
            <w:r w:rsidRPr="00C73365">
              <w:rPr>
                <w:rFonts w:asciiTheme="minorHAnsi" w:hAnsiTheme="minorHAnsi" w:cstheme="minorHAnsi"/>
                <w:vertAlign w:val="superscript"/>
                <w:lang w:val="fr-FR"/>
              </w:rPr>
              <w:t>ème</w:t>
            </w:r>
            <w:r w:rsidRPr="00C73365">
              <w:rPr>
                <w:rFonts w:asciiTheme="minorHAnsi" w:hAnsiTheme="minorHAnsi" w:cstheme="minorHAnsi"/>
                <w:lang w:val="fr-FR"/>
              </w:rPr>
              <w:t xml:space="preserve"> étape clé de CaReNA, un « Projet Stratégique d’Innovation Industrielle » soutenue par </w:t>
            </w:r>
            <w:r w:rsidR="001479F8">
              <w:rPr>
                <w:rFonts w:asciiTheme="minorHAnsi" w:hAnsiTheme="minorHAnsi" w:cstheme="minorHAnsi"/>
                <w:lang w:val="fr-FR"/>
              </w:rPr>
              <w:t>Bpifrance</w:t>
            </w:r>
          </w:p>
        </w:tc>
      </w:tr>
      <w:tr w:rsidR="00BE1E6B" w:rsidRPr="008C1A4A" w:rsidTr="00BE1E6B">
        <w:trPr>
          <w:trHeight w:val="1749"/>
        </w:trPr>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Décembre 2016</w:t>
            </w:r>
          </w:p>
        </w:tc>
        <w:tc>
          <w:tcPr>
            <w:tcW w:w="7699" w:type="dxa"/>
            <w:shd w:val="clear" w:color="auto" w:fill="auto"/>
          </w:tcPr>
          <w:p w:rsidR="00BE1E6B" w:rsidRPr="00C73365" w:rsidRDefault="00BE1E6B" w:rsidP="00BE1E6B">
            <w:pPr>
              <w:rPr>
                <w:rFonts w:asciiTheme="minorHAnsi" w:hAnsiTheme="minorHAnsi" w:cstheme="minorHAnsi"/>
                <w:lang w:val="fr-FR"/>
              </w:rPr>
            </w:pPr>
            <w:r w:rsidRPr="00C73365">
              <w:rPr>
                <w:rFonts w:asciiTheme="minorHAnsi" w:hAnsiTheme="minorHAnsi" w:cstheme="minorHAnsi"/>
                <w:lang w:val="fr-FR"/>
              </w:rPr>
              <w:t>Résultats finaux concernant l’</w:t>
            </w:r>
            <w:r w:rsidR="00E32CFE" w:rsidRPr="00C73365">
              <w:rPr>
                <w:rFonts w:asciiTheme="minorHAnsi" w:hAnsiTheme="minorHAnsi" w:cstheme="minorHAnsi"/>
                <w:lang w:val="fr-FR"/>
              </w:rPr>
              <w:t>ABX203</w:t>
            </w:r>
            <w:r w:rsidRPr="00C73365">
              <w:rPr>
                <w:rFonts w:asciiTheme="minorHAnsi" w:hAnsiTheme="minorHAnsi" w:cstheme="minorHAnsi"/>
                <w:lang w:val="fr-FR"/>
              </w:rPr>
              <w:t xml:space="preserve"> qui confirme les conclusions de l’analyse de futilité conduite en Juin 2016 : l’étude n’a pas démontré que la co-administration d’ABX203 avec des analogues des nucléosides (NUCs) permettait de contrôler la charge virale après arrêt de ces traitements.</w:t>
            </w:r>
          </w:p>
          <w:p w:rsidR="00BE1E6B" w:rsidRPr="00C73365" w:rsidRDefault="00BE1E6B" w:rsidP="00BE1E6B">
            <w:pPr>
              <w:rPr>
                <w:rFonts w:asciiTheme="minorHAnsi" w:hAnsiTheme="minorHAnsi" w:cstheme="minorHAnsi"/>
                <w:lang w:val="fr-FR"/>
              </w:rPr>
            </w:pPr>
            <w:r w:rsidRPr="00C73365">
              <w:rPr>
                <w:rFonts w:asciiTheme="minorHAnsi" w:hAnsiTheme="minorHAnsi" w:cstheme="minorHAnsi"/>
                <w:lang w:val="fr-FR"/>
              </w:rPr>
              <w:t xml:space="preserve">A l’occasion de la publication de son Document de Référence 2016,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réactualise les informations relatives à ses activités.</w:t>
            </w:r>
          </w:p>
        </w:tc>
      </w:tr>
      <w:tr w:rsidR="00BE1E6B" w:rsidRPr="008C1A4A" w:rsidTr="00BE1E6B">
        <w:trPr>
          <w:trHeight w:val="1122"/>
        </w:trPr>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Janvier 2017</w:t>
            </w:r>
          </w:p>
        </w:tc>
        <w:tc>
          <w:tcPr>
            <w:tcW w:w="7699" w:type="dxa"/>
            <w:shd w:val="clear" w:color="auto" w:fill="auto"/>
          </w:tcPr>
          <w:p w:rsidR="00BE1E6B" w:rsidRPr="00C73365" w:rsidRDefault="00EF089C" w:rsidP="00BE1E6B">
            <w:pPr>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bénéficie d’un financement de 8,4 millions d’euros du Programme d’investissement d’avenir (PIA), opéré par </w:t>
            </w:r>
            <w:r w:rsidR="001479F8">
              <w:rPr>
                <w:rFonts w:asciiTheme="minorHAnsi" w:hAnsiTheme="minorHAnsi" w:cstheme="minorHAnsi"/>
                <w:lang w:val="fr-FR"/>
              </w:rPr>
              <w:t>Bpifrance</w:t>
            </w:r>
            <w:r w:rsidR="00BE1E6B" w:rsidRPr="00C73365">
              <w:rPr>
                <w:rFonts w:asciiTheme="minorHAnsi" w:hAnsiTheme="minorHAnsi" w:cstheme="minorHAnsi"/>
                <w:lang w:val="fr-FR"/>
              </w:rPr>
              <w:t>, pour le développement de traitements antiviraux innovants</w:t>
            </w:r>
          </w:p>
        </w:tc>
      </w:tr>
      <w:tr w:rsidR="00BE1E6B" w:rsidRPr="008C1A4A" w:rsidTr="00BE1E6B">
        <w:trPr>
          <w:trHeight w:val="1265"/>
        </w:trPr>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Février 2017</w:t>
            </w:r>
          </w:p>
        </w:tc>
        <w:tc>
          <w:tcPr>
            <w:tcW w:w="7699" w:type="dxa"/>
            <w:shd w:val="clear" w:color="auto" w:fill="auto"/>
          </w:tcPr>
          <w:p w:rsidR="00BE1E6B" w:rsidRPr="00C73365" w:rsidRDefault="00EF089C" w:rsidP="00BE1E6B">
            <w:pPr>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annonce la publication de données cliniques de Phase I sur ABX464, son candidat médicament “first-in-class”, dans deux revues scientifiques</w:t>
            </w:r>
          </w:p>
          <w:p w:rsidR="00BE1E6B" w:rsidRPr="00C73365" w:rsidRDefault="00EF089C" w:rsidP="00BE1E6B">
            <w:pPr>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a découvert de nouvelles molécules antivirales qui présentent le potentiel de traiter le virus de la Dengue</w:t>
            </w:r>
          </w:p>
        </w:tc>
      </w:tr>
      <w:tr w:rsidR="00BE1E6B" w:rsidRPr="008C1A4A" w:rsidTr="00BE1E6B">
        <w:trPr>
          <w:trHeight w:val="1269"/>
        </w:trPr>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Avril 2017</w:t>
            </w:r>
          </w:p>
          <w:p w:rsidR="00BE1E6B" w:rsidRPr="00C73365" w:rsidRDefault="00BE1E6B" w:rsidP="00BE1E6B">
            <w:pPr>
              <w:rPr>
                <w:rFonts w:asciiTheme="minorHAnsi" w:hAnsiTheme="minorHAnsi" w:cstheme="minorHAnsi"/>
                <w:b/>
                <w:lang w:val="fr-FR"/>
              </w:rPr>
            </w:pPr>
          </w:p>
          <w:p w:rsidR="00BE1E6B" w:rsidRPr="00C73365" w:rsidRDefault="00BE1E6B" w:rsidP="00BE1E6B">
            <w:pPr>
              <w:rPr>
                <w:rFonts w:asciiTheme="minorHAnsi" w:hAnsiTheme="minorHAnsi" w:cstheme="minorHAnsi"/>
                <w:b/>
                <w:lang w:val="fr-FR"/>
              </w:rPr>
            </w:pPr>
          </w:p>
          <w:p w:rsidR="00BE1E6B" w:rsidRPr="00C73365" w:rsidRDefault="00BE1E6B" w:rsidP="00BE1E6B">
            <w:pPr>
              <w:rPr>
                <w:rFonts w:asciiTheme="minorHAnsi" w:hAnsiTheme="minorHAnsi" w:cstheme="minorHAnsi"/>
                <w:b/>
                <w:lang w:val="fr-FR"/>
              </w:rPr>
            </w:pPr>
          </w:p>
        </w:tc>
        <w:tc>
          <w:tcPr>
            <w:tcW w:w="7699" w:type="dxa"/>
            <w:shd w:val="clear" w:color="auto" w:fill="auto"/>
          </w:tcPr>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démarre une nouvelle étude clinique (ABX464-005) pour évaluer l’effet d’ABX464 sur les réservoirs du VIH chez les patients infectés par le virus</w:t>
            </w:r>
          </w:p>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annonce l’extension de son portefeuille de produits antiviraux avec des molécules ciblant le virus Zika</w:t>
            </w:r>
          </w:p>
        </w:tc>
      </w:tr>
      <w:tr w:rsidR="00BE1E6B" w:rsidRPr="008C1A4A"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Mai 2017</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Réduction, pour la première fois chez le patient, des réservoirs du VIH induite par un traitement</w:t>
            </w:r>
            <w:r w:rsidR="00E73A7C">
              <w:rPr>
                <w:rFonts w:asciiTheme="minorHAnsi" w:hAnsiTheme="minorHAnsi" w:cstheme="minorHAnsi"/>
                <w:lang w:val="fr-FR"/>
              </w:rPr>
              <w:t xml:space="preserve"> </w:t>
            </w:r>
          </w:p>
        </w:tc>
      </w:tr>
      <w:tr w:rsidR="00BE1E6B" w:rsidRPr="008C1A4A"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Juin 2017</w:t>
            </w:r>
          </w:p>
        </w:tc>
        <w:tc>
          <w:tcPr>
            <w:tcW w:w="7699" w:type="dxa"/>
            <w:shd w:val="clear" w:color="auto" w:fill="auto"/>
          </w:tcPr>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bénéficie d’un financement de 390 000€ de la part de </w:t>
            </w:r>
            <w:r w:rsidR="001479F8">
              <w:rPr>
                <w:rFonts w:asciiTheme="minorHAnsi" w:hAnsiTheme="minorHAnsi" w:cstheme="minorHAnsi"/>
                <w:lang w:val="fr-FR"/>
              </w:rPr>
              <w:t>Bpifrance</w:t>
            </w:r>
            <w:r w:rsidR="00BE1E6B" w:rsidRPr="00C73365">
              <w:rPr>
                <w:rFonts w:asciiTheme="minorHAnsi" w:hAnsiTheme="minorHAnsi" w:cstheme="minorHAnsi"/>
                <w:lang w:val="fr-FR"/>
              </w:rPr>
              <w:t xml:space="preserve"> pour le développement de son candidat sérum hyperimmun contre le virus Ebola</w:t>
            </w:r>
          </w:p>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lastRenderedPageBreak/>
              <w:t>Le Pr. Jamal Tazi, inventeur d’ABX464, candidat médicament le plus avancé d’</w:t>
            </w:r>
            <w:r w:rsidR="00EF089C" w:rsidRPr="00C73365">
              <w:rPr>
                <w:rFonts w:asciiTheme="minorHAnsi" w:hAnsiTheme="minorHAnsi" w:cstheme="minorHAnsi"/>
                <w:lang w:val="fr-FR"/>
              </w:rPr>
              <w:t>ABIVAX</w:t>
            </w:r>
            <w:r w:rsidRPr="00C73365">
              <w:rPr>
                <w:rFonts w:asciiTheme="minorHAnsi" w:hAnsiTheme="minorHAnsi" w:cstheme="minorHAnsi"/>
                <w:lang w:val="fr-FR"/>
              </w:rPr>
              <w:t>, visant à induire une guérison fonctionnelle du VIH, reçoit la Médaille de l’Innovation 2017 du CNRS</w:t>
            </w:r>
          </w:p>
        </w:tc>
      </w:tr>
      <w:tr w:rsidR="00BE1E6B" w:rsidRPr="008C1A4A"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lastRenderedPageBreak/>
              <w:t>Juillet 2017</w:t>
            </w:r>
          </w:p>
        </w:tc>
        <w:tc>
          <w:tcPr>
            <w:tcW w:w="7699" w:type="dxa"/>
            <w:shd w:val="clear" w:color="auto" w:fill="auto"/>
          </w:tcPr>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De nouvelles données expérimentales sur l’effet anti-inflammatoire d’ABX464, le candidat médicament « first-in-class »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susceptible d’induire une guérison fonctionnelle au VIH, ont été publiées dans la revue scientifique Nature Scientific Reports</w:t>
            </w:r>
          </w:p>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présente les derniers résultats d’ABX464 à l’occasion de la Conférence de la société internationale sur le sida à Paris</w:t>
            </w:r>
          </w:p>
        </w:tc>
      </w:tr>
      <w:tr w:rsidR="00BE1E6B" w:rsidRPr="008C1A4A" w:rsidTr="00BE1E6B">
        <w:tc>
          <w:tcPr>
            <w:tcW w:w="1843" w:type="dxa"/>
            <w:shd w:val="clear" w:color="auto" w:fill="auto"/>
          </w:tcPr>
          <w:p w:rsidR="00BE1E6B" w:rsidRPr="00C73365" w:rsidRDefault="00E73A7C" w:rsidP="00BE1E6B">
            <w:pPr>
              <w:rPr>
                <w:rFonts w:asciiTheme="minorHAnsi" w:hAnsiTheme="minorHAnsi" w:cstheme="minorHAnsi"/>
                <w:b/>
                <w:lang w:val="fr-FR"/>
              </w:rPr>
            </w:pPr>
            <w:r>
              <w:rPr>
                <w:rFonts w:asciiTheme="minorHAnsi" w:hAnsiTheme="minorHAnsi" w:cstheme="minorHAnsi"/>
                <w:b/>
                <w:lang w:val="fr-FR"/>
              </w:rPr>
              <w:t>Septembre</w:t>
            </w:r>
            <w:r w:rsidR="00BE1E6B" w:rsidRPr="00C73365">
              <w:rPr>
                <w:rFonts w:asciiTheme="minorHAnsi" w:hAnsiTheme="minorHAnsi" w:cstheme="minorHAnsi"/>
                <w:b/>
                <w:lang w:val="fr-FR"/>
              </w:rPr>
              <w:t xml:space="preserve"> 2017</w:t>
            </w:r>
          </w:p>
        </w:tc>
        <w:tc>
          <w:tcPr>
            <w:tcW w:w="7699" w:type="dxa"/>
            <w:shd w:val="clear" w:color="auto" w:fill="auto"/>
          </w:tcPr>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et Evotec signent un accord stratégique de collaboration pour le développement de nouveaux agents antiviraux</w:t>
            </w:r>
          </w:p>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présente les données complètes de son étude de Phase 2a sur ABX464 dans le VIH au symposium « HIV Cure and Reservoir »</w:t>
            </w:r>
          </w:p>
          <w:p w:rsidR="00BE1E6B" w:rsidRPr="00C73365"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Premier patient traité dans la cohorte 3 mois de l’étude de Phase 2a sur ABX464 chez les patients VIH contrôlés</w:t>
            </w:r>
          </w:p>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obtient l’autorisation des autorités réglementaires françaises pour lancer une étude clinique avec ABX464 sur la </w:t>
            </w:r>
            <w:r w:rsidR="00357A37" w:rsidRPr="00C73365">
              <w:rPr>
                <w:rFonts w:asciiTheme="minorHAnsi" w:hAnsiTheme="minorHAnsi" w:cstheme="minorHAnsi"/>
                <w:lang w:val="fr-FR"/>
              </w:rPr>
              <w:t>rectocolite hémorragique</w:t>
            </w:r>
          </w:p>
          <w:p w:rsidR="00BE1E6B" w:rsidRPr="00E73A7C" w:rsidRDefault="00BE1E6B"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ABX464, le candidat d’</w:t>
            </w:r>
            <w:r w:rsidR="00EF089C" w:rsidRPr="00C73365">
              <w:rPr>
                <w:rFonts w:asciiTheme="minorHAnsi" w:hAnsiTheme="minorHAnsi" w:cstheme="minorHAnsi"/>
                <w:lang w:val="fr-FR"/>
              </w:rPr>
              <w:t>ABIVAX</w:t>
            </w:r>
            <w:r w:rsidRPr="00C73365">
              <w:rPr>
                <w:rFonts w:asciiTheme="minorHAnsi" w:hAnsiTheme="minorHAnsi" w:cstheme="minorHAnsi"/>
                <w:lang w:val="fr-FR"/>
              </w:rPr>
              <w:t>, a réduit les réservoirs du VIH dans le sang dans le cadre d’une seconde étude clinique de Phase 2a</w:t>
            </w:r>
            <w:r w:rsidR="00E73A7C">
              <w:rPr>
                <w:rFonts w:asciiTheme="minorHAnsi" w:hAnsiTheme="minorHAnsi" w:cstheme="minorHAnsi"/>
                <w:lang w:val="fr-FR"/>
              </w:rPr>
              <w:t xml:space="preserve"> </w:t>
            </w:r>
          </w:p>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sécurise une ligne de financement en fonds propres avec Kepler Che</w:t>
            </w:r>
            <w:r w:rsidR="00EE0050" w:rsidRPr="00C73365">
              <w:rPr>
                <w:rFonts w:asciiTheme="minorHAnsi" w:hAnsiTheme="minorHAnsi" w:cstheme="minorHAnsi"/>
                <w:lang w:val="fr-FR"/>
              </w:rPr>
              <w:t>u</w:t>
            </w:r>
            <w:r w:rsidR="00BE1E6B" w:rsidRPr="00C73365">
              <w:rPr>
                <w:rFonts w:asciiTheme="minorHAnsi" w:hAnsiTheme="minorHAnsi" w:cstheme="minorHAnsi"/>
                <w:lang w:val="fr-FR"/>
              </w:rPr>
              <w:t>vreux</w:t>
            </w:r>
          </w:p>
        </w:tc>
      </w:tr>
      <w:tr w:rsidR="00BE1E6B" w:rsidRPr="008C1A4A" w:rsidTr="00BE1E6B">
        <w:trPr>
          <w:trHeight w:val="2109"/>
        </w:trPr>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Octobre 2017</w:t>
            </w:r>
          </w:p>
        </w:tc>
        <w:tc>
          <w:tcPr>
            <w:tcW w:w="7699" w:type="dxa"/>
            <w:shd w:val="clear" w:color="auto" w:fill="auto"/>
          </w:tcPr>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présente de nouvelles données sur l</w:t>
            </w:r>
            <w:r w:rsidR="004572A0" w:rsidRPr="00C73365">
              <w:rPr>
                <w:rFonts w:asciiTheme="minorHAnsi" w:hAnsiTheme="minorHAnsi" w:cstheme="minorHAnsi"/>
                <w:lang w:val="fr-FR"/>
              </w:rPr>
              <w:t>’</w:t>
            </w:r>
            <w:r w:rsidR="00BE1E6B" w:rsidRPr="00C73365">
              <w:rPr>
                <w:rFonts w:asciiTheme="minorHAnsi" w:hAnsiTheme="minorHAnsi" w:cstheme="minorHAnsi"/>
                <w:lang w:val="fr-FR"/>
              </w:rPr>
              <w:t>efficacité de son stimulant immunitaire ABX196 dans le cancer du foie chez des modèles animaux lors de la conférence mondiale sur les vaccins</w:t>
            </w:r>
          </w:p>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participera à la 23</w:t>
            </w:r>
            <w:r w:rsidR="00BE1E6B" w:rsidRPr="00C73365">
              <w:rPr>
                <w:rFonts w:asciiTheme="minorHAnsi" w:hAnsiTheme="minorHAnsi" w:cstheme="minorHAnsi"/>
                <w:vertAlign w:val="superscript"/>
                <w:lang w:val="fr-FR"/>
              </w:rPr>
              <w:t>ème</w:t>
            </w:r>
            <w:r w:rsidR="00BE1E6B" w:rsidRPr="00C73365">
              <w:rPr>
                <w:rFonts w:asciiTheme="minorHAnsi" w:hAnsiTheme="minorHAnsi" w:cstheme="minorHAnsi"/>
                <w:lang w:val="fr-FR"/>
              </w:rPr>
              <w:t xml:space="preserve"> édition de la Conférence Annuelle sur les Partenariats Internationaux lors du BIO-Europe® 2017</w:t>
            </w:r>
          </w:p>
          <w:p w:rsidR="00EE0050" w:rsidRPr="00C73365" w:rsidRDefault="00EF089C" w:rsidP="00BE1E6B">
            <w:pPr>
              <w:pStyle w:val="NormalWeb"/>
              <w:shd w:val="clear" w:color="auto" w:fill="FFFFFF"/>
              <w:spacing w:before="0" w:after="12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renforce son Comité Scientifique avec la nomination du Pr. Christian</w:t>
            </w:r>
            <w:r w:rsidR="00EE0050" w:rsidRPr="00C73365">
              <w:rPr>
                <w:rFonts w:asciiTheme="minorHAnsi" w:hAnsiTheme="minorHAnsi" w:cstheme="minorHAnsi"/>
                <w:lang w:val="fr-FR"/>
              </w:rPr>
              <w:t xml:space="preserve"> </w:t>
            </w:r>
            <w:r w:rsidR="00BE1E6B" w:rsidRPr="00C73365">
              <w:rPr>
                <w:rFonts w:asciiTheme="minorHAnsi" w:hAnsiTheme="minorHAnsi" w:cstheme="minorHAnsi"/>
                <w:lang w:val="fr-FR"/>
              </w:rPr>
              <w:t>Bréchot, virologiste de renom et ancien Directeur Général de l</w:t>
            </w:r>
            <w:r w:rsidR="004572A0" w:rsidRPr="00C73365">
              <w:rPr>
                <w:rFonts w:asciiTheme="minorHAnsi" w:hAnsiTheme="minorHAnsi" w:cstheme="minorHAnsi"/>
                <w:lang w:val="fr-FR"/>
              </w:rPr>
              <w:t>’</w:t>
            </w:r>
            <w:r w:rsidR="00BE1E6B" w:rsidRPr="00C73365">
              <w:rPr>
                <w:rFonts w:asciiTheme="minorHAnsi" w:hAnsiTheme="minorHAnsi" w:cstheme="minorHAnsi"/>
                <w:lang w:val="fr-FR"/>
              </w:rPr>
              <w:t>Institut Pasteur</w:t>
            </w:r>
          </w:p>
        </w:tc>
      </w:tr>
      <w:tr w:rsidR="00BE1E6B" w:rsidRPr="008C1A4A"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Novembre 2017</w:t>
            </w:r>
          </w:p>
        </w:tc>
        <w:tc>
          <w:tcPr>
            <w:tcW w:w="7699" w:type="dxa"/>
            <w:shd w:val="clear" w:color="auto" w:fill="auto"/>
          </w:tcPr>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recrute le premier patient atteint de </w:t>
            </w:r>
            <w:r w:rsidR="00357A37" w:rsidRPr="00C73365">
              <w:rPr>
                <w:rFonts w:asciiTheme="minorHAnsi" w:hAnsiTheme="minorHAnsi" w:cstheme="minorHAnsi"/>
                <w:lang w:val="fr-FR"/>
              </w:rPr>
              <w:t>rectocolite hémorragique</w:t>
            </w:r>
            <w:r w:rsidR="00BE1E6B" w:rsidRPr="00C73365">
              <w:rPr>
                <w:rFonts w:asciiTheme="minorHAnsi" w:hAnsiTheme="minorHAnsi" w:cstheme="minorHAnsi"/>
                <w:lang w:val="fr-FR"/>
              </w:rPr>
              <w:t xml:space="preserve"> pour sa nouvelle étude clinique de preuve de concept avec ABX464</w:t>
            </w:r>
          </w:p>
        </w:tc>
      </w:tr>
      <w:tr w:rsidR="00BE1E6B" w:rsidRPr="008C1A4A" w:rsidTr="00BE1E6B">
        <w:tc>
          <w:tcPr>
            <w:tcW w:w="1843" w:type="dxa"/>
            <w:shd w:val="clear" w:color="auto" w:fill="auto"/>
          </w:tcPr>
          <w:p w:rsidR="00BE1E6B"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Décembre 2017</w:t>
            </w:r>
          </w:p>
        </w:tc>
        <w:tc>
          <w:tcPr>
            <w:tcW w:w="7699" w:type="dxa"/>
            <w:shd w:val="clear" w:color="auto" w:fill="auto"/>
          </w:tcPr>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présentera les données concernant la phase IIa d’ABX464 confirmant la réduction du réservoir du VIH lors de la 8</w:t>
            </w:r>
            <w:r w:rsidR="00BE1E6B" w:rsidRPr="00C73365">
              <w:rPr>
                <w:rFonts w:asciiTheme="minorHAnsi" w:hAnsiTheme="minorHAnsi" w:cstheme="minorHAnsi"/>
                <w:vertAlign w:val="superscript"/>
                <w:lang w:val="fr-FR"/>
              </w:rPr>
              <w:t>ème</w:t>
            </w:r>
            <w:r w:rsidR="00BE1E6B" w:rsidRPr="00C73365">
              <w:rPr>
                <w:rFonts w:asciiTheme="minorHAnsi" w:hAnsiTheme="minorHAnsi" w:cstheme="minorHAnsi"/>
                <w:lang w:val="fr-FR"/>
              </w:rPr>
              <w:t xml:space="preserve"> édition de la conférence internationale sur la persistance du VIH pendant les traitements</w:t>
            </w:r>
          </w:p>
        </w:tc>
      </w:tr>
      <w:tr w:rsidR="00BE1E6B" w:rsidRPr="008C1A4A" w:rsidTr="00BE1E6B">
        <w:tc>
          <w:tcPr>
            <w:tcW w:w="1843" w:type="dxa"/>
            <w:shd w:val="clear" w:color="auto" w:fill="auto"/>
          </w:tcPr>
          <w:p w:rsidR="00EE0050" w:rsidRPr="00C73365" w:rsidRDefault="00BE1E6B" w:rsidP="00BE1E6B">
            <w:pPr>
              <w:rPr>
                <w:rFonts w:asciiTheme="minorHAnsi" w:hAnsiTheme="minorHAnsi" w:cstheme="minorHAnsi"/>
                <w:b/>
                <w:lang w:val="fr-FR"/>
              </w:rPr>
            </w:pPr>
            <w:r w:rsidRPr="00C73365">
              <w:rPr>
                <w:rFonts w:asciiTheme="minorHAnsi" w:hAnsiTheme="minorHAnsi" w:cstheme="minorHAnsi"/>
                <w:b/>
                <w:lang w:val="fr-FR"/>
              </w:rPr>
              <w:t>Janvier 2018</w:t>
            </w:r>
          </w:p>
        </w:tc>
        <w:tc>
          <w:tcPr>
            <w:tcW w:w="7699" w:type="dxa"/>
            <w:shd w:val="clear" w:color="auto" w:fill="auto"/>
          </w:tcPr>
          <w:p w:rsidR="00BE1E6B"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annonce l’extension de son étude ABX464 sur le long terme chez les patients atteints de </w:t>
            </w:r>
            <w:r w:rsidR="00357A37" w:rsidRPr="00C73365">
              <w:rPr>
                <w:rFonts w:asciiTheme="minorHAnsi" w:hAnsiTheme="minorHAnsi" w:cstheme="minorHAnsi"/>
                <w:lang w:val="fr-FR"/>
              </w:rPr>
              <w:t>rectocolite hémorragique</w:t>
            </w:r>
          </w:p>
          <w:p w:rsidR="00EE0050" w:rsidRPr="00C73365" w:rsidRDefault="00EF089C" w:rsidP="00BE1E6B">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BE1E6B" w:rsidRPr="00C73365">
              <w:rPr>
                <w:rFonts w:asciiTheme="minorHAnsi" w:hAnsiTheme="minorHAnsi" w:cstheme="minorHAnsi"/>
                <w:lang w:val="fr-FR"/>
              </w:rPr>
              <w:t xml:space="preserve"> nomme le Docteur Carol L. Brosgart à son Conseil d</w:t>
            </w:r>
            <w:r w:rsidR="004572A0" w:rsidRPr="00C73365">
              <w:rPr>
                <w:rFonts w:asciiTheme="minorHAnsi" w:hAnsiTheme="minorHAnsi" w:cstheme="minorHAnsi"/>
                <w:lang w:val="fr-FR"/>
              </w:rPr>
              <w:t>’</w:t>
            </w:r>
            <w:r w:rsidR="00BE1E6B" w:rsidRPr="00C73365">
              <w:rPr>
                <w:rFonts w:asciiTheme="minorHAnsi" w:hAnsiTheme="minorHAnsi" w:cstheme="minorHAnsi"/>
                <w:lang w:val="fr-FR"/>
              </w:rPr>
              <w:t>Administration</w:t>
            </w:r>
          </w:p>
        </w:tc>
      </w:tr>
      <w:tr w:rsidR="00BE69CB" w:rsidRPr="008C1A4A" w:rsidTr="00BE1E6B">
        <w:tc>
          <w:tcPr>
            <w:tcW w:w="1843" w:type="dxa"/>
            <w:shd w:val="clear" w:color="auto" w:fill="auto"/>
          </w:tcPr>
          <w:p w:rsidR="00BE69CB" w:rsidRPr="00C73365" w:rsidRDefault="00BE69CB" w:rsidP="00BE1E6B">
            <w:pPr>
              <w:rPr>
                <w:rFonts w:asciiTheme="minorHAnsi" w:hAnsiTheme="minorHAnsi" w:cstheme="minorHAnsi"/>
                <w:b/>
                <w:lang w:val="fr-FR"/>
              </w:rPr>
            </w:pPr>
            <w:r>
              <w:rPr>
                <w:rFonts w:asciiTheme="minorHAnsi" w:hAnsiTheme="minorHAnsi" w:cstheme="minorHAnsi"/>
                <w:b/>
                <w:lang w:val="fr-FR"/>
              </w:rPr>
              <w:t>Avril 2018</w:t>
            </w:r>
          </w:p>
        </w:tc>
        <w:tc>
          <w:tcPr>
            <w:tcW w:w="7699" w:type="dxa"/>
            <w:shd w:val="clear" w:color="auto" w:fill="auto"/>
          </w:tcPr>
          <w:p w:rsidR="00BE69CB" w:rsidRPr="00C73365" w:rsidRDefault="00BE69CB" w:rsidP="00BE1E6B">
            <w:pPr>
              <w:pStyle w:val="NormalWeb"/>
              <w:shd w:val="clear" w:color="auto" w:fill="FFFFFF"/>
              <w:spacing w:before="0" w:beforeAutospacing="0" w:after="120" w:afterAutospacing="0"/>
              <w:rPr>
                <w:rFonts w:asciiTheme="minorHAnsi" w:hAnsiTheme="minorHAnsi" w:cstheme="minorHAnsi"/>
                <w:lang w:val="fr-FR"/>
              </w:rPr>
            </w:pPr>
            <w:r w:rsidRPr="00BE69CB">
              <w:rPr>
                <w:rFonts w:asciiTheme="minorHAnsi" w:hAnsiTheme="minorHAnsi" w:cstheme="minorHAnsi"/>
                <w:lang w:val="fr-FR"/>
              </w:rPr>
              <w:t>ABIVAX renforce son équipe de direction avec la nomination du Dr. Alexandra Pearce en tant que Vice-Présidente des affaires réglementaires</w:t>
            </w:r>
          </w:p>
        </w:tc>
      </w:tr>
    </w:tbl>
    <w:p w:rsidR="00A87B95" w:rsidRPr="00C73365" w:rsidRDefault="00A87B95" w:rsidP="00BE1E6B">
      <w:pPr>
        <w:rPr>
          <w:rFonts w:asciiTheme="minorHAnsi" w:hAnsiTheme="minorHAnsi" w:cstheme="minorHAnsi"/>
          <w:lang w:val="fr-FR"/>
        </w:rPr>
      </w:pPr>
    </w:p>
    <w:p w:rsidR="00F46C7B" w:rsidRPr="00C73365" w:rsidRDefault="00F46C7B" w:rsidP="008C1ECB">
      <w:pPr>
        <w:pStyle w:val="ConmainL2"/>
        <w:numPr>
          <w:ilvl w:val="1"/>
          <w:numId w:val="9"/>
        </w:numPr>
        <w:spacing w:after="120"/>
        <w:rPr>
          <w:rFonts w:asciiTheme="minorHAnsi" w:hAnsiTheme="minorHAnsi" w:cstheme="minorHAnsi"/>
          <w:sz w:val="22"/>
          <w:szCs w:val="22"/>
          <w:lang w:val="fr-FR"/>
        </w:rPr>
      </w:pPr>
      <w:bookmarkStart w:id="182" w:name="_Toc512863896"/>
      <w:r w:rsidRPr="00C73365">
        <w:rPr>
          <w:rFonts w:asciiTheme="minorHAnsi" w:hAnsiTheme="minorHAnsi" w:cstheme="minorHAnsi"/>
          <w:sz w:val="22"/>
          <w:szCs w:val="22"/>
          <w:lang w:val="fr-FR"/>
        </w:rPr>
        <w:t>Investissements</w:t>
      </w:r>
      <w:bookmarkEnd w:id="178"/>
      <w:bookmarkEnd w:id="179"/>
      <w:bookmarkEnd w:id="180"/>
      <w:bookmarkEnd w:id="182"/>
      <w:r w:rsidRPr="00C73365">
        <w:rPr>
          <w:rFonts w:asciiTheme="minorHAnsi" w:hAnsiTheme="minorHAnsi" w:cstheme="minorHAnsi"/>
          <w:sz w:val="22"/>
          <w:szCs w:val="22"/>
          <w:lang w:val="fr-FR"/>
        </w:rPr>
        <w:t xml:space="preserve"> </w:t>
      </w:r>
    </w:p>
    <w:p w:rsidR="00F46C7B" w:rsidRPr="00C73365" w:rsidRDefault="00F46C7B" w:rsidP="008C1ECB">
      <w:pPr>
        <w:pStyle w:val="ConmainL3"/>
        <w:numPr>
          <w:ilvl w:val="2"/>
          <w:numId w:val="9"/>
        </w:numPr>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 xml:space="preserve">Principaux investissements réalisés </w:t>
      </w:r>
      <w:r w:rsidR="00C94AB6" w:rsidRPr="00C73365">
        <w:rPr>
          <w:rFonts w:asciiTheme="minorHAnsi" w:hAnsiTheme="minorHAnsi" w:cstheme="minorHAnsi"/>
          <w:b/>
          <w:color w:val="7030A0"/>
          <w:lang w:val="fr-FR"/>
        </w:rPr>
        <w:t>en 2017</w:t>
      </w:r>
    </w:p>
    <w:p w:rsidR="00F46C7B" w:rsidRPr="00C73365" w:rsidRDefault="00F46C7B" w:rsidP="004572A0">
      <w:pPr>
        <w:pStyle w:val="BodyText"/>
        <w:rPr>
          <w:rFonts w:asciiTheme="minorHAnsi" w:hAnsiTheme="minorHAnsi" w:cstheme="minorHAnsi"/>
          <w:lang w:val="fr-FR"/>
        </w:rPr>
      </w:pPr>
      <w:bookmarkStart w:id="183" w:name="_Toc290245267"/>
      <w:bookmarkStart w:id="184" w:name="_Toc290293192"/>
      <w:bookmarkStart w:id="185" w:name="_Toc290294825"/>
      <w:bookmarkStart w:id="186" w:name="_Toc291712593"/>
      <w:bookmarkStart w:id="187" w:name="_Toc292267432"/>
      <w:bookmarkStart w:id="188" w:name="_Toc292876352"/>
      <w:bookmarkStart w:id="189" w:name="_Toc293328186"/>
      <w:bookmarkStart w:id="190" w:name="_Toc299092905"/>
      <w:bookmarkStart w:id="191" w:name="_Toc299094390"/>
      <w:r w:rsidRPr="00C73365">
        <w:rPr>
          <w:rFonts w:asciiTheme="minorHAnsi" w:hAnsiTheme="minorHAnsi" w:cstheme="minorHAnsi"/>
          <w:lang w:val="fr-FR"/>
        </w:rPr>
        <w:t xml:space="preserve">Les investissements réalisés au cours des deux derniers exercices concernent principalement des investissements </w:t>
      </w:r>
      <w:r w:rsidR="00816F92" w:rsidRPr="00C73365">
        <w:rPr>
          <w:rFonts w:asciiTheme="minorHAnsi" w:hAnsiTheme="minorHAnsi" w:cstheme="minorHAnsi"/>
          <w:lang w:val="fr-FR"/>
        </w:rPr>
        <w:t xml:space="preserve">liés aux </w:t>
      </w:r>
      <w:r w:rsidRPr="00C73365">
        <w:rPr>
          <w:rFonts w:asciiTheme="minorHAnsi" w:hAnsiTheme="minorHAnsi" w:cstheme="minorHAnsi"/>
          <w:lang w:val="fr-FR"/>
        </w:rPr>
        <w:t>activités de recherche et développement de la Société.</w:t>
      </w:r>
    </w:p>
    <w:p w:rsidR="006C4458" w:rsidRPr="00C73365" w:rsidRDefault="006C4458" w:rsidP="004572A0">
      <w:pPr>
        <w:pStyle w:val="BodyText"/>
        <w:rPr>
          <w:rFonts w:asciiTheme="minorHAnsi" w:hAnsiTheme="minorHAnsi" w:cstheme="minorHAnsi"/>
          <w:lang w:val="fr-FR"/>
        </w:rPr>
      </w:pPr>
      <w:r w:rsidRPr="00C73365">
        <w:rPr>
          <w:rFonts w:asciiTheme="minorHAnsi" w:hAnsiTheme="minorHAnsi" w:cstheme="minorHAnsi"/>
          <w:lang w:val="fr-FR"/>
        </w:rPr>
        <w:t>Les charges de R&amp;D représentent la majorité des charges d’exploitation</w:t>
      </w:r>
      <w:r w:rsidR="004661C4" w:rsidRPr="00C73365">
        <w:rPr>
          <w:rFonts w:asciiTheme="minorHAnsi" w:hAnsiTheme="minorHAnsi" w:cstheme="minorHAnsi"/>
          <w:lang w:val="fr-FR"/>
        </w:rPr>
        <w:t xml:space="preserve"> </w:t>
      </w:r>
      <w:r w:rsidRPr="00C73365">
        <w:rPr>
          <w:rFonts w:asciiTheme="minorHAnsi" w:hAnsiTheme="minorHAnsi" w:cstheme="minorHAnsi"/>
          <w:lang w:val="fr-FR"/>
        </w:rPr>
        <w:t xml:space="preserve">: </w:t>
      </w:r>
      <w:r w:rsidR="00D563DE" w:rsidRPr="00C73365">
        <w:rPr>
          <w:rFonts w:asciiTheme="minorHAnsi" w:hAnsiTheme="minorHAnsi" w:cstheme="minorHAnsi"/>
          <w:lang w:val="fr-FR"/>
        </w:rPr>
        <w:t>75</w:t>
      </w:r>
      <w:r w:rsidRPr="00C73365">
        <w:rPr>
          <w:rFonts w:asciiTheme="minorHAnsi" w:hAnsiTheme="minorHAnsi" w:cstheme="minorHAnsi"/>
          <w:lang w:val="fr-FR"/>
        </w:rPr>
        <w:t>% du total des charges</w:t>
      </w:r>
      <w:r w:rsidR="008B7CB1" w:rsidRPr="00C73365">
        <w:rPr>
          <w:rFonts w:asciiTheme="minorHAnsi" w:hAnsiTheme="minorHAnsi" w:cstheme="minorHAnsi"/>
          <w:lang w:val="fr-FR"/>
        </w:rPr>
        <w:t xml:space="preserve"> en 2017</w:t>
      </w:r>
      <w:r w:rsidRPr="00C73365">
        <w:rPr>
          <w:rFonts w:asciiTheme="minorHAnsi" w:hAnsiTheme="minorHAnsi" w:cstheme="minorHAnsi"/>
          <w:lang w:val="fr-FR"/>
        </w:rPr>
        <w:t xml:space="preserve"> vs </w:t>
      </w:r>
      <w:r w:rsidR="00D563DE" w:rsidRPr="00C73365">
        <w:rPr>
          <w:rFonts w:asciiTheme="minorHAnsi" w:hAnsiTheme="minorHAnsi" w:cstheme="minorHAnsi"/>
          <w:lang w:val="fr-FR"/>
        </w:rPr>
        <w:t>84</w:t>
      </w:r>
      <w:r w:rsidRPr="00C73365">
        <w:rPr>
          <w:rFonts w:asciiTheme="minorHAnsi" w:hAnsiTheme="minorHAnsi" w:cstheme="minorHAnsi"/>
          <w:lang w:val="fr-FR"/>
        </w:rPr>
        <w:t xml:space="preserve">% </w:t>
      </w:r>
      <w:r w:rsidR="008B7CB1" w:rsidRPr="00C73365">
        <w:rPr>
          <w:rFonts w:asciiTheme="minorHAnsi" w:hAnsiTheme="minorHAnsi" w:cstheme="minorHAnsi"/>
          <w:lang w:val="fr-FR"/>
        </w:rPr>
        <w:t>en</w:t>
      </w:r>
      <w:r w:rsidRPr="00C73365">
        <w:rPr>
          <w:rFonts w:asciiTheme="minorHAnsi" w:hAnsiTheme="minorHAnsi" w:cstheme="minorHAnsi"/>
          <w:lang w:val="fr-FR"/>
        </w:rPr>
        <w:t xml:space="preserve"> </w:t>
      </w:r>
      <w:r w:rsidR="00D563DE" w:rsidRPr="00C73365">
        <w:rPr>
          <w:rFonts w:asciiTheme="minorHAnsi" w:hAnsiTheme="minorHAnsi" w:cstheme="minorHAnsi"/>
          <w:lang w:val="fr-FR"/>
        </w:rPr>
        <w:t>2016</w:t>
      </w:r>
      <w:r w:rsidR="00816F92" w:rsidRPr="00C73365">
        <w:rPr>
          <w:rFonts w:asciiTheme="minorHAnsi" w:hAnsiTheme="minorHAnsi" w:cstheme="minorHAnsi"/>
          <w:lang w:val="fr-FR"/>
        </w:rPr>
        <w:t xml:space="preserve">, représentant un total de </w:t>
      </w:r>
      <w:r w:rsidR="00EE0050" w:rsidRPr="00C73365">
        <w:rPr>
          <w:rFonts w:asciiTheme="minorHAnsi" w:hAnsiTheme="minorHAnsi" w:cstheme="minorHAnsi"/>
          <w:lang w:val="fr-FR"/>
        </w:rPr>
        <w:t>-</w:t>
      </w:r>
      <w:r w:rsidRPr="00C73365">
        <w:rPr>
          <w:rFonts w:asciiTheme="minorHAnsi" w:hAnsiTheme="minorHAnsi" w:cstheme="minorHAnsi"/>
          <w:lang w:val="fr-FR"/>
        </w:rPr>
        <w:t>1</w:t>
      </w:r>
      <w:r w:rsidR="00D563DE" w:rsidRPr="00C73365">
        <w:rPr>
          <w:rFonts w:asciiTheme="minorHAnsi" w:hAnsiTheme="minorHAnsi" w:cstheme="minorHAnsi"/>
          <w:lang w:val="fr-FR"/>
        </w:rPr>
        <w:t>0 846</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pour l’année </w:t>
      </w:r>
      <w:r w:rsidR="00D563DE" w:rsidRPr="00C73365">
        <w:rPr>
          <w:rFonts w:asciiTheme="minorHAnsi" w:hAnsiTheme="minorHAnsi" w:cstheme="minorHAnsi"/>
          <w:lang w:val="fr-FR"/>
        </w:rPr>
        <w:t xml:space="preserve">2017 </w:t>
      </w:r>
      <w:r w:rsidRPr="00C73365">
        <w:rPr>
          <w:rFonts w:asciiTheme="minorHAnsi" w:hAnsiTheme="minorHAnsi" w:cstheme="minorHAnsi"/>
          <w:lang w:val="fr-FR"/>
        </w:rPr>
        <w:t xml:space="preserve">contre </w:t>
      </w:r>
      <w:r w:rsidR="00EE0050" w:rsidRPr="00C73365">
        <w:rPr>
          <w:rFonts w:asciiTheme="minorHAnsi" w:hAnsiTheme="minorHAnsi" w:cstheme="minorHAnsi"/>
          <w:lang w:val="fr-FR"/>
        </w:rPr>
        <w:t>-</w:t>
      </w:r>
      <w:r w:rsidRPr="00C73365">
        <w:rPr>
          <w:rFonts w:asciiTheme="minorHAnsi" w:hAnsiTheme="minorHAnsi" w:cstheme="minorHAnsi"/>
          <w:lang w:val="fr-FR"/>
        </w:rPr>
        <w:t xml:space="preserve">15 </w:t>
      </w:r>
      <w:r w:rsidR="00D563DE" w:rsidRPr="00C73365">
        <w:rPr>
          <w:rFonts w:asciiTheme="minorHAnsi" w:hAnsiTheme="minorHAnsi" w:cstheme="minorHAnsi"/>
          <w:lang w:val="fr-FR"/>
        </w:rPr>
        <w:t xml:space="preserve">459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pour l’année </w:t>
      </w:r>
      <w:r w:rsidR="00D563DE" w:rsidRPr="00C73365">
        <w:rPr>
          <w:rFonts w:asciiTheme="minorHAnsi" w:hAnsiTheme="minorHAnsi" w:cstheme="minorHAnsi"/>
          <w:lang w:val="fr-FR"/>
        </w:rPr>
        <w:t>2016</w:t>
      </w:r>
      <w:r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investissements en recherche &amp; développement ne remplissant pas les critères de capitalisation</w:t>
      </w:r>
      <w:r w:rsidR="00816F92" w:rsidRPr="00C73365">
        <w:rPr>
          <w:rFonts w:asciiTheme="minorHAnsi" w:hAnsiTheme="minorHAnsi" w:cstheme="minorHAnsi"/>
          <w:lang w:val="fr-FR"/>
        </w:rPr>
        <w:t xml:space="preserve">, </w:t>
      </w:r>
      <w:r w:rsidRPr="00C73365">
        <w:rPr>
          <w:rFonts w:asciiTheme="minorHAnsi" w:hAnsiTheme="minorHAnsi" w:cstheme="minorHAnsi"/>
          <w:lang w:val="fr-FR"/>
        </w:rPr>
        <w:t>la Société n’a</w:t>
      </w:r>
      <w:r w:rsidR="00816F92" w:rsidRPr="00C73365">
        <w:rPr>
          <w:rFonts w:asciiTheme="minorHAnsi" w:hAnsiTheme="minorHAnsi" w:cstheme="minorHAnsi"/>
          <w:lang w:val="fr-FR"/>
        </w:rPr>
        <w:t>yant</w:t>
      </w:r>
      <w:r w:rsidRPr="00C73365">
        <w:rPr>
          <w:rFonts w:asciiTheme="minorHAnsi" w:hAnsiTheme="minorHAnsi" w:cstheme="minorHAnsi"/>
          <w:lang w:val="fr-FR"/>
        </w:rPr>
        <w:t xml:space="preserve"> pas encore obtenu d’autorisation de mise sur le marché pour l’un de ses candidats-médicaments, ceux-ci ne sont pas immobilisés.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Investissements corporels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investissements corporels concernent principalement du matériel et outillage technique à destination des laboratoires, du matériel de bureau et des installations informatiques et bureautiques.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Investissements financiers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investissements financiers comprennent essentiellement les actions auto détenues dans le cadre du contrat de liquidité. L’évolution du poste d’une année sur l’autre reflète la baisse du cours de bourse entre le 31/12/</w:t>
      </w:r>
      <w:r w:rsidR="00BB0796" w:rsidRPr="00C73365">
        <w:rPr>
          <w:rFonts w:asciiTheme="minorHAnsi" w:hAnsiTheme="minorHAnsi" w:cstheme="minorHAnsi"/>
          <w:lang w:val="fr-FR"/>
        </w:rPr>
        <w:t xml:space="preserve">2016 </w:t>
      </w:r>
      <w:r w:rsidRPr="00C73365">
        <w:rPr>
          <w:rFonts w:asciiTheme="minorHAnsi" w:hAnsiTheme="minorHAnsi" w:cstheme="minorHAnsi"/>
          <w:lang w:val="fr-FR"/>
        </w:rPr>
        <w:t>et le 31/12/</w:t>
      </w:r>
      <w:r w:rsidR="00BB0796" w:rsidRPr="00C73365">
        <w:rPr>
          <w:rFonts w:asciiTheme="minorHAnsi" w:hAnsiTheme="minorHAnsi" w:cstheme="minorHAnsi"/>
          <w:lang w:val="fr-FR"/>
        </w:rPr>
        <w:t>2017</w:t>
      </w:r>
      <w:r w:rsidRPr="00C73365">
        <w:rPr>
          <w:rFonts w:asciiTheme="minorHAnsi" w:hAnsiTheme="minorHAnsi" w:cstheme="minorHAnsi"/>
          <w:lang w:val="fr-FR"/>
        </w:rPr>
        <w:t>.</w:t>
      </w:r>
    </w:p>
    <w:p w:rsidR="00F46C7B" w:rsidRPr="00C73365" w:rsidRDefault="00F46C7B" w:rsidP="008C1ECB">
      <w:pPr>
        <w:pStyle w:val="ConmainL3"/>
        <w:numPr>
          <w:ilvl w:val="2"/>
          <w:numId w:val="9"/>
        </w:numPr>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Principaux investissements en cours</w:t>
      </w:r>
      <w:bookmarkEnd w:id="183"/>
      <w:bookmarkEnd w:id="184"/>
      <w:bookmarkEnd w:id="185"/>
      <w:bookmarkEnd w:id="186"/>
      <w:bookmarkEnd w:id="187"/>
      <w:bookmarkEnd w:id="188"/>
      <w:bookmarkEnd w:id="189"/>
      <w:bookmarkEnd w:id="190"/>
      <w:bookmarkEnd w:id="191"/>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Aucun investissement significatif n’a été réalisé depuis le début de l’exercice </w:t>
      </w:r>
      <w:r w:rsidR="00D563DE" w:rsidRPr="00C73365">
        <w:rPr>
          <w:rFonts w:asciiTheme="minorHAnsi" w:hAnsiTheme="minorHAnsi" w:cstheme="minorHAnsi"/>
          <w:lang w:val="fr-FR"/>
        </w:rPr>
        <w:t>2018</w:t>
      </w:r>
      <w:r w:rsidRPr="00C73365">
        <w:rPr>
          <w:rFonts w:asciiTheme="minorHAnsi" w:hAnsiTheme="minorHAnsi" w:cstheme="minorHAnsi"/>
          <w:lang w:val="fr-FR"/>
        </w:rPr>
        <w:t>.</w:t>
      </w:r>
    </w:p>
    <w:p w:rsidR="00F46C7B" w:rsidRPr="00C73365" w:rsidRDefault="00F46C7B" w:rsidP="008C1ECB">
      <w:pPr>
        <w:pStyle w:val="ConmainL3"/>
        <w:numPr>
          <w:ilvl w:val="2"/>
          <w:numId w:val="9"/>
        </w:numPr>
        <w:spacing w:after="120"/>
        <w:ind w:left="1276" w:hanging="556"/>
        <w:rPr>
          <w:rFonts w:asciiTheme="minorHAnsi" w:hAnsiTheme="minorHAnsi" w:cstheme="minorHAnsi"/>
          <w:b/>
          <w:color w:val="7030A0"/>
          <w:lang w:val="fr-FR"/>
        </w:rPr>
      </w:pPr>
      <w:bookmarkStart w:id="192" w:name="_Toc290245268"/>
      <w:bookmarkStart w:id="193" w:name="_Toc290293193"/>
      <w:bookmarkStart w:id="194" w:name="_Toc290294826"/>
      <w:bookmarkStart w:id="195" w:name="_Toc291712594"/>
      <w:bookmarkStart w:id="196" w:name="_Toc292267433"/>
      <w:bookmarkStart w:id="197" w:name="_Toc292876353"/>
      <w:bookmarkStart w:id="198" w:name="_Toc293328187"/>
      <w:bookmarkStart w:id="199" w:name="_Toc299092907"/>
      <w:bookmarkStart w:id="200" w:name="_Toc299094392"/>
      <w:r w:rsidRPr="00C73365">
        <w:rPr>
          <w:rFonts w:asciiTheme="minorHAnsi" w:hAnsiTheme="minorHAnsi" w:cstheme="minorHAnsi"/>
          <w:b/>
          <w:color w:val="7030A0"/>
          <w:lang w:val="fr-FR"/>
        </w:rPr>
        <w:t>Principaux investissements futurs</w:t>
      </w:r>
      <w:bookmarkEnd w:id="192"/>
      <w:bookmarkEnd w:id="193"/>
      <w:bookmarkEnd w:id="194"/>
      <w:bookmarkEnd w:id="195"/>
      <w:bookmarkEnd w:id="196"/>
      <w:bookmarkEnd w:id="197"/>
      <w:bookmarkEnd w:id="198"/>
      <w:bookmarkEnd w:id="199"/>
      <w:bookmarkEnd w:id="200"/>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ne prévoit pas, pour le moment, de réaliser d’investissements significatifs en immobilisations corporelles et incorporelles pour les années à venir et pour lesquels les organes de direction de la Société auraient pris des engagements fermes.</w:t>
      </w:r>
    </w:p>
    <w:p w:rsidR="00F46C7B" w:rsidRPr="00C73365" w:rsidRDefault="00F46C7B" w:rsidP="008C1ECB">
      <w:pPr>
        <w:pStyle w:val="ConmainL1"/>
        <w:numPr>
          <w:ilvl w:val="0"/>
          <w:numId w:val="9"/>
        </w:numPr>
        <w:spacing w:after="120"/>
        <w:rPr>
          <w:rFonts w:asciiTheme="minorHAnsi" w:hAnsiTheme="minorHAnsi" w:cstheme="minorHAnsi"/>
          <w:lang w:val="fr-FR"/>
        </w:rPr>
      </w:pPr>
      <w:bookmarkStart w:id="201" w:name="_Toc462673237"/>
      <w:bookmarkStart w:id="202" w:name="_Toc467835583"/>
      <w:bookmarkStart w:id="203" w:name="_Toc408918377"/>
      <w:bookmarkStart w:id="204" w:name="_Toc409537458"/>
      <w:bookmarkStart w:id="205" w:name="_Toc148342645"/>
      <w:bookmarkStart w:id="206" w:name="_Toc512863897"/>
      <w:bookmarkEnd w:id="123"/>
      <w:bookmarkEnd w:id="124"/>
      <w:bookmarkEnd w:id="125"/>
      <w:bookmarkEnd w:id="126"/>
      <w:bookmarkEnd w:id="127"/>
      <w:bookmarkEnd w:id="128"/>
      <w:bookmarkEnd w:id="129"/>
      <w:bookmarkEnd w:id="130"/>
      <w:bookmarkEnd w:id="131"/>
      <w:r w:rsidRPr="00C73365">
        <w:rPr>
          <w:rFonts w:asciiTheme="minorHAnsi" w:hAnsiTheme="minorHAnsi" w:cstheme="minorHAnsi"/>
          <w:lang w:val="fr-FR"/>
        </w:rPr>
        <w:lastRenderedPageBreak/>
        <w:t>APERCU DES ACTIVITES</w:t>
      </w:r>
      <w:bookmarkEnd w:id="201"/>
      <w:bookmarkEnd w:id="202"/>
      <w:bookmarkEnd w:id="206"/>
    </w:p>
    <w:p w:rsidR="00F46C7B" w:rsidRPr="00C73365" w:rsidRDefault="00F46C7B" w:rsidP="008C1ECB">
      <w:pPr>
        <w:pStyle w:val="ConmainL2"/>
        <w:numPr>
          <w:ilvl w:val="1"/>
          <w:numId w:val="9"/>
        </w:numPr>
        <w:spacing w:after="120"/>
        <w:rPr>
          <w:rFonts w:asciiTheme="minorHAnsi" w:hAnsiTheme="minorHAnsi" w:cstheme="minorHAnsi"/>
          <w:sz w:val="22"/>
          <w:szCs w:val="22"/>
          <w:lang w:val="fr-FR"/>
        </w:rPr>
      </w:pPr>
      <w:bookmarkStart w:id="207" w:name="_Toc462673238"/>
      <w:bookmarkStart w:id="208" w:name="_Toc467835584"/>
      <w:bookmarkStart w:id="209" w:name="_Toc408918378"/>
      <w:bookmarkStart w:id="210" w:name="_Toc409537459"/>
      <w:bookmarkStart w:id="211" w:name="_Toc512863898"/>
      <w:bookmarkEnd w:id="203"/>
      <w:bookmarkEnd w:id="204"/>
      <w:r w:rsidRPr="00C73365">
        <w:rPr>
          <w:rFonts w:asciiTheme="minorHAnsi" w:hAnsiTheme="minorHAnsi" w:cstheme="minorHAnsi"/>
          <w:sz w:val="22"/>
          <w:szCs w:val="22"/>
          <w:lang w:val="fr-FR"/>
        </w:rPr>
        <w:t>Présentation générale d’</w:t>
      </w:r>
      <w:r w:rsidR="00EF089C" w:rsidRPr="00C73365">
        <w:rPr>
          <w:rFonts w:asciiTheme="minorHAnsi" w:hAnsiTheme="minorHAnsi" w:cstheme="minorHAnsi"/>
          <w:sz w:val="22"/>
          <w:szCs w:val="22"/>
          <w:lang w:val="fr-FR"/>
        </w:rPr>
        <w:t>ABIVAX</w:t>
      </w:r>
      <w:bookmarkEnd w:id="207"/>
      <w:bookmarkEnd w:id="208"/>
      <w:r w:rsidRPr="00C73365">
        <w:rPr>
          <w:rFonts w:asciiTheme="minorHAnsi" w:hAnsiTheme="minorHAnsi" w:cstheme="minorHAnsi"/>
          <w:sz w:val="22"/>
          <w:szCs w:val="22"/>
          <w:lang w:val="fr-FR"/>
        </w:rPr>
        <w:t>, une société de biotechnologie spécialiste des pathologies virales</w:t>
      </w:r>
      <w:bookmarkStart w:id="212" w:name="_Toc408918380"/>
      <w:bookmarkStart w:id="213" w:name="_Toc409537461"/>
      <w:bookmarkEnd w:id="209"/>
      <w:bookmarkEnd w:id="210"/>
      <w:bookmarkEnd w:id="211"/>
    </w:p>
    <w:bookmarkEnd w:id="212"/>
    <w:bookmarkEnd w:id="213"/>
    <w:p w:rsidR="00C93577" w:rsidRDefault="00EF089C" w:rsidP="00C93577">
      <w:pPr>
        <w:pStyle w:val="BodyText"/>
        <w:spacing w:after="0"/>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est une société innovante de biotechnologie qui cible le système immunitaire pour éliminer </w:t>
      </w:r>
      <w:r w:rsidR="00F77970" w:rsidRPr="00C73365">
        <w:rPr>
          <w:rFonts w:asciiTheme="minorHAnsi" w:hAnsiTheme="minorHAnsi" w:cstheme="minorHAnsi"/>
          <w:lang w:val="fr-FR"/>
        </w:rPr>
        <w:t>l</w:t>
      </w:r>
      <w:r w:rsidR="00F46C7B" w:rsidRPr="00C73365">
        <w:rPr>
          <w:rFonts w:asciiTheme="minorHAnsi" w:hAnsiTheme="minorHAnsi" w:cstheme="minorHAnsi"/>
          <w:lang w:val="fr-FR"/>
        </w:rPr>
        <w:t>es maladies virales</w:t>
      </w:r>
      <w:r w:rsidR="00C94AB6" w:rsidRPr="00C73365">
        <w:rPr>
          <w:rFonts w:asciiTheme="minorHAnsi" w:hAnsiTheme="minorHAnsi" w:cstheme="minorHAnsi"/>
          <w:lang w:val="fr-FR"/>
        </w:rPr>
        <w:t>, les maladies inflammatoires et le cancer.</w:t>
      </w:r>
    </w:p>
    <w:p w:rsidR="00C93577" w:rsidRDefault="00C93577" w:rsidP="00C93577">
      <w:pPr>
        <w:pStyle w:val="BodyText"/>
        <w:spacing w:after="0"/>
        <w:rPr>
          <w:rFonts w:asciiTheme="minorHAnsi" w:hAnsiTheme="minorHAnsi" w:cstheme="minorHAnsi"/>
          <w:lang w:val="fr-FR"/>
        </w:rPr>
      </w:pPr>
    </w:p>
    <w:p w:rsidR="00F46C7B" w:rsidRPr="00C73365" w:rsidRDefault="00F46C7B" w:rsidP="00C93577">
      <w:pPr>
        <w:pStyle w:val="BodyText"/>
        <w:spacing w:after="0"/>
        <w:rPr>
          <w:rFonts w:asciiTheme="minorHAnsi" w:hAnsiTheme="minorHAnsi" w:cstheme="minorHAnsi"/>
          <w:lang w:val="fr-FR"/>
        </w:rPr>
      </w:pPr>
      <w:r w:rsidRPr="00C73365">
        <w:rPr>
          <w:rFonts w:asciiTheme="minorHAnsi" w:hAnsiTheme="minorHAnsi" w:cstheme="minorHAnsi"/>
          <w:lang w:val="fr-FR"/>
        </w:rPr>
        <w:t xml:space="preserve">Les produits antiviraux et les immunothérapies que développe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sont issus de trois plateformes</w:t>
      </w:r>
      <w:r w:rsidR="00F83595" w:rsidRPr="00C73365">
        <w:rPr>
          <w:rFonts w:asciiTheme="minorHAnsi" w:hAnsiTheme="minorHAnsi" w:cstheme="minorHAnsi"/>
          <w:lang w:val="fr-FR"/>
        </w:rPr>
        <w:t xml:space="preserve"> </w:t>
      </w:r>
      <w:r w:rsidRPr="00C73365">
        <w:rPr>
          <w:rFonts w:asciiTheme="minorHAnsi" w:hAnsiTheme="minorHAnsi" w:cstheme="minorHAnsi"/>
          <w:lang w:val="fr-FR"/>
        </w:rPr>
        <w:t>technologiques propriétaires</w:t>
      </w:r>
      <w:r w:rsidR="004661C4" w:rsidRPr="00C73365">
        <w:rPr>
          <w:rFonts w:asciiTheme="minorHAnsi" w:hAnsiTheme="minorHAnsi" w:cstheme="minorHAnsi"/>
          <w:lang w:val="fr-FR"/>
        </w:rPr>
        <w:t xml:space="preserve"> </w:t>
      </w:r>
      <w:r w:rsidRPr="00C73365">
        <w:rPr>
          <w:rFonts w:asciiTheme="minorHAnsi" w:hAnsiTheme="minorHAnsi" w:cstheme="minorHAnsi"/>
          <w:lang w:val="fr-FR"/>
        </w:rPr>
        <w:t>:</w:t>
      </w:r>
    </w:p>
    <w:p w:rsidR="00DE07BE" w:rsidRPr="00C73365" w:rsidRDefault="00F46C7B" w:rsidP="00434C49">
      <w:pPr>
        <w:pStyle w:val="List3"/>
        <w:numPr>
          <w:ilvl w:val="0"/>
          <w:numId w:val="98"/>
        </w:numPr>
        <w:rPr>
          <w:rFonts w:asciiTheme="minorHAnsi" w:hAnsiTheme="minorHAnsi" w:cstheme="minorHAnsi"/>
          <w:lang w:val="fr-FR"/>
        </w:rPr>
      </w:pPr>
      <w:r w:rsidRPr="00C73365">
        <w:rPr>
          <w:rFonts w:asciiTheme="minorHAnsi" w:hAnsiTheme="minorHAnsi" w:cstheme="minorHAnsi"/>
          <w:b/>
          <w:color w:val="7030A0"/>
          <w:lang w:val="fr-FR"/>
        </w:rPr>
        <w:t>Une plateforme « Antivirale »</w:t>
      </w:r>
      <w:r w:rsidRPr="00C73365">
        <w:rPr>
          <w:rStyle w:val="FootnoteReference"/>
          <w:rFonts w:asciiTheme="minorHAnsi" w:hAnsiTheme="minorHAnsi" w:cstheme="minorHAnsi"/>
          <w:b/>
          <w:color w:val="7030A0"/>
        </w:rPr>
        <w:footnoteReference w:id="1"/>
      </w:r>
      <w:r w:rsidRPr="00C73365">
        <w:rPr>
          <w:rFonts w:asciiTheme="minorHAnsi" w:hAnsiTheme="minorHAnsi" w:cstheme="minorHAnsi"/>
          <w:b/>
          <w:color w:val="7030A0"/>
          <w:lang w:val="fr-FR"/>
        </w:rPr>
        <w:t>,</w:t>
      </w:r>
      <w:r w:rsidRPr="00C73365">
        <w:rPr>
          <w:rFonts w:asciiTheme="minorHAnsi" w:hAnsiTheme="minorHAnsi" w:cstheme="minorHAnsi"/>
          <w:color w:val="7030A0"/>
          <w:lang w:val="fr-FR"/>
        </w:rPr>
        <w:t xml:space="preserve"> </w:t>
      </w:r>
      <w:r w:rsidR="00056EF5" w:rsidRPr="00C73365">
        <w:rPr>
          <w:rFonts w:asciiTheme="minorHAnsi" w:hAnsiTheme="minorHAnsi" w:cstheme="minorHAnsi"/>
          <w:lang w:val="fr-FR"/>
        </w:rPr>
        <w:t>basée sur des technologies mises au point conjointement avec le CNRS (Montpellier-France) et l</w:t>
      </w:r>
      <w:r w:rsidR="004572A0" w:rsidRPr="00C73365">
        <w:rPr>
          <w:rFonts w:asciiTheme="minorHAnsi" w:hAnsiTheme="minorHAnsi" w:cstheme="minorHAnsi"/>
          <w:lang w:val="fr-FR"/>
        </w:rPr>
        <w:t>’</w:t>
      </w:r>
      <w:r w:rsidR="00056EF5" w:rsidRPr="00C73365">
        <w:rPr>
          <w:rFonts w:asciiTheme="minorHAnsi" w:hAnsiTheme="minorHAnsi" w:cstheme="minorHAnsi"/>
          <w:lang w:val="fr-FR"/>
        </w:rPr>
        <w:t xml:space="preserve">Institut Curie (Orsay-France). Cette plateforme a généré une chimiothèque de plus de 1 </w:t>
      </w:r>
      <w:r w:rsidR="00037FA5" w:rsidRPr="00C73365">
        <w:rPr>
          <w:rFonts w:asciiTheme="minorHAnsi" w:hAnsiTheme="minorHAnsi" w:cstheme="minorHAnsi"/>
          <w:lang w:val="fr-FR"/>
        </w:rPr>
        <w:t>2</w:t>
      </w:r>
      <w:r w:rsidR="00056EF5" w:rsidRPr="00C73365">
        <w:rPr>
          <w:rFonts w:asciiTheme="minorHAnsi" w:hAnsiTheme="minorHAnsi" w:cstheme="minorHAnsi"/>
          <w:lang w:val="fr-FR"/>
        </w:rPr>
        <w:t>00 petite</w:t>
      </w:r>
      <w:r w:rsidR="00F83595" w:rsidRPr="00C73365">
        <w:rPr>
          <w:rFonts w:asciiTheme="minorHAnsi" w:hAnsiTheme="minorHAnsi" w:cstheme="minorHAnsi"/>
          <w:lang w:val="fr-FR"/>
        </w:rPr>
        <w:t xml:space="preserve">s </w:t>
      </w:r>
      <w:r w:rsidR="00056EF5" w:rsidRPr="00C73365">
        <w:rPr>
          <w:rFonts w:asciiTheme="minorHAnsi" w:hAnsiTheme="minorHAnsi" w:cstheme="minorHAnsi"/>
          <w:lang w:val="fr-FR"/>
        </w:rPr>
        <w:t>molécules conçues pour bloquer les mécanismes de reproduction des virus grâce à des modes d</w:t>
      </w:r>
      <w:r w:rsidR="004572A0" w:rsidRPr="00C73365">
        <w:rPr>
          <w:rFonts w:asciiTheme="minorHAnsi" w:hAnsiTheme="minorHAnsi" w:cstheme="minorHAnsi"/>
          <w:lang w:val="fr-FR"/>
        </w:rPr>
        <w:t>’</w:t>
      </w:r>
      <w:r w:rsidR="00056EF5" w:rsidRPr="00C73365">
        <w:rPr>
          <w:rFonts w:asciiTheme="minorHAnsi" w:hAnsiTheme="minorHAnsi" w:cstheme="minorHAnsi"/>
          <w:lang w:val="fr-FR"/>
        </w:rPr>
        <w:t>action</w:t>
      </w:r>
      <w:r w:rsidR="00314927" w:rsidRPr="00C73365">
        <w:rPr>
          <w:rFonts w:asciiTheme="minorHAnsi" w:hAnsiTheme="minorHAnsi" w:cstheme="minorHAnsi"/>
          <w:lang w:val="fr-FR"/>
        </w:rPr>
        <w:t xml:space="preserve"> </w:t>
      </w:r>
      <w:r w:rsidR="00056EF5" w:rsidRPr="00C73365">
        <w:rPr>
          <w:rFonts w:asciiTheme="minorHAnsi" w:hAnsiTheme="minorHAnsi" w:cstheme="minorHAnsi"/>
          <w:lang w:val="fr-FR"/>
        </w:rPr>
        <w:t>nouveaux, ciblant la biogénèse des ARN. En plus d</w:t>
      </w:r>
      <w:r w:rsidR="004572A0" w:rsidRPr="00C73365">
        <w:rPr>
          <w:rFonts w:asciiTheme="minorHAnsi" w:hAnsiTheme="minorHAnsi" w:cstheme="minorHAnsi"/>
          <w:lang w:val="fr-FR"/>
        </w:rPr>
        <w:t>’</w:t>
      </w:r>
      <w:r w:rsidR="00056EF5" w:rsidRPr="00C73365">
        <w:rPr>
          <w:rFonts w:asciiTheme="minorHAnsi" w:hAnsiTheme="minorHAnsi" w:cstheme="minorHAnsi"/>
          <w:lang w:val="fr-FR"/>
        </w:rPr>
        <w:t>ABX464, cette plateforme a généré différentes molécules ciblant</w:t>
      </w:r>
      <w:r w:rsidR="00B537A0" w:rsidRPr="00C73365">
        <w:rPr>
          <w:rFonts w:asciiTheme="minorHAnsi" w:hAnsiTheme="minorHAnsi" w:cstheme="minorHAnsi"/>
          <w:lang w:val="fr-FR"/>
        </w:rPr>
        <w:t xml:space="preserve"> d’autres</w:t>
      </w:r>
      <w:r w:rsidR="00056EF5" w:rsidRPr="00C73365">
        <w:rPr>
          <w:rFonts w:asciiTheme="minorHAnsi" w:hAnsiTheme="minorHAnsi" w:cstheme="minorHAnsi"/>
          <w:lang w:val="fr-FR"/>
        </w:rPr>
        <w:t xml:space="preserve"> virus comme le Chikungunya</w:t>
      </w:r>
      <w:r w:rsidR="00F83595" w:rsidRPr="00C73365">
        <w:rPr>
          <w:rFonts w:asciiTheme="minorHAnsi" w:hAnsiTheme="minorHAnsi" w:cstheme="minorHAnsi"/>
          <w:lang w:val="fr-FR"/>
        </w:rPr>
        <w:t>,</w:t>
      </w:r>
      <w:r w:rsidR="00056EF5" w:rsidRPr="00C73365">
        <w:rPr>
          <w:rFonts w:asciiTheme="minorHAnsi" w:hAnsiTheme="minorHAnsi" w:cstheme="minorHAnsi"/>
          <w:lang w:val="fr-FR"/>
        </w:rPr>
        <w:t xml:space="preserve"> l</w:t>
      </w:r>
      <w:r w:rsidR="00F83595" w:rsidRPr="00C73365">
        <w:rPr>
          <w:rFonts w:asciiTheme="minorHAnsi" w:hAnsiTheme="minorHAnsi" w:cstheme="minorHAnsi"/>
          <w:lang w:val="fr-FR"/>
        </w:rPr>
        <w:t>e Virus Respiratoire Syncitial ou</w:t>
      </w:r>
      <w:r w:rsidR="00056EF5" w:rsidRPr="00C73365">
        <w:rPr>
          <w:rFonts w:asciiTheme="minorHAnsi" w:hAnsiTheme="minorHAnsi" w:cstheme="minorHAnsi"/>
          <w:lang w:val="fr-FR"/>
        </w:rPr>
        <w:t xml:space="preserve"> </w:t>
      </w:r>
      <w:r w:rsidR="00F83595" w:rsidRPr="00C73365">
        <w:rPr>
          <w:rFonts w:asciiTheme="minorHAnsi" w:hAnsiTheme="minorHAnsi" w:cstheme="minorHAnsi"/>
          <w:lang w:val="fr-FR"/>
        </w:rPr>
        <w:t xml:space="preserve">la </w:t>
      </w:r>
      <w:r w:rsidR="00056EF5" w:rsidRPr="00C73365">
        <w:rPr>
          <w:rFonts w:asciiTheme="minorHAnsi" w:hAnsiTheme="minorHAnsi" w:cstheme="minorHAnsi"/>
          <w:lang w:val="fr-FR"/>
        </w:rPr>
        <w:t xml:space="preserve">Dengue </w:t>
      </w:r>
      <w:r w:rsidR="00F83595" w:rsidRPr="00C73365">
        <w:rPr>
          <w:rFonts w:asciiTheme="minorHAnsi" w:hAnsiTheme="minorHAnsi" w:cstheme="minorHAnsi"/>
          <w:lang w:val="fr-FR"/>
        </w:rPr>
        <w:t>avec des</w:t>
      </w:r>
      <w:r w:rsidR="00056EF5" w:rsidRPr="00C73365">
        <w:rPr>
          <w:rFonts w:asciiTheme="minorHAnsi" w:hAnsiTheme="minorHAnsi" w:cstheme="minorHAnsi"/>
          <w:lang w:val="fr-FR"/>
        </w:rPr>
        <w:t xml:space="preserve"> premières molécules actives identifiées.</w:t>
      </w:r>
    </w:p>
    <w:p w:rsidR="00DE07BE" w:rsidRPr="00C73365" w:rsidRDefault="00F46C7B" w:rsidP="00434C49">
      <w:pPr>
        <w:pStyle w:val="List3"/>
        <w:numPr>
          <w:ilvl w:val="0"/>
          <w:numId w:val="98"/>
        </w:numPr>
        <w:rPr>
          <w:rFonts w:asciiTheme="minorHAnsi" w:hAnsiTheme="minorHAnsi" w:cstheme="minorHAnsi"/>
          <w:lang w:val="fr-FR"/>
        </w:rPr>
      </w:pPr>
      <w:r w:rsidRPr="00C73365">
        <w:rPr>
          <w:rFonts w:asciiTheme="minorHAnsi" w:hAnsiTheme="minorHAnsi" w:cstheme="minorHAnsi"/>
          <w:b/>
          <w:color w:val="7030A0"/>
          <w:lang w:val="fr-FR"/>
        </w:rPr>
        <w:t>Une plateforme « Stimulation Immunitaire »</w:t>
      </w:r>
      <w:r w:rsidRPr="00C73365">
        <w:rPr>
          <w:rFonts w:asciiTheme="minorHAnsi" w:hAnsiTheme="minorHAnsi" w:cstheme="minorHAnsi"/>
          <w:b/>
          <w:color w:val="7030A0"/>
          <w:vertAlign w:val="superscript"/>
          <w:lang w:val="fr-FR"/>
        </w:rPr>
        <w:footnoteReference w:id="2"/>
      </w:r>
      <w:r w:rsidRPr="00C73365">
        <w:rPr>
          <w:rFonts w:asciiTheme="minorHAnsi" w:hAnsiTheme="minorHAnsi" w:cstheme="minorHAnsi"/>
          <w:b/>
          <w:color w:val="7030A0"/>
          <w:lang w:val="fr-FR"/>
        </w:rPr>
        <w:t xml:space="preserve"> </w:t>
      </w:r>
      <w:r w:rsidR="00DE07BE" w:rsidRPr="00C73365">
        <w:rPr>
          <w:rFonts w:asciiTheme="minorHAnsi" w:hAnsiTheme="minorHAnsi" w:cstheme="minorHAnsi"/>
          <w:lang w:val="fr-FR"/>
        </w:rPr>
        <w:t>fondée sur une propriété intellectuelle licenciée auprès du Scripps Research Institute (La Jolla, Etats-Unis)</w:t>
      </w:r>
      <w:r w:rsidR="001220E8" w:rsidRPr="00C73365">
        <w:rPr>
          <w:rFonts w:asciiTheme="minorHAnsi" w:hAnsiTheme="minorHAnsi" w:cstheme="minorHAnsi"/>
          <w:lang w:val="fr-FR"/>
        </w:rPr>
        <w:t>. Celle-ci</w:t>
      </w:r>
      <w:r w:rsidR="00DE07BE" w:rsidRPr="00C73365">
        <w:rPr>
          <w:rFonts w:asciiTheme="minorHAnsi" w:hAnsiTheme="minorHAnsi" w:cstheme="minorHAnsi"/>
          <w:lang w:val="fr-FR"/>
        </w:rPr>
        <w:t xml:space="preserve"> s</w:t>
      </w:r>
      <w:r w:rsidR="004572A0" w:rsidRPr="00C73365">
        <w:rPr>
          <w:rFonts w:asciiTheme="minorHAnsi" w:hAnsiTheme="minorHAnsi" w:cstheme="minorHAnsi"/>
          <w:lang w:val="fr-FR"/>
        </w:rPr>
        <w:t>’</w:t>
      </w:r>
      <w:r w:rsidR="00DE07BE" w:rsidRPr="00C73365">
        <w:rPr>
          <w:rFonts w:asciiTheme="minorHAnsi" w:hAnsiTheme="minorHAnsi" w:cstheme="minorHAnsi"/>
          <w:lang w:val="fr-FR"/>
        </w:rPr>
        <w:t xml:space="preserve">intéresse à des composés agonistes des « iNKT » </w:t>
      </w:r>
      <w:r w:rsidR="00140F46" w:rsidRPr="00C73365">
        <w:rPr>
          <w:rFonts w:asciiTheme="minorHAnsi" w:hAnsiTheme="minorHAnsi" w:cstheme="minorHAnsi"/>
          <w:lang w:val="fr-FR"/>
        </w:rPr>
        <w:t xml:space="preserve">qui peuvent </w:t>
      </w:r>
      <w:r w:rsidR="00DE07BE" w:rsidRPr="00C73365">
        <w:rPr>
          <w:rFonts w:asciiTheme="minorHAnsi" w:hAnsiTheme="minorHAnsi" w:cstheme="minorHAnsi"/>
          <w:lang w:val="fr-FR"/>
        </w:rPr>
        <w:t>stimul</w:t>
      </w:r>
      <w:r w:rsidR="00140F46" w:rsidRPr="00C73365">
        <w:rPr>
          <w:rFonts w:asciiTheme="minorHAnsi" w:hAnsiTheme="minorHAnsi" w:cstheme="minorHAnsi"/>
          <w:lang w:val="fr-FR"/>
        </w:rPr>
        <w:t>er</w:t>
      </w:r>
      <w:r w:rsidR="00DE07BE" w:rsidRPr="00C73365">
        <w:rPr>
          <w:rFonts w:asciiTheme="minorHAnsi" w:hAnsiTheme="minorHAnsi" w:cstheme="minorHAnsi"/>
          <w:lang w:val="fr-FR"/>
        </w:rPr>
        <w:t xml:space="preserve"> la réponse immunitaire au niveau humoral et cellulaire, et qui ont potentiellement des applications cliniques en oncologie et dans le domaine des maladies infectieuses</w:t>
      </w:r>
      <w:r w:rsidR="001220E8" w:rsidRPr="00C73365">
        <w:rPr>
          <w:rFonts w:asciiTheme="minorHAnsi" w:hAnsiTheme="minorHAnsi" w:cstheme="minorHAnsi"/>
          <w:lang w:val="fr-FR"/>
        </w:rPr>
        <w:t xml:space="preserve">. Le produit cible </w:t>
      </w:r>
      <w:r w:rsidR="00D629EF" w:rsidRPr="00C73365">
        <w:rPr>
          <w:rFonts w:asciiTheme="minorHAnsi" w:hAnsiTheme="minorHAnsi" w:cstheme="minorHAnsi"/>
          <w:lang w:val="fr-FR"/>
        </w:rPr>
        <w:t>ABX196</w:t>
      </w:r>
      <w:r w:rsidR="00DE07BE" w:rsidRPr="00C73365">
        <w:rPr>
          <w:rFonts w:asciiTheme="minorHAnsi" w:hAnsiTheme="minorHAnsi" w:cstheme="minorHAnsi"/>
          <w:lang w:val="fr-FR"/>
        </w:rPr>
        <w:t xml:space="preserve"> a </w:t>
      </w:r>
      <w:r w:rsidR="001220E8" w:rsidRPr="00C73365">
        <w:rPr>
          <w:rFonts w:asciiTheme="minorHAnsi" w:hAnsiTheme="minorHAnsi" w:cstheme="minorHAnsi"/>
          <w:lang w:val="fr-FR"/>
        </w:rPr>
        <w:t xml:space="preserve">déjà </w:t>
      </w:r>
      <w:r w:rsidR="00DE07BE" w:rsidRPr="00C73365">
        <w:rPr>
          <w:rFonts w:asciiTheme="minorHAnsi" w:hAnsiTheme="minorHAnsi" w:cstheme="minorHAnsi"/>
          <w:lang w:val="fr-FR"/>
        </w:rPr>
        <w:t>démontré son innocuité dans une étude de Phase 1 sur</w:t>
      </w:r>
      <w:r w:rsidR="001220E8" w:rsidRPr="00C73365">
        <w:rPr>
          <w:rFonts w:asciiTheme="minorHAnsi" w:hAnsiTheme="minorHAnsi" w:cstheme="minorHAnsi"/>
          <w:lang w:val="fr-FR"/>
        </w:rPr>
        <w:t xml:space="preserve"> des</w:t>
      </w:r>
      <w:r w:rsidR="00DE07BE" w:rsidRPr="00C73365">
        <w:rPr>
          <w:rFonts w:asciiTheme="minorHAnsi" w:hAnsiTheme="minorHAnsi" w:cstheme="minorHAnsi"/>
          <w:lang w:val="fr-FR"/>
        </w:rPr>
        <w:t xml:space="preserve"> volontaires sains. Dans un développement préclinique récent, </w:t>
      </w:r>
      <w:r w:rsidR="00D629EF" w:rsidRPr="00C73365">
        <w:rPr>
          <w:rFonts w:asciiTheme="minorHAnsi" w:hAnsiTheme="minorHAnsi" w:cstheme="minorHAnsi"/>
          <w:lang w:val="fr-FR"/>
        </w:rPr>
        <w:t>ABX196</w:t>
      </w:r>
      <w:r w:rsidR="00DE07BE" w:rsidRPr="00C73365">
        <w:rPr>
          <w:rFonts w:asciiTheme="minorHAnsi" w:hAnsiTheme="minorHAnsi" w:cstheme="minorHAnsi"/>
          <w:lang w:val="fr-FR"/>
        </w:rPr>
        <w:t xml:space="preserve"> a démontré sa capacité à faire évoluer les tumeurs non répondantes au traitement par </w:t>
      </w:r>
      <w:r w:rsidR="004572A0" w:rsidRPr="00C73365">
        <w:rPr>
          <w:rFonts w:asciiTheme="minorHAnsi" w:hAnsiTheme="minorHAnsi" w:cstheme="minorHAnsi"/>
          <w:lang w:val="fr-FR"/>
        </w:rPr>
        <w:t>‘</w:t>
      </w:r>
      <w:r w:rsidR="00DE07BE" w:rsidRPr="00C73365">
        <w:rPr>
          <w:rFonts w:asciiTheme="minorHAnsi" w:hAnsiTheme="minorHAnsi" w:cstheme="minorHAnsi"/>
          <w:lang w:val="fr-FR"/>
        </w:rPr>
        <w:t>checkpoint inhibitors</w:t>
      </w:r>
      <w:r w:rsidR="004572A0" w:rsidRPr="00C73365">
        <w:rPr>
          <w:rFonts w:asciiTheme="minorHAnsi" w:hAnsiTheme="minorHAnsi" w:cstheme="minorHAnsi"/>
          <w:lang w:val="fr-FR"/>
        </w:rPr>
        <w:t>’</w:t>
      </w:r>
      <w:r w:rsidR="00DE07BE" w:rsidRPr="00C73365">
        <w:rPr>
          <w:rFonts w:asciiTheme="minorHAnsi" w:hAnsiTheme="minorHAnsi" w:cstheme="minorHAnsi"/>
          <w:lang w:val="fr-FR"/>
        </w:rPr>
        <w:t xml:space="preserve"> en tumeurs répondantes. </w:t>
      </w:r>
      <w:r w:rsidR="00EF089C" w:rsidRPr="00C73365">
        <w:rPr>
          <w:rFonts w:asciiTheme="minorHAnsi" w:hAnsiTheme="minorHAnsi" w:cstheme="minorHAnsi"/>
          <w:lang w:val="fr-FR"/>
        </w:rPr>
        <w:t>ABIVAX</w:t>
      </w:r>
      <w:r w:rsidR="00DE07BE" w:rsidRPr="00C73365">
        <w:rPr>
          <w:rFonts w:asciiTheme="minorHAnsi" w:hAnsiTheme="minorHAnsi" w:cstheme="minorHAnsi"/>
          <w:lang w:val="fr-FR"/>
        </w:rPr>
        <w:t xml:space="preserve"> n</w:t>
      </w:r>
      <w:r w:rsidR="004572A0" w:rsidRPr="00C73365">
        <w:rPr>
          <w:rFonts w:asciiTheme="minorHAnsi" w:hAnsiTheme="minorHAnsi" w:cstheme="minorHAnsi"/>
          <w:lang w:val="fr-FR"/>
        </w:rPr>
        <w:t>’</w:t>
      </w:r>
      <w:r w:rsidR="00DE07BE" w:rsidRPr="00C73365">
        <w:rPr>
          <w:rFonts w:asciiTheme="minorHAnsi" w:hAnsiTheme="minorHAnsi" w:cstheme="minorHAnsi"/>
          <w:lang w:val="fr-FR"/>
        </w:rPr>
        <w:t xml:space="preserve">ayant pas vocation </w:t>
      </w:r>
      <w:r w:rsidR="00037FA5" w:rsidRPr="00C73365">
        <w:rPr>
          <w:rFonts w:asciiTheme="minorHAnsi" w:hAnsiTheme="minorHAnsi" w:cstheme="minorHAnsi"/>
          <w:lang w:val="fr-FR"/>
        </w:rPr>
        <w:t xml:space="preserve">stratégique </w:t>
      </w:r>
      <w:r w:rsidR="00DE07BE" w:rsidRPr="00C73365">
        <w:rPr>
          <w:rFonts w:asciiTheme="minorHAnsi" w:hAnsiTheme="minorHAnsi" w:cstheme="minorHAnsi"/>
          <w:lang w:val="fr-FR"/>
        </w:rPr>
        <w:t xml:space="preserve">à devenir une société présente en immuno-oncologie, vise à </w:t>
      </w:r>
      <w:r w:rsidR="00F83595" w:rsidRPr="00C73365">
        <w:rPr>
          <w:rFonts w:asciiTheme="minorHAnsi" w:hAnsiTheme="minorHAnsi" w:cstheme="minorHAnsi"/>
          <w:lang w:val="fr-FR"/>
        </w:rPr>
        <w:t xml:space="preserve">développer </w:t>
      </w:r>
      <w:r w:rsidR="00DE07BE" w:rsidRPr="00C73365">
        <w:rPr>
          <w:rFonts w:asciiTheme="minorHAnsi" w:hAnsiTheme="minorHAnsi" w:cstheme="minorHAnsi"/>
          <w:lang w:val="fr-FR"/>
        </w:rPr>
        <w:t xml:space="preserve">cette molécule </w:t>
      </w:r>
      <w:r w:rsidR="00F83595" w:rsidRPr="00C73365">
        <w:rPr>
          <w:rFonts w:asciiTheme="minorHAnsi" w:hAnsiTheme="minorHAnsi" w:cstheme="minorHAnsi"/>
          <w:lang w:val="fr-FR"/>
        </w:rPr>
        <w:t>avec le support d’un</w:t>
      </w:r>
      <w:r w:rsidR="00DE07BE" w:rsidRPr="00C73365">
        <w:rPr>
          <w:rFonts w:asciiTheme="minorHAnsi" w:hAnsiTheme="minorHAnsi" w:cstheme="minorHAnsi"/>
          <w:lang w:val="fr-FR"/>
        </w:rPr>
        <w:t xml:space="preserve"> partenaire externe</w:t>
      </w:r>
      <w:r w:rsidR="00037FA5" w:rsidRPr="00C73365">
        <w:rPr>
          <w:rFonts w:asciiTheme="minorHAnsi" w:hAnsiTheme="minorHAnsi" w:cstheme="minorHAnsi"/>
          <w:lang w:val="fr-FR"/>
        </w:rPr>
        <w:t xml:space="preserve">, </w:t>
      </w:r>
      <w:r w:rsidR="003432E3">
        <w:rPr>
          <w:rFonts w:asciiTheme="minorHAnsi" w:hAnsiTheme="minorHAnsi" w:cstheme="minorHAnsi"/>
          <w:lang w:val="fr-FR"/>
        </w:rPr>
        <w:t>une fois</w:t>
      </w:r>
      <w:r w:rsidR="00037FA5" w:rsidRPr="00C73365">
        <w:rPr>
          <w:rFonts w:asciiTheme="minorHAnsi" w:hAnsiTheme="minorHAnsi" w:cstheme="minorHAnsi"/>
          <w:lang w:val="fr-FR"/>
        </w:rPr>
        <w:t xml:space="preserve"> les premiers résultats cliniques d’efficacité auront été obtenus</w:t>
      </w:r>
      <w:r w:rsidR="001F273E" w:rsidRPr="00C73365">
        <w:rPr>
          <w:rFonts w:asciiTheme="minorHAnsi" w:hAnsiTheme="minorHAnsi" w:cstheme="minorHAnsi"/>
          <w:lang w:val="fr-FR"/>
        </w:rPr>
        <w:t xml:space="preserve"> dans l’hépatocarcinome</w:t>
      </w:r>
      <w:r w:rsidR="00C94AB6" w:rsidRPr="00C73365">
        <w:rPr>
          <w:rFonts w:asciiTheme="minorHAnsi" w:hAnsiTheme="minorHAnsi" w:cstheme="minorHAnsi"/>
          <w:lang w:val="fr-FR"/>
        </w:rPr>
        <w:t xml:space="preserve"> avancé.</w:t>
      </w:r>
    </w:p>
    <w:p w:rsidR="00DE07BE" w:rsidRPr="00C73365" w:rsidRDefault="00F46C7B" w:rsidP="00434C49">
      <w:pPr>
        <w:pStyle w:val="List3"/>
        <w:numPr>
          <w:ilvl w:val="0"/>
          <w:numId w:val="98"/>
        </w:numPr>
        <w:rPr>
          <w:rFonts w:asciiTheme="minorHAnsi" w:hAnsiTheme="minorHAnsi" w:cstheme="minorHAnsi"/>
          <w:lang w:val="fr-FR"/>
        </w:rPr>
      </w:pPr>
      <w:r w:rsidRPr="00C73365">
        <w:rPr>
          <w:rFonts w:asciiTheme="minorHAnsi" w:hAnsiTheme="minorHAnsi" w:cstheme="minorHAnsi"/>
          <w:b/>
          <w:color w:val="7030A0"/>
          <w:lang w:val="fr-FR"/>
        </w:rPr>
        <w:t>Une plateforme « Anticorps Polyclonaux »</w:t>
      </w:r>
      <w:r w:rsidRPr="00C73365">
        <w:rPr>
          <w:rStyle w:val="FootnoteReference"/>
          <w:rFonts w:asciiTheme="minorHAnsi" w:hAnsiTheme="minorHAnsi" w:cstheme="minorHAnsi"/>
          <w:b/>
          <w:color w:val="7030A0"/>
        </w:rPr>
        <w:footnoteReference w:id="3"/>
      </w:r>
      <w:r w:rsidRPr="00C73365">
        <w:rPr>
          <w:rFonts w:asciiTheme="minorHAnsi" w:hAnsiTheme="minorHAnsi" w:cstheme="minorHAnsi"/>
          <w:color w:val="7030A0"/>
          <w:lang w:val="fr-FR"/>
        </w:rPr>
        <w:t xml:space="preserve"> </w:t>
      </w:r>
      <w:r w:rsidR="001220E8" w:rsidRPr="00C73365">
        <w:rPr>
          <w:rFonts w:asciiTheme="minorHAnsi" w:hAnsiTheme="minorHAnsi" w:cstheme="minorHAnsi"/>
          <w:lang w:val="fr-FR"/>
        </w:rPr>
        <w:t xml:space="preserve">basée sur </w:t>
      </w:r>
      <w:r w:rsidR="00DE07BE" w:rsidRPr="00C73365">
        <w:rPr>
          <w:rFonts w:asciiTheme="minorHAnsi" w:hAnsiTheme="minorHAnsi" w:cstheme="minorHAnsi"/>
          <w:lang w:val="fr-FR"/>
        </w:rPr>
        <w:t>la génération d</w:t>
      </w:r>
      <w:r w:rsidR="004572A0" w:rsidRPr="00C73365">
        <w:rPr>
          <w:rFonts w:asciiTheme="minorHAnsi" w:hAnsiTheme="minorHAnsi" w:cstheme="minorHAnsi"/>
          <w:lang w:val="fr-FR"/>
        </w:rPr>
        <w:t>’</w:t>
      </w:r>
      <w:r w:rsidR="00DE07BE" w:rsidRPr="00C73365">
        <w:rPr>
          <w:rFonts w:asciiTheme="minorHAnsi" w:hAnsiTheme="minorHAnsi" w:cstheme="minorHAnsi"/>
          <w:lang w:val="fr-FR"/>
        </w:rPr>
        <w:t xml:space="preserve">anticorps neutralisants </w:t>
      </w:r>
      <w:r w:rsidR="001220E8" w:rsidRPr="00C73365">
        <w:rPr>
          <w:rFonts w:asciiTheme="minorHAnsi" w:hAnsiTheme="minorHAnsi" w:cstheme="minorHAnsi"/>
          <w:lang w:val="fr-FR"/>
        </w:rPr>
        <w:t>afin de traiter et prévenir l</w:t>
      </w:r>
      <w:r w:rsidR="00DE07BE" w:rsidRPr="00C73365">
        <w:rPr>
          <w:rFonts w:asciiTheme="minorHAnsi" w:hAnsiTheme="minorHAnsi" w:cstheme="minorHAnsi"/>
          <w:lang w:val="fr-FR"/>
        </w:rPr>
        <w:t xml:space="preserve">es infections dues au virus Ebola. La molécule </w:t>
      </w:r>
      <w:r w:rsidR="00D629EF" w:rsidRPr="00C73365">
        <w:rPr>
          <w:rFonts w:asciiTheme="minorHAnsi" w:hAnsiTheme="minorHAnsi" w:cstheme="minorHAnsi"/>
          <w:lang w:val="fr-FR"/>
        </w:rPr>
        <w:t>ABX544</w:t>
      </w:r>
      <w:r w:rsidR="001220E8" w:rsidRPr="00C73365">
        <w:rPr>
          <w:rFonts w:asciiTheme="minorHAnsi" w:hAnsiTheme="minorHAnsi" w:cstheme="minorHAnsi"/>
          <w:lang w:val="fr-FR"/>
        </w:rPr>
        <w:t>, produit cible,</w:t>
      </w:r>
      <w:r w:rsidR="00DE07BE" w:rsidRPr="00C73365">
        <w:rPr>
          <w:rFonts w:asciiTheme="minorHAnsi" w:hAnsiTheme="minorHAnsi" w:cstheme="minorHAnsi"/>
          <w:lang w:val="fr-FR"/>
        </w:rPr>
        <w:t xml:space="preserve"> </w:t>
      </w:r>
      <w:r w:rsidR="00CA7218" w:rsidRPr="00C73365">
        <w:rPr>
          <w:rFonts w:asciiTheme="minorHAnsi" w:hAnsiTheme="minorHAnsi" w:cstheme="minorHAnsi"/>
          <w:lang w:val="fr-FR"/>
        </w:rPr>
        <w:t>est un cours de développement préclinique.</w:t>
      </w:r>
      <w:r w:rsidR="00DE07BE" w:rsidRPr="00C73365">
        <w:rPr>
          <w:rFonts w:asciiTheme="minorHAnsi" w:hAnsiTheme="minorHAnsi" w:cstheme="minorHAnsi"/>
          <w:lang w:val="fr-FR"/>
        </w:rPr>
        <w:t xml:space="preserve"> </w:t>
      </w:r>
    </w:p>
    <w:p w:rsidR="00F46C7B"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mène ses activités de R&amp;D principalement à Montpellier </w:t>
      </w:r>
      <w:r w:rsidR="000C131F" w:rsidRPr="00C73365">
        <w:rPr>
          <w:rFonts w:asciiTheme="minorHAnsi" w:hAnsiTheme="minorHAnsi" w:cstheme="minorHAnsi"/>
          <w:lang w:val="fr-FR"/>
        </w:rPr>
        <w:t xml:space="preserve">et possède son siège à Paris. Elle </w:t>
      </w:r>
      <w:r w:rsidR="00F46C7B" w:rsidRPr="00C73365">
        <w:rPr>
          <w:rFonts w:asciiTheme="minorHAnsi" w:hAnsiTheme="minorHAnsi" w:cstheme="minorHAnsi"/>
          <w:lang w:val="fr-FR"/>
        </w:rPr>
        <w:t xml:space="preserve">compte environ 25 collaborateurs sur </w:t>
      </w:r>
      <w:r w:rsidR="000C131F" w:rsidRPr="00C73365">
        <w:rPr>
          <w:rFonts w:asciiTheme="minorHAnsi" w:hAnsiTheme="minorHAnsi" w:cstheme="minorHAnsi"/>
          <w:lang w:val="fr-FR"/>
        </w:rPr>
        <w:t xml:space="preserve">les </w:t>
      </w:r>
      <w:r w:rsidR="00F46C7B" w:rsidRPr="00C73365">
        <w:rPr>
          <w:rFonts w:asciiTheme="minorHAnsi" w:hAnsiTheme="minorHAnsi" w:cstheme="minorHAnsi"/>
          <w:lang w:val="fr-FR"/>
        </w:rPr>
        <w:t>deux sites. L</w:t>
      </w:r>
      <w:r w:rsidR="004572A0" w:rsidRPr="00C73365">
        <w:rPr>
          <w:rFonts w:asciiTheme="minorHAnsi" w:hAnsiTheme="minorHAnsi" w:cstheme="minorHAnsi"/>
          <w:lang w:val="fr-FR"/>
        </w:rPr>
        <w:t>’</w:t>
      </w:r>
      <w:r w:rsidR="00F46C7B" w:rsidRPr="00C73365">
        <w:rPr>
          <w:rFonts w:asciiTheme="minorHAnsi" w:hAnsiTheme="minorHAnsi" w:cstheme="minorHAnsi"/>
          <w:lang w:val="fr-FR"/>
        </w:rPr>
        <w:t>équipe dirigeante d</w:t>
      </w:r>
      <w:r w:rsidR="004572A0" w:rsidRPr="00C73365">
        <w:rPr>
          <w:rFonts w:asciiTheme="minorHAnsi" w:hAnsiTheme="minorHAnsi" w:cstheme="minorHAnsi"/>
          <w:lang w:val="fr-FR"/>
        </w:rPr>
        <w:t>’</w:t>
      </w: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bénéficie d</w:t>
      </w:r>
      <w:r w:rsidR="004572A0" w:rsidRPr="00C73365">
        <w:rPr>
          <w:rFonts w:asciiTheme="minorHAnsi" w:hAnsiTheme="minorHAnsi" w:cstheme="minorHAnsi"/>
          <w:lang w:val="fr-FR"/>
        </w:rPr>
        <w:t>’</w:t>
      </w:r>
      <w:r w:rsidR="00F46C7B" w:rsidRPr="00C73365">
        <w:rPr>
          <w:rFonts w:asciiTheme="minorHAnsi" w:hAnsiTheme="minorHAnsi" w:cstheme="minorHAnsi"/>
          <w:lang w:val="fr-FR"/>
        </w:rPr>
        <w:t xml:space="preserve">une grande expérience dans le développement et la commercialisation de produits biopharmaceutiques </w:t>
      </w:r>
      <w:r w:rsidR="000C131F" w:rsidRPr="00C73365">
        <w:rPr>
          <w:rFonts w:asciiTheme="minorHAnsi" w:hAnsiTheme="minorHAnsi" w:cstheme="minorHAnsi"/>
          <w:lang w:val="fr-FR"/>
        </w:rPr>
        <w:t>sur les</w:t>
      </w:r>
      <w:r w:rsidR="00F46C7B" w:rsidRPr="00C73365">
        <w:rPr>
          <w:rFonts w:asciiTheme="minorHAnsi" w:hAnsiTheme="minorHAnsi" w:cstheme="minorHAnsi"/>
          <w:lang w:val="fr-FR"/>
        </w:rPr>
        <w:t xml:space="preserve"> maladies infectieuses et </w:t>
      </w:r>
      <w:r w:rsidR="000C131F" w:rsidRPr="00C73365">
        <w:rPr>
          <w:rFonts w:asciiTheme="minorHAnsi" w:hAnsiTheme="minorHAnsi" w:cstheme="minorHAnsi"/>
          <w:lang w:val="fr-FR"/>
        </w:rPr>
        <w:t>l</w:t>
      </w:r>
      <w:r w:rsidR="00F46C7B" w:rsidRPr="00C73365">
        <w:rPr>
          <w:rFonts w:asciiTheme="minorHAnsi" w:hAnsiTheme="minorHAnsi" w:cstheme="minorHAnsi"/>
          <w:lang w:val="fr-FR"/>
        </w:rPr>
        <w:t>es antiviraux. La Société dispose en outre d</w:t>
      </w:r>
      <w:r w:rsidR="004572A0" w:rsidRPr="00C73365">
        <w:rPr>
          <w:rFonts w:asciiTheme="minorHAnsi" w:hAnsiTheme="minorHAnsi" w:cstheme="minorHAnsi"/>
          <w:lang w:val="fr-FR"/>
        </w:rPr>
        <w:t>’</w:t>
      </w:r>
      <w:r w:rsidR="00F46C7B" w:rsidRPr="00C73365">
        <w:rPr>
          <w:rFonts w:asciiTheme="minorHAnsi" w:hAnsiTheme="minorHAnsi" w:cstheme="minorHAnsi"/>
          <w:lang w:val="fr-FR"/>
        </w:rPr>
        <w:t>un comité scientifique de renommée internationale, composé d’experts ainsi que d</w:t>
      </w:r>
      <w:r w:rsidR="004572A0" w:rsidRPr="00C73365">
        <w:rPr>
          <w:rFonts w:asciiTheme="minorHAnsi" w:hAnsiTheme="minorHAnsi" w:cstheme="minorHAnsi"/>
          <w:lang w:val="fr-FR"/>
        </w:rPr>
        <w:t>’</w:t>
      </w:r>
      <w:r w:rsidR="00F46C7B" w:rsidRPr="00C73365">
        <w:rPr>
          <w:rFonts w:asciiTheme="minorHAnsi" w:hAnsiTheme="minorHAnsi" w:cstheme="minorHAnsi"/>
          <w:lang w:val="fr-FR"/>
        </w:rPr>
        <w:t>un conseil d</w:t>
      </w:r>
      <w:r w:rsidR="004572A0" w:rsidRPr="00C73365">
        <w:rPr>
          <w:rFonts w:asciiTheme="minorHAnsi" w:hAnsiTheme="minorHAnsi" w:cstheme="minorHAnsi"/>
          <w:lang w:val="fr-FR"/>
        </w:rPr>
        <w:t>’</w:t>
      </w:r>
      <w:r w:rsidR="00F46C7B" w:rsidRPr="00C73365">
        <w:rPr>
          <w:rFonts w:asciiTheme="minorHAnsi" w:hAnsiTheme="minorHAnsi" w:cstheme="minorHAnsi"/>
          <w:lang w:val="fr-FR"/>
        </w:rPr>
        <w:t xml:space="preserve">administration constitué de membres </w:t>
      </w:r>
      <w:r w:rsidR="00523EE9" w:rsidRPr="00C73365">
        <w:rPr>
          <w:rFonts w:asciiTheme="minorHAnsi" w:hAnsiTheme="minorHAnsi" w:cstheme="minorHAnsi"/>
          <w:lang w:val="fr-FR"/>
        </w:rPr>
        <w:t>avec une</w:t>
      </w:r>
      <w:r w:rsidR="00F46C7B" w:rsidRPr="00C73365">
        <w:rPr>
          <w:rFonts w:asciiTheme="minorHAnsi" w:hAnsiTheme="minorHAnsi" w:cstheme="minorHAnsi"/>
          <w:lang w:val="fr-FR"/>
        </w:rPr>
        <w:t xml:space="preserve"> solide expérience</w:t>
      </w:r>
      <w:r w:rsidR="00523EE9" w:rsidRPr="00C73365">
        <w:rPr>
          <w:rFonts w:asciiTheme="minorHAnsi" w:hAnsiTheme="minorHAnsi" w:cstheme="minorHAnsi"/>
          <w:lang w:val="fr-FR"/>
        </w:rPr>
        <w:t xml:space="preserve"> </w:t>
      </w:r>
      <w:r w:rsidR="00F46C7B" w:rsidRPr="00C73365">
        <w:rPr>
          <w:rFonts w:asciiTheme="minorHAnsi" w:hAnsiTheme="minorHAnsi" w:cstheme="minorHAnsi"/>
          <w:lang w:val="fr-FR"/>
        </w:rPr>
        <w:t xml:space="preserve">acquise au sein de grands laboratoires pharmaceutiques et de fabricants </w:t>
      </w:r>
      <w:r w:rsidR="00523EE9" w:rsidRPr="00C73365">
        <w:rPr>
          <w:rFonts w:asciiTheme="minorHAnsi" w:hAnsiTheme="minorHAnsi" w:cstheme="minorHAnsi"/>
          <w:lang w:val="fr-FR"/>
        </w:rPr>
        <w:t xml:space="preserve">internationaux </w:t>
      </w:r>
      <w:r w:rsidR="00F46C7B" w:rsidRPr="00C73365">
        <w:rPr>
          <w:rFonts w:asciiTheme="minorHAnsi" w:hAnsiTheme="minorHAnsi" w:cstheme="minorHAnsi"/>
          <w:lang w:val="fr-FR"/>
        </w:rPr>
        <w:t xml:space="preserve">de vaccins. </w:t>
      </w:r>
    </w:p>
    <w:p w:rsidR="00F46C7B" w:rsidRPr="00C73365" w:rsidRDefault="00EF089C" w:rsidP="004572A0">
      <w:pPr>
        <w:pStyle w:val="BodyText"/>
        <w:rPr>
          <w:rFonts w:asciiTheme="minorHAnsi" w:eastAsiaTheme="minorHAnsi" w:hAnsiTheme="minorHAnsi" w:cstheme="minorHAnsi"/>
          <w:lang w:val="fr-FR"/>
        </w:rPr>
      </w:pPr>
      <w:r w:rsidRPr="00C73365">
        <w:rPr>
          <w:rFonts w:asciiTheme="minorHAnsi" w:eastAsiaTheme="minorHAnsi" w:hAnsiTheme="minorHAnsi" w:cstheme="minorHAnsi"/>
          <w:lang w:val="fr-FR"/>
        </w:rPr>
        <w:t>ABIVAX</w:t>
      </w:r>
      <w:r w:rsidR="00F46C7B" w:rsidRPr="00C73365">
        <w:rPr>
          <w:rFonts w:asciiTheme="minorHAnsi" w:eastAsiaTheme="minorHAnsi" w:hAnsiTheme="minorHAnsi" w:cstheme="minorHAnsi"/>
          <w:lang w:val="fr-FR"/>
        </w:rPr>
        <w:t xml:space="preserve"> concentre actuellement ses efforts </w:t>
      </w:r>
      <w:r w:rsidR="008A2729" w:rsidRPr="00C73365">
        <w:rPr>
          <w:rFonts w:asciiTheme="minorHAnsi" w:eastAsiaTheme="minorHAnsi" w:hAnsiTheme="minorHAnsi" w:cstheme="minorHAnsi"/>
          <w:lang w:val="fr-FR"/>
        </w:rPr>
        <w:t xml:space="preserve">sur </w:t>
      </w:r>
      <w:r w:rsidR="00523EE9" w:rsidRPr="00C73365">
        <w:rPr>
          <w:rFonts w:asciiTheme="minorHAnsi" w:eastAsiaTheme="minorHAnsi" w:hAnsiTheme="minorHAnsi" w:cstheme="minorHAnsi"/>
          <w:lang w:val="fr-FR"/>
        </w:rPr>
        <w:t xml:space="preserve">les points </w:t>
      </w:r>
      <w:r w:rsidR="00D60148" w:rsidRPr="00C73365">
        <w:rPr>
          <w:rFonts w:asciiTheme="minorHAnsi" w:eastAsiaTheme="minorHAnsi" w:hAnsiTheme="minorHAnsi" w:cstheme="minorHAnsi"/>
          <w:lang w:val="fr-FR"/>
        </w:rPr>
        <w:t>suivants :</w:t>
      </w:r>
    </w:p>
    <w:p w:rsidR="000161A1" w:rsidRPr="00E66FAB" w:rsidRDefault="000161A1" w:rsidP="004572A0">
      <w:pPr>
        <w:pStyle w:val="ListBullet"/>
        <w:rPr>
          <w:rFonts w:asciiTheme="minorHAnsi" w:hAnsiTheme="minorHAnsi" w:cstheme="minorHAnsi"/>
          <w:bCs/>
          <w:color w:val="444444"/>
          <w:lang w:val="fr-FR"/>
        </w:rPr>
      </w:pPr>
      <w:r w:rsidRPr="00E66FAB">
        <w:rPr>
          <w:rFonts w:asciiTheme="minorHAnsi" w:hAnsiTheme="minorHAnsi" w:cstheme="minorHAnsi"/>
          <w:lang w:val="fr-FR"/>
        </w:rPr>
        <w:t>Poursuite du programme de développement d</w:t>
      </w:r>
      <w:r w:rsidR="004572A0" w:rsidRPr="00E66FAB">
        <w:rPr>
          <w:rFonts w:asciiTheme="minorHAnsi" w:hAnsiTheme="minorHAnsi" w:cstheme="minorHAnsi"/>
          <w:lang w:val="fr-FR"/>
        </w:rPr>
        <w:t>’</w:t>
      </w:r>
      <w:r w:rsidRPr="00E66FAB">
        <w:rPr>
          <w:rFonts w:asciiTheme="minorHAnsi" w:hAnsiTheme="minorHAnsi" w:cstheme="minorHAnsi"/>
          <w:lang w:val="fr-FR"/>
        </w:rPr>
        <w:t>ABX464 dans le VIH et découverte de nouvelles indications potentielles (plateforme « Antivirale »)</w:t>
      </w:r>
    </w:p>
    <w:p w:rsidR="000161A1" w:rsidRPr="00E66FAB" w:rsidRDefault="000161A1" w:rsidP="004572A0">
      <w:pPr>
        <w:pStyle w:val="ListBullet2"/>
        <w:rPr>
          <w:rFonts w:asciiTheme="minorHAnsi" w:hAnsiTheme="minorHAnsi" w:cstheme="minorHAnsi"/>
          <w:lang w:val="fr-FR"/>
        </w:rPr>
      </w:pPr>
      <w:r w:rsidRPr="00E66FAB">
        <w:rPr>
          <w:rFonts w:asciiTheme="minorHAnsi" w:hAnsiTheme="minorHAnsi" w:cstheme="minorHAnsi"/>
          <w:lang w:val="fr-FR"/>
        </w:rPr>
        <w:t>ABX464</w:t>
      </w:r>
      <w:r w:rsidR="00F83595" w:rsidRPr="00E66FAB">
        <w:rPr>
          <w:rFonts w:asciiTheme="minorHAnsi" w:hAnsiTheme="minorHAnsi" w:cstheme="minorHAnsi"/>
          <w:lang w:val="fr-FR"/>
        </w:rPr>
        <w:t xml:space="preserve"> a </w:t>
      </w:r>
      <w:r w:rsidRPr="00E66FAB">
        <w:rPr>
          <w:rFonts w:asciiTheme="minorHAnsi" w:hAnsiTheme="minorHAnsi" w:cstheme="minorHAnsi"/>
          <w:lang w:val="fr-FR"/>
        </w:rPr>
        <w:t>le potentiel de devenir un élément clé de guérison fonctionnelle du VIH</w:t>
      </w:r>
    </w:p>
    <w:p w:rsidR="000161A1" w:rsidRPr="00C73365" w:rsidRDefault="000161A1" w:rsidP="00A96CCA">
      <w:pPr>
        <w:pStyle w:val="NormalWeb"/>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ABX464 est une molécule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une nouvelle classe thérapeutique aux propriétés et au mode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action uniques ; provenant de la chimiothèque antivirale d</w:t>
      </w:r>
      <w:r w:rsidR="004572A0" w:rsidRPr="00C73365">
        <w:rPr>
          <w:rFonts w:asciiTheme="minorHAnsi" w:hAnsiTheme="minorHAnsi" w:cstheme="minorHAnsi"/>
          <w:szCs w:val="20"/>
          <w:lang w:val="fr-FR"/>
        </w:rPr>
        <w:t>’</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xml:space="preserve">. </w:t>
      </w:r>
      <w:r w:rsidR="00E32CFE" w:rsidRPr="00C73365">
        <w:rPr>
          <w:rFonts w:asciiTheme="minorHAnsi" w:hAnsiTheme="minorHAnsi" w:cstheme="minorHAnsi"/>
          <w:szCs w:val="20"/>
          <w:lang w:val="fr-FR"/>
        </w:rPr>
        <w:t>ABX464</w:t>
      </w:r>
      <w:r w:rsidRPr="00C73365">
        <w:rPr>
          <w:rFonts w:asciiTheme="minorHAnsi" w:hAnsiTheme="minorHAnsi" w:cstheme="minorHAnsi"/>
          <w:szCs w:val="20"/>
          <w:lang w:val="fr-FR"/>
        </w:rPr>
        <w:t xml:space="preserve"> a démontré qu</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elle inhibait la réplication virale </w:t>
      </w:r>
      <w:r w:rsidRPr="00C73365">
        <w:rPr>
          <w:rFonts w:asciiTheme="minorHAnsi" w:hAnsiTheme="minorHAnsi" w:cstheme="minorHAnsi"/>
          <w:i/>
          <w:iCs/>
          <w:szCs w:val="20"/>
          <w:lang w:val="fr-FR"/>
        </w:rPr>
        <w:t>in vitro</w:t>
      </w:r>
      <w:r w:rsidRPr="00C73365">
        <w:rPr>
          <w:rFonts w:asciiTheme="minorHAnsi" w:hAnsiTheme="minorHAnsi" w:cstheme="minorHAnsi"/>
          <w:szCs w:val="20"/>
          <w:lang w:val="fr-FR"/>
        </w:rPr>
        <w:t xml:space="preserve"> et </w:t>
      </w:r>
      <w:r w:rsidRPr="00C73365">
        <w:rPr>
          <w:rFonts w:asciiTheme="minorHAnsi" w:hAnsiTheme="minorHAnsi" w:cstheme="minorHAnsi"/>
          <w:i/>
          <w:iCs/>
          <w:szCs w:val="20"/>
          <w:lang w:val="fr-FR"/>
        </w:rPr>
        <w:t>in vivo</w:t>
      </w:r>
      <w:r w:rsidRPr="00C73365">
        <w:rPr>
          <w:rFonts w:asciiTheme="minorHAnsi" w:hAnsiTheme="minorHAnsi" w:cstheme="minorHAnsi"/>
          <w:szCs w:val="20"/>
          <w:lang w:val="fr-FR"/>
        </w:rPr>
        <w:t>, mais également qu</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elle induisait une réduction à long terme de la charge virale après arrêt du traitement </w:t>
      </w:r>
      <w:r w:rsidR="00523EE9" w:rsidRPr="00C73365">
        <w:rPr>
          <w:rFonts w:asciiTheme="minorHAnsi" w:hAnsiTheme="minorHAnsi" w:cstheme="minorHAnsi"/>
          <w:szCs w:val="20"/>
          <w:lang w:val="fr-FR"/>
        </w:rPr>
        <w:t xml:space="preserve">sur </w:t>
      </w:r>
      <w:r w:rsidRPr="00C73365">
        <w:rPr>
          <w:rFonts w:asciiTheme="minorHAnsi" w:hAnsiTheme="minorHAnsi" w:cstheme="minorHAnsi"/>
          <w:szCs w:val="20"/>
          <w:lang w:val="fr-FR"/>
        </w:rPr>
        <w:t>un modèle animal préclinique.</w:t>
      </w:r>
      <w:r w:rsidR="00523EE9"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Cette molécule dispose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w:t>
      </w:r>
      <w:r w:rsidR="00523EE9"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potentiel</w:t>
      </w:r>
      <w:r w:rsidR="00523EE9" w:rsidRPr="00C73365">
        <w:rPr>
          <w:rFonts w:asciiTheme="minorHAnsi" w:hAnsiTheme="minorHAnsi" w:cstheme="minorHAnsi"/>
          <w:szCs w:val="20"/>
          <w:lang w:val="fr-FR"/>
        </w:rPr>
        <w:t xml:space="preserve"> important</w:t>
      </w:r>
      <w:r w:rsidRPr="00C73365">
        <w:rPr>
          <w:rFonts w:asciiTheme="minorHAnsi" w:hAnsiTheme="minorHAnsi" w:cstheme="minorHAnsi"/>
          <w:szCs w:val="20"/>
          <w:lang w:val="fr-FR"/>
        </w:rPr>
        <w:t xml:space="preserve"> dans le cadre du développement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une nouvelle classe de médicaments antirétroviraux, susceptible de conduire à une guérison fonctionnelle des patients.</w:t>
      </w:r>
    </w:p>
    <w:p w:rsidR="000161A1" w:rsidRPr="00C73365" w:rsidRDefault="000161A1" w:rsidP="00A96CCA">
      <w:pPr>
        <w:pStyle w:val="NormalWeb"/>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Deux études de phase I réalisées auparavant sur des sujets sains </w:t>
      </w:r>
      <w:r w:rsidR="00523EE9" w:rsidRPr="00C73365">
        <w:rPr>
          <w:rFonts w:asciiTheme="minorHAnsi" w:hAnsiTheme="minorHAnsi" w:cstheme="minorHAnsi"/>
          <w:szCs w:val="20"/>
          <w:lang w:val="fr-FR"/>
        </w:rPr>
        <w:t xml:space="preserve">ont </w:t>
      </w:r>
      <w:r w:rsidRPr="00C73365">
        <w:rPr>
          <w:rFonts w:asciiTheme="minorHAnsi" w:hAnsiTheme="minorHAnsi" w:cstheme="minorHAnsi"/>
          <w:szCs w:val="20"/>
          <w:lang w:val="fr-FR"/>
        </w:rPr>
        <w:t xml:space="preserve">démontré que le produit était bien toléré aux doses thérapeutiques prévues. </w:t>
      </w:r>
    </w:p>
    <w:p w:rsidR="000161A1" w:rsidRPr="00C73365" w:rsidRDefault="000161A1" w:rsidP="00A96CCA">
      <w:pPr>
        <w:pStyle w:val="NormalWeb"/>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lastRenderedPageBreak/>
        <w:t xml:space="preserve">En 2015, une étude de phase IIa sur 66 sujets infectés par le VIH </w:t>
      </w:r>
      <w:r w:rsidRPr="00C73365">
        <w:rPr>
          <w:rFonts w:asciiTheme="minorHAnsi" w:hAnsiTheme="minorHAnsi" w:cstheme="minorHAnsi"/>
          <w:b/>
          <w:szCs w:val="20"/>
          <w:lang w:val="fr-FR"/>
        </w:rPr>
        <w:t>(ABX464-003)</w:t>
      </w:r>
      <w:r w:rsidRPr="00C73365">
        <w:rPr>
          <w:rFonts w:asciiTheme="minorHAnsi" w:hAnsiTheme="minorHAnsi" w:cstheme="minorHAnsi"/>
          <w:szCs w:val="20"/>
          <w:lang w:val="fr-FR"/>
        </w:rPr>
        <w:t xml:space="preserve"> a apporté une première preuve de son activité et de sa bonne tolérance. </w:t>
      </w:r>
    </w:p>
    <w:p w:rsidR="000161A1" w:rsidRPr="00C73365" w:rsidRDefault="000161A1" w:rsidP="004572A0">
      <w:pPr>
        <w:pStyle w:val="BodyText"/>
        <w:rPr>
          <w:rFonts w:asciiTheme="minorHAnsi" w:hAnsiTheme="minorHAnsi" w:cstheme="minorHAnsi"/>
          <w:color w:val="000000" w:themeColor="text1"/>
          <w:lang w:val="fr-FR"/>
        </w:rPr>
      </w:pPr>
      <w:r w:rsidRPr="00C73365">
        <w:rPr>
          <w:rFonts w:asciiTheme="minorHAnsi" w:hAnsiTheme="minorHAnsi" w:cstheme="minorHAnsi"/>
          <w:lang w:val="fr-FR"/>
        </w:rPr>
        <w:t xml:space="preserve">En juin 2016, une seconde étude de phase IIa a été initiée </w:t>
      </w:r>
      <w:r w:rsidRPr="00C73365">
        <w:rPr>
          <w:rFonts w:asciiTheme="minorHAnsi" w:hAnsiTheme="minorHAnsi" w:cstheme="minorHAnsi"/>
          <w:b/>
          <w:lang w:val="fr-FR"/>
        </w:rPr>
        <w:t>(ABX464-004)</w:t>
      </w:r>
      <w:r w:rsidRPr="00C73365">
        <w:rPr>
          <w:rFonts w:asciiTheme="minorHAnsi" w:hAnsiTheme="minorHAnsi" w:cstheme="minorHAnsi"/>
          <w:lang w:val="fr-FR"/>
        </w:rPr>
        <w:t>, conçue pour démontrer l</w:t>
      </w:r>
      <w:r w:rsidR="004572A0" w:rsidRPr="00C73365">
        <w:rPr>
          <w:rFonts w:asciiTheme="minorHAnsi" w:hAnsiTheme="minorHAnsi" w:cstheme="minorHAnsi"/>
          <w:lang w:val="fr-FR"/>
        </w:rPr>
        <w:t>’</w:t>
      </w:r>
      <w:r w:rsidRPr="00C73365">
        <w:rPr>
          <w:rFonts w:asciiTheme="minorHAnsi" w:hAnsiTheme="minorHAnsi" w:cstheme="minorHAnsi"/>
          <w:lang w:val="fr-FR"/>
        </w:rPr>
        <w:t>effet d</w:t>
      </w:r>
      <w:r w:rsidR="004572A0" w:rsidRPr="00C73365">
        <w:rPr>
          <w:rFonts w:asciiTheme="minorHAnsi" w:hAnsiTheme="minorHAnsi" w:cstheme="minorHAnsi"/>
          <w:lang w:val="fr-FR"/>
        </w:rPr>
        <w:t>’</w:t>
      </w:r>
      <w:r w:rsidR="00E32CFE" w:rsidRPr="00C73365">
        <w:rPr>
          <w:rFonts w:asciiTheme="minorHAnsi" w:hAnsiTheme="minorHAnsi" w:cstheme="minorHAnsi"/>
          <w:lang w:val="fr-FR"/>
        </w:rPr>
        <w:t>ABX464</w:t>
      </w:r>
      <w:r w:rsidR="007C507C">
        <w:rPr>
          <w:rFonts w:asciiTheme="minorHAnsi" w:hAnsiTheme="minorHAnsi" w:cstheme="minorHAnsi"/>
          <w:lang w:val="fr-FR"/>
        </w:rPr>
        <w:t xml:space="preserve"> sur le réservoir du VIH</w:t>
      </w:r>
      <w:r w:rsidRPr="00C73365">
        <w:rPr>
          <w:rFonts w:asciiTheme="minorHAnsi" w:hAnsiTheme="minorHAnsi" w:cstheme="minorHAnsi"/>
          <w:lang w:val="fr-FR"/>
        </w:rPr>
        <w:t xml:space="preserve">. </w:t>
      </w:r>
      <w:r w:rsidRPr="00C73365">
        <w:rPr>
          <w:rFonts w:asciiTheme="minorHAnsi" w:eastAsia="Candara" w:hAnsiTheme="minorHAnsi" w:cstheme="minorHAnsi"/>
          <w:lang w:val="fr-FR"/>
        </w:rPr>
        <w:t xml:space="preserve">Dans cette étude, </w:t>
      </w:r>
      <w:r w:rsidR="00523EE9" w:rsidRPr="00C73365">
        <w:rPr>
          <w:rFonts w:asciiTheme="minorHAnsi" w:eastAsia="Candara" w:hAnsiTheme="minorHAnsi" w:cstheme="minorHAnsi"/>
          <w:lang w:val="fr-FR"/>
        </w:rPr>
        <w:t xml:space="preserve">un groupe de </w:t>
      </w:r>
      <w:r w:rsidRPr="00C73365">
        <w:rPr>
          <w:rFonts w:asciiTheme="minorHAnsi" w:eastAsia="Candara" w:hAnsiTheme="minorHAnsi" w:cstheme="minorHAnsi"/>
          <w:lang w:val="fr-FR"/>
        </w:rPr>
        <w:t xml:space="preserve">30 patients infectés par le virus du VIH en Espagne, en France et en Belgique, ont reçu, pendant 28 jours, soit ABX464, soit un placebo, en plus de leur traitement antirétroviral </w:t>
      </w:r>
      <w:r w:rsidR="005841C0">
        <w:rPr>
          <w:rFonts w:asciiTheme="minorHAnsi" w:eastAsia="Candara" w:hAnsiTheme="minorHAnsi" w:cstheme="minorHAnsi"/>
          <w:lang w:val="fr-FR"/>
        </w:rPr>
        <w:t>(Inhibiteur de Protéase – Darunavir)</w:t>
      </w:r>
      <w:r w:rsidRPr="00C73365">
        <w:rPr>
          <w:rFonts w:asciiTheme="minorHAnsi" w:eastAsia="Candara" w:hAnsiTheme="minorHAnsi" w:cstheme="minorHAnsi"/>
          <w:lang w:val="fr-FR"/>
        </w:rPr>
        <w:t xml:space="preserve">. Après 28 jours de traitement, l’effet potentiel d’ABX464 sur les réservoirs de VIH dans les cellules périphériques mononuclées du sang a été évalué. </w:t>
      </w:r>
      <w:r w:rsidRPr="00C73365">
        <w:rPr>
          <w:rFonts w:asciiTheme="minorHAnsi" w:hAnsiTheme="minorHAnsi" w:cstheme="minorHAnsi"/>
          <w:color w:val="000000" w:themeColor="text1"/>
          <w:lang w:val="fr-FR"/>
        </w:rPr>
        <w:t>Les données de l’étude ont pu être consolidées et analysées permettant ainsi d’aboutir à la communication des premiers résultats le 2 mai 2017.</w:t>
      </w:r>
    </w:p>
    <w:p w:rsidR="000161A1" w:rsidRPr="00C73365" w:rsidRDefault="000161A1" w:rsidP="004572A0">
      <w:pPr>
        <w:pStyle w:val="BodyText"/>
        <w:rPr>
          <w:rFonts w:asciiTheme="minorHAnsi" w:eastAsia="Candara" w:hAnsiTheme="minorHAnsi" w:cstheme="minorHAnsi"/>
          <w:lang w:val="fr-FR"/>
        </w:rPr>
      </w:pPr>
      <w:r w:rsidRPr="00C73365">
        <w:rPr>
          <w:rFonts w:asciiTheme="minorHAnsi" w:eastAsia="Candara" w:hAnsiTheme="minorHAnsi" w:cstheme="minorHAnsi"/>
          <w:lang w:val="fr-FR"/>
        </w:rPr>
        <w:t xml:space="preserve">L’innocuité était le critère principal de l’étude </w:t>
      </w:r>
      <w:r w:rsidR="00E32CFE" w:rsidRPr="00C73365">
        <w:rPr>
          <w:rFonts w:asciiTheme="minorHAnsi" w:eastAsia="Candara" w:hAnsiTheme="minorHAnsi" w:cstheme="minorHAnsi"/>
          <w:lang w:val="fr-FR"/>
        </w:rPr>
        <w:t>ABX464</w:t>
      </w:r>
      <w:r w:rsidRPr="00C73365">
        <w:rPr>
          <w:rFonts w:asciiTheme="minorHAnsi" w:eastAsia="Candara" w:hAnsiTheme="minorHAnsi" w:cstheme="minorHAnsi"/>
          <w:lang w:val="fr-FR"/>
        </w:rPr>
        <w:t>-004, ABX464 a été bien toléré et aucun effet secondaire indésirable grave n’a été constaté au sein du groupe s’étant vu administrer</w:t>
      </w:r>
      <w:r w:rsidR="009B399D">
        <w:rPr>
          <w:rFonts w:asciiTheme="minorHAnsi" w:eastAsia="Candara" w:hAnsiTheme="minorHAnsi" w:cstheme="minorHAnsi"/>
          <w:lang w:val="fr-FR"/>
        </w:rPr>
        <w:t xml:space="preserve"> le </w:t>
      </w:r>
      <w:r w:rsidR="00742833">
        <w:rPr>
          <w:rFonts w:asciiTheme="minorHAnsi" w:eastAsia="Candara" w:hAnsiTheme="minorHAnsi" w:cstheme="minorHAnsi"/>
          <w:lang w:val="fr-FR"/>
        </w:rPr>
        <w:t xml:space="preserve">médicament </w:t>
      </w:r>
      <w:r w:rsidR="009B399D">
        <w:rPr>
          <w:rFonts w:asciiTheme="minorHAnsi" w:eastAsia="Candara" w:hAnsiTheme="minorHAnsi" w:cstheme="minorHAnsi"/>
          <w:lang w:val="fr-FR"/>
        </w:rPr>
        <w:t>candidat</w:t>
      </w:r>
      <w:r w:rsidRPr="00C73365">
        <w:rPr>
          <w:rFonts w:asciiTheme="minorHAnsi" w:eastAsia="Candara" w:hAnsiTheme="minorHAnsi" w:cstheme="minorHAnsi"/>
          <w:lang w:val="fr-FR"/>
        </w:rPr>
        <w:t>. Chez les patients évaluables (4 placebo, 1</w:t>
      </w:r>
      <w:r w:rsidR="00427AAE" w:rsidRPr="00C73365">
        <w:rPr>
          <w:rFonts w:asciiTheme="minorHAnsi" w:eastAsia="Candara" w:hAnsiTheme="minorHAnsi" w:cstheme="minorHAnsi"/>
          <w:lang w:val="fr-FR"/>
        </w:rPr>
        <w:t>5</w:t>
      </w:r>
      <w:r w:rsidRPr="00C73365">
        <w:rPr>
          <w:rFonts w:asciiTheme="minorHAnsi" w:eastAsia="Candara" w:hAnsiTheme="minorHAnsi" w:cstheme="minorHAnsi"/>
          <w:lang w:val="fr-FR"/>
        </w:rPr>
        <w:t xml:space="preserve"> traités avec ABX464), une réduction des copies d’ADN viral/million de PBMC a été observée sur </w:t>
      </w:r>
      <w:r w:rsidR="00427AAE" w:rsidRPr="00C73365">
        <w:rPr>
          <w:rFonts w:asciiTheme="minorHAnsi" w:eastAsia="Candara" w:hAnsiTheme="minorHAnsi" w:cstheme="minorHAnsi"/>
          <w:lang w:val="fr-FR"/>
        </w:rPr>
        <w:t>8</w:t>
      </w:r>
      <w:r w:rsidRPr="00C73365">
        <w:rPr>
          <w:rFonts w:asciiTheme="minorHAnsi" w:eastAsia="Candara" w:hAnsiTheme="minorHAnsi" w:cstheme="minorHAnsi"/>
          <w:lang w:val="fr-FR"/>
        </w:rPr>
        <w:t xml:space="preserve"> des 1</w:t>
      </w:r>
      <w:r w:rsidR="00427AAE" w:rsidRPr="00C73365">
        <w:rPr>
          <w:rFonts w:asciiTheme="minorHAnsi" w:eastAsia="Candara" w:hAnsiTheme="minorHAnsi" w:cstheme="minorHAnsi"/>
          <w:lang w:val="fr-FR"/>
        </w:rPr>
        <w:t>5</w:t>
      </w:r>
      <w:r w:rsidRPr="00C73365">
        <w:rPr>
          <w:rFonts w:asciiTheme="minorHAnsi" w:eastAsia="Candara" w:hAnsiTheme="minorHAnsi" w:cstheme="minorHAnsi"/>
          <w:lang w:val="fr-FR"/>
        </w:rPr>
        <w:t xml:space="preserve"> patients traités (soit une réduction de -40%, allant de -27% à -67%) et aucune réponse n’a été observée dans le groupe placebo. Les patients répondeurs ont été définis comme étant ceux présentant une réduction minimale de 50 copies et de plus de 25% sur le nombre total de copies d’ADN viral.</w:t>
      </w:r>
    </w:p>
    <w:p w:rsidR="000161A1" w:rsidRPr="00E66FAB" w:rsidRDefault="000161A1" w:rsidP="004572A0">
      <w:pPr>
        <w:pStyle w:val="ListBullet2"/>
        <w:rPr>
          <w:rFonts w:asciiTheme="minorHAnsi" w:hAnsiTheme="minorHAnsi" w:cstheme="minorHAnsi"/>
          <w:lang w:val="fr-FR"/>
        </w:rPr>
      </w:pPr>
      <w:r w:rsidRPr="00E66FAB">
        <w:rPr>
          <w:rFonts w:asciiTheme="minorHAnsi" w:hAnsiTheme="minorHAnsi" w:cstheme="minorHAnsi"/>
          <w:lang w:val="fr-FR"/>
        </w:rPr>
        <w:t>Une nouvelle étude clinique de Phase IIa (ABX464-005), portant sur 36 patients, a été lancée en avril 2017</w:t>
      </w:r>
      <w:r w:rsidR="00066EA8" w:rsidRPr="00E66FAB">
        <w:rPr>
          <w:rFonts w:asciiTheme="minorHAnsi" w:hAnsiTheme="minorHAnsi" w:cstheme="minorHAnsi"/>
          <w:lang w:val="fr-FR"/>
        </w:rPr>
        <w:t xml:space="preserve">. Elle </w:t>
      </w:r>
      <w:r w:rsidRPr="00E66FAB">
        <w:rPr>
          <w:rFonts w:asciiTheme="minorHAnsi" w:hAnsiTheme="minorHAnsi" w:cstheme="minorHAnsi"/>
          <w:lang w:val="fr-FR"/>
        </w:rPr>
        <w:t>vis</w:t>
      </w:r>
      <w:r w:rsidR="00066EA8" w:rsidRPr="00E66FAB">
        <w:rPr>
          <w:rFonts w:asciiTheme="minorHAnsi" w:hAnsiTheme="minorHAnsi" w:cstheme="minorHAnsi"/>
          <w:lang w:val="fr-FR"/>
        </w:rPr>
        <w:t>e</w:t>
      </w:r>
      <w:r w:rsidRPr="00E66FAB">
        <w:rPr>
          <w:rFonts w:asciiTheme="minorHAnsi" w:hAnsiTheme="minorHAnsi" w:cstheme="minorHAnsi"/>
          <w:lang w:val="fr-FR"/>
        </w:rPr>
        <w:t xml:space="preserve"> à étudier l</w:t>
      </w:r>
      <w:r w:rsidR="004572A0" w:rsidRPr="00E66FAB">
        <w:rPr>
          <w:rFonts w:asciiTheme="minorHAnsi" w:hAnsiTheme="minorHAnsi" w:cstheme="minorHAnsi"/>
          <w:lang w:val="fr-FR"/>
        </w:rPr>
        <w:t>’</w:t>
      </w:r>
      <w:r w:rsidRPr="00E66FAB">
        <w:rPr>
          <w:rFonts w:asciiTheme="minorHAnsi" w:hAnsiTheme="minorHAnsi" w:cstheme="minorHAnsi"/>
          <w:lang w:val="fr-FR"/>
        </w:rPr>
        <w:t>effet d</w:t>
      </w:r>
      <w:r w:rsidR="004572A0" w:rsidRPr="00E66FAB">
        <w:rPr>
          <w:rFonts w:asciiTheme="minorHAnsi" w:hAnsiTheme="minorHAnsi" w:cstheme="minorHAnsi"/>
          <w:lang w:val="fr-FR"/>
        </w:rPr>
        <w:t>’</w:t>
      </w:r>
      <w:r w:rsidRPr="00E66FAB">
        <w:rPr>
          <w:rFonts w:asciiTheme="minorHAnsi" w:hAnsiTheme="minorHAnsi" w:cstheme="minorHAnsi"/>
          <w:lang w:val="fr-FR"/>
        </w:rPr>
        <w:t>ABX464 sur les</w:t>
      </w:r>
      <w:r w:rsidR="00B22DA2" w:rsidRPr="00E66FAB">
        <w:rPr>
          <w:rFonts w:asciiTheme="minorHAnsi" w:hAnsiTheme="minorHAnsi" w:cstheme="minorHAnsi"/>
          <w:lang w:val="fr-FR"/>
        </w:rPr>
        <w:t xml:space="preserve"> cellules</w:t>
      </w:r>
      <w:r w:rsidRPr="00E66FAB">
        <w:rPr>
          <w:rFonts w:asciiTheme="minorHAnsi" w:hAnsiTheme="minorHAnsi" w:cstheme="minorHAnsi"/>
          <w:lang w:val="fr-FR"/>
        </w:rPr>
        <w:t xml:space="preserve"> réservoir du VIH dans </w:t>
      </w:r>
      <w:r w:rsidR="00B22DA2" w:rsidRPr="00E66FAB">
        <w:rPr>
          <w:rFonts w:asciiTheme="minorHAnsi" w:hAnsiTheme="minorHAnsi" w:cstheme="minorHAnsi"/>
          <w:lang w:val="fr-FR"/>
        </w:rPr>
        <w:t>la circulation sanguine ainsi qu’au sein de la muqueuse intestinale.</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bCs/>
          <w:lang w:val="fr-FR"/>
        </w:rPr>
      </w:pPr>
      <w:r w:rsidRPr="00C73365">
        <w:rPr>
          <w:rFonts w:asciiTheme="minorHAnsi" w:hAnsiTheme="minorHAnsi" w:cstheme="minorHAnsi"/>
          <w:szCs w:val="20"/>
          <w:lang w:val="fr-FR"/>
        </w:rPr>
        <w:t xml:space="preserve">En complément à l’étude ABX464-004, </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xml:space="preserve"> a lancé en avril 2017 une nouvelle étude clinique pharmacocinétique </w:t>
      </w:r>
      <w:r w:rsidRPr="00C73365">
        <w:rPr>
          <w:rFonts w:asciiTheme="minorHAnsi" w:hAnsiTheme="minorHAnsi" w:cstheme="minorHAnsi"/>
          <w:b/>
          <w:szCs w:val="20"/>
          <w:lang w:val="fr-FR"/>
        </w:rPr>
        <w:t>ABX464-005</w:t>
      </w:r>
      <w:r w:rsidRPr="00C73365">
        <w:rPr>
          <w:rFonts w:asciiTheme="minorHAnsi" w:hAnsiTheme="minorHAnsi" w:cstheme="minorHAnsi"/>
          <w:szCs w:val="20"/>
          <w:lang w:val="fr-FR"/>
        </w:rPr>
        <w:t xml:space="preserve"> (compartmental pharmacokinetics clinical study). Cette étude</w:t>
      </w:r>
      <w:r w:rsidR="00A711E0"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menée au sein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Hôpital Universitaire </w:t>
      </w:r>
      <w:r w:rsidRPr="00C73365">
        <w:rPr>
          <w:rFonts w:asciiTheme="minorHAnsi" w:hAnsiTheme="minorHAnsi" w:cstheme="minorHAnsi"/>
          <w:i/>
          <w:iCs/>
          <w:szCs w:val="20"/>
          <w:lang w:val="fr-FR"/>
        </w:rPr>
        <w:t>Germans Trias i Pujol</w:t>
      </w:r>
      <w:r w:rsidRPr="00C73365">
        <w:rPr>
          <w:rFonts w:asciiTheme="minorHAnsi" w:hAnsiTheme="minorHAnsi" w:cstheme="minorHAnsi"/>
          <w:szCs w:val="20"/>
          <w:lang w:val="fr-FR"/>
        </w:rPr>
        <w:t xml:space="preserve"> à Badalona (Barcelone, Espagne)</w:t>
      </w:r>
      <w:r w:rsidR="00A711E0" w:rsidRPr="00C73365">
        <w:rPr>
          <w:rFonts w:asciiTheme="minorHAnsi" w:hAnsiTheme="minorHAnsi" w:cstheme="minorHAnsi"/>
          <w:szCs w:val="20"/>
          <w:lang w:val="fr-FR"/>
        </w:rPr>
        <w:t xml:space="preserve"> doit permettre</w:t>
      </w:r>
      <w:r w:rsidRPr="00C73365">
        <w:rPr>
          <w:rFonts w:asciiTheme="minorHAnsi" w:hAnsiTheme="minorHAnsi" w:cstheme="minorHAnsi"/>
          <w:szCs w:val="20"/>
          <w:lang w:val="fr-FR"/>
        </w:rPr>
        <w:t xml:space="preserve"> de quantifier l’impact d’ABX464 sur le</w:t>
      </w:r>
      <w:r w:rsidR="00B22DA2" w:rsidRPr="00C73365">
        <w:rPr>
          <w:rFonts w:asciiTheme="minorHAnsi" w:hAnsiTheme="minorHAnsi" w:cstheme="minorHAnsi"/>
          <w:szCs w:val="20"/>
          <w:lang w:val="fr-FR"/>
        </w:rPr>
        <w:t xml:space="preserve"> nombre de cellules </w:t>
      </w:r>
      <w:r w:rsidR="00720F91" w:rsidRPr="00C73365">
        <w:rPr>
          <w:rFonts w:asciiTheme="minorHAnsi" w:hAnsiTheme="minorHAnsi" w:cstheme="minorHAnsi"/>
          <w:szCs w:val="20"/>
          <w:lang w:val="fr-FR"/>
        </w:rPr>
        <w:t>réservoirs du VIH</w:t>
      </w:r>
      <w:r w:rsidR="00B22DA2" w:rsidRPr="00C73365">
        <w:rPr>
          <w:rFonts w:asciiTheme="minorHAnsi" w:hAnsiTheme="minorHAnsi" w:cstheme="minorHAnsi"/>
          <w:lang w:val="fr-FR"/>
        </w:rPr>
        <w:t xml:space="preserve"> </w:t>
      </w:r>
      <w:r w:rsidR="00B22DA2" w:rsidRPr="00C73365">
        <w:rPr>
          <w:rFonts w:asciiTheme="minorHAnsi" w:hAnsiTheme="minorHAnsi" w:cstheme="minorHAnsi"/>
          <w:szCs w:val="20"/>
          <w:lang w:val="fr-FR"/>
        </w:rPr>
        <w:t>dans la circulation sanguine ainsi qu’au sein de la muqueuse intestinale</w:t>
      </w:r>
      <w:r w:rsidRPr="00C73365">
        <w:rPr>
          <w:rFonts w:asciiTheme="minorHAnsi" w:hAnsiTheme="minorHAnsi" w:cstheme="minorHAnsi"/>
          <w:szCs w:val="20"/>
          <w:lang w:val="fr-FR"/>
        </w:rPr>
        <w:t xml:space="preserve">. </w:t>
      </w:r>
      <w:r w:rsidRPr="00C73365">
        <w:rPr>
          <w:rFonts w:asciiTheme="minorHAnsi" w:hAnsiTheme="minorHAnsi" w:cstheme="minorHAnsi"/>
          <w:bCs/>
          <w:lang w:val="fr-FR"/>
        </w:rPr>
        <w:t xml:space="preserve">Les résultats provenant d’un premier groupe de 11 patients ont été communiqués </w:t>
      </w:r>
      <w:r w:rsidR="00E73A7C">
        <w:rPr>
          <w:rFonts w:asciiTheme="minorHAnsi" w:hAnsiTheme="minorHAnsi" w:cstheme="minorHAnsi"/>
          <w:bCs/>
          <w:lang w:val="fr-FR"/>
        </w:rPr>
        <w:t>le 28 septembre</w:t>
      </w:r>
      <w:r w:rsidRPr="00C73365">
        <w:rPr>
          <w:rFonts w:asciiTheme="minorHAnsi" w:hAnsiTheme="minorHAnsi" w:cstheme="minorHAnsi"/>
          <w:bCs/>
          <w:lang w:val="fr-FR"/>
        </w:rPr>
        <w:t xml:space="preserve"> 2017. Ainsi, 11 patients infectés par le virus du VIH se sont vu administrer une dose de 150mg d’ABX464 pendant 28 jours en plus de leur traitement antirétroviral. Des échantillons de sang et des biopsies rectales ont été collecté</w:t>
      </w:r>
      <w:r w:rsidR="009B399D">
        <w:rPr>
          <w:rFonts w:asciiTheme="minorHAnsi" w:hAnsiTheme="minorHAnsi" w:cstheme="minorHAnsi"/>
          <w:bCs/>
          <w:lang w:val="fr-FR"/>
        </w:rPr>
        <w:t>e</w:t>
      </w:r>
      <w:r w:rsidRPr="00C73365">
        <w:rPr>
          <w:rFonts w:asciiTheme="minorHAnsi" w:hAnsiTheme="minorHAnsi" w:cstheme="minorHAnsi"/>
          <w:bCs/>
          <w:lang w:val="fr-FR"/>
        </w:rPr>
        <w:t>s à différents intervalles afin de quantifier</w:t>
      </w:r>
      <w:r w:rsidR="00720F91" w:rsidRPr="00C73365">
        <w:rPr>
          <w:rFonts w:asciiTheme="minorHAnsi" w:hAnsiTheme="minorHAnsi" w:cstheme="minorHAnsi"/>
          <w:bCs/>
          <w:lang w:val="fr-FR"/>
        </w:rPr>
        <w:t xml:space="preserve"> </w:t>
      </w:r>
      <w:r w:rsidRPr="00C73365">
        <w:rPr>
          <w:rFonts w:asciiTheme="minorHAnsi" w:hAnsiTheme="minorHAnsi" w:cstheme="minorHAnsi"/>
          <w:bCs/>
          <w:lang w:val="fr-FR"/>
        </w:rPr>
        <w:t xml:space="preserve">sur la durée, les réservoirs du VIH et l’inflammation des muqueuses. Deux patients sont sortis de l’étude pour cause d’effets indésirables de grade 1 à 2 qui se sont dissipés au plus tard 6 jours après l’arrêt du traitement. Neuf patients ont terminé l’étude. Sur huit de ces neuf patients une réduction de l’ADN viral dans les cellules de sang périphériques CD4+ a été constatée entre le </w:t>
      </w:r>
      <w:r w:rsidR="00A711E0" w:rsidRPr="00C73365">
        <w:rPr>
          <w:rFonts w:asciiTheme="minorHAnsi" w:hAnsiTheme="minorHAnsi" w:cstheme="minorHAnsi"/>
          <w:bCs/>
          <w:lang w:val="fr-FR"/>
        </w:rPr>
        <w:t>1</w:t>
      </w:r>
      <w:r w:rsidR="00A711E0" w:rsidRPr="00C73365">
        <w:rPr>
          <w:rFonts w:asciiTheme="minorHAnsi" w:hAnsiTheme="minorHAnsi" w:cstheme="minorHAnsi"/>
          <w:bCs/>
          <w:vertAlign w:val="superscript"/>
          <w:lang w:val="fr-FR"/>
        </w:rPr>
        <w:t>er</w:t>
      </w:r>
      <w:r w:rsidR="00A711E0" w:rsidRPr="00C73365">
        <w:rPr>
          <w:rFonts w:asciiTheme="minorHAnsi" w:hAnsiTheme="minorHAnsi" w:cstheme="minorHAnsi"/>
          <w:bCs/>
          <w:lang w:val="fr-FR"/>
        </w:rPr>
        <w:t xml:space="preserve"> </w:t>
      </w:r>
      <w:r w:rsidRPr="00C73365">
        <w:rPr>
          <w:rFonts w:asciiTheme="minorHAnsi" w:hAnsiTheme="minorHAnsi" w:cstheme="minorHAnsi"/>
          <w:bCs/>
          <w:lang w:val="fr-FR"/>
        </w:rPr>
        <w:t xml:space="preserve">et le </w:t>
      </w:r>
      <w:r w:rsidR="00A711E0" w:rsidRPr="00C73365">
        <w:rPr>
          <w:rFonts w:asciiTheme="minorHAnsi" w:hAnsiTheme="minorHAnsi" w:cstheme="minorHAnsi"/>
          <w:bCs/>
          <w:lang w:val="fr-FR"/>
        </w:rPr>
        <w:t>28</w:t>
      </w:r>
      <w:r w:rsidR="00A711E0" w:rsidRPr="00C73365">
        <w:rPr>
          <w:rFonts w:asciiTheme="minorHAnsi" w:hAnsiTheme="minorHAnsi" w:cstheme="minorHAnsi"/>
          <w:bCs/>
          <w:vertAlign w:val="superscript"/>
          <w:lang w:val="fr-FR"/>
        </w:rPr>
        <w:t>ème</w:t>
      </w:r>
      <w:r w:rsidR="00A711E0" w:rsidRPr="00C73365">
        <w:rPr>
          <w:rFonts w:asciiTheme="minorHAnsi" w:hAnsiTheme="minorHAnsi" w:cstheme="minorHAnsi"/>
          <w:bCs/>
          <w:lang w:val="fr-FR"/>
        </w:rPr>
        <w:t xml:space="preserve"> </w:t>
      </w:r>
      <w:r w:rsidRPr="00C73365">
        <w:rPr>
          <w:rFonts w:asciiTheme="minorHAnsi" w:hAnsiTheme="minorHAnsi" w:cstheme="minorHAnsi"/>
          <w:bCs/>
          <w:lang w:val="fr-FR"/>
        </w:rPr>
        <w:t>jour de traitement. La médiane des 9 patients est passée de 191 copies/million de cellules CD4+ à 116 copies/million de cellules CD4+</w:t>
      </w:r>
      <w:r w:rsidR="00A711E0" w:rsidRPr="00C73365">
        <w:rPr>
          <w:rFonts w:asciiTheme="minorHAnsi" w:hAnsiTheme="minorHAnsi" w:cstheme="minorHAnsi"/>
          <w:bCs/>
          <w:lang w:val="fr-FR"/>
        </w:rPr>
        <w:t xml:space="preserve"> soit </w:t>
      </w:r>
      <w:r w:rsidRPr="00C73365">
        <w:rPr>
          <w:rFonts w:asciiTheme="minorHAnsi" w:hAnsiTheme="minorHAnsi" w:cstheme="minorHAnsi"/>
          <w:bCs/>
          <w:lang w:val="fr-FR"/>
        </w:rPr>
        <w:t>une diminution statistiquement significative (p&lt;0.01) de l’ADN viral dans les cellules de sang périphériques CD4+.</w:t>
      </w:r>
      <w:r w:rsidR="00720F91" w:rsidRPr="00C73365">
        <w:rPr>
          <w:rFonts w:asciiTheme="minorHAnsi" w:hAnsiTheme="minorHAnsi" w:cstheme="minorHAnsi"/>
          <w:bCs/>
          <w:lang w:val="fr-FR"/>
        </w:rPr>
        <w:t xml:space="preserve"> </w:t>
      </w:r>
      <w:r w:rsidRPr="00C73365">
        <w:rPr>
          <w:rFonts w:asciiTheme="minorHAnsi" w:hAnsiTheme="minorHAnsi" w:cstheme="minorHAnsi"/>
          <w:bCs/>
          <w:lang w:val="fr-FR"/>
        </w:rPr>
        <w:t xml:space="preserve">Un deuxième groupe de patients recevant une dose de 50mg d’ABX464 pendant 84 jours en plus de leur traitement antirétroviral est en cours de recrutement. Les résultats préliminaires de ce deuxième groupe sont attendus </w:t>
      </w:r>
      <w:r w:rsidR="00D8150A" w:rsidRPr="00C73365">
        <w:rPr>
          <w:rFonts w:asciiTheme="minorHAnsi" w:hAnsiTheme="minorHAnsi" w:cstheme="minorHAnsi"/>
          <w:bCs/>
          <w:lang w:val="fr-FR"/>
        </w:rPr>
        <w:t xml:space="preserve">au </w:t>
      </w:r>
      <w:r w:rsidR="003704A6">
        <w:rPr>
          <w:rFonts w:asciiTheme="minorHAnsi" w:hAnsiTheme="minorHAnsi" w:cstheme="minorHAnsi"/>
          <w:bCs/>
          <w:lang w:val="fr-FR"/>
        </w:rPr>
        <w:t>début</w:t>
      </w:r>
      <w:r w:rsidR="00D8150A" w:rsidRPr="00C73365">
        <w:rPr>
          <w:rFonts w:asciiTheme="minorHAnsi" w:hAnsiTheme="minorHAnsi" w:cstheme="minorHAnsi"/>
          <w:bCs/>
          <w:lang w:val="fr-FR"/>
        </w:rPr>
        <w:t xml:space="preserve"> du 3</w:t>
      </w:r>
      <w:r w:rsidR="00D8150A" w:rsidRPr="00C73365">
        <w:rPr>
          <w:rFonts w:asciiTheme="minorHAnsi" w:hAnsiTheme="minorHAnsi" w:cstheme="minorHAnsi"/>
          <w:bCs/>
          <w:vertAlign w:val="superscript"/>
          <w:lang w:val="fr-FR"/>
        </w:rPr>
        <w:t>ème</w:t>
      </w:r>
      <w:r w:rsidR="00D8150A" w:rsidRPr="00C73365">
        <w:rPr>
          <w:rFonts w:asciiTheme="minorHAnsi" w:hAnsiTheme="minorHAnsi" w:cstheme="minorHAnsi"/>
          <w:bCs/>
          <w:lang w:val="fr-FR"/>
        </w:rPr>
        <w:t xml:space="preserve"> trimestre 2018</w:t>
      </w:r>
      <w:r w:rsidRPr="00C73365">
        <w:rPr>
          <w:rFonts w:asciiTheme="minorHAnsi" w:hAnsiTheme="minorHAnsi" w:cstheme="minorHAnsi"/>
          <w:bCs/>
          <w:lang w:val="fr-FR"/>
        </w:rPr>
        <w:t>.</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Les résultats des études ABX464-004 et 005 sont de nature à justifier le démarrage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une étude</w:t>
      </w:r>
      <w:r w:rsidR="0049650C" w:rsidRPr="00C73365">
        <w:rPr>
          <w:rFonts w:asciiTheme="minorHAnsi" w:hAnsiTheme="minorHAnsi" w:cstheme="minorHAnsi"/>
          <w:szCs w:val="20"/>
          <w:lang w:val="fr-FR"/>
        </w:rPr>
        <w:t xml:space="preserve"> clinique</w:t>
      </w:r>
      <w:r w:rsidRPr="00C73365">
        <w:rPr>
          <w:rFonts w:asciiTheme="minorHAnsi" w:hAnsiTheme="minorHAnsi" w:cstheme="minorHAnsi"/>
          <w:szCs w:val="20"/>
          <w:lang w:val="fr-FR"/>
        </w:rPr>
        <w:t xml:space="preserve"> de phase IIb (ABX464-006) en Europe et aux Etats-Unis</w:t>
      </w:r>
      <w:r w:rsidR="0049650C" w:rsidRPr="00C73365">
        <w:rPr>
          <w:rFonts w:asciiTheme="minorHAnsi" w:hAnsiTheme="minorHAnsi" w:cstheme="minorHAnsi"/>
          <w:szCs w:val="20"/>
          <w:lang w:val="fr-FR"/>
        </w:rPr>
        <w:t xml:space="preserve"> </w:t>
      </w:r>
      <w:r w:rsidR="00CA7218" w:rsidRPr="00C73365">
        <w:rPr>
          <w:rFonts w:asciiTheme="minorHAnsi" w:hAnsiTheme="minorHAnsi" w:cstheme="minorHAnsi"/>
          <w:szCs w:val="20"/>
          <w:lang w:val="fr-FR"/>
        </w:rPr>
        <w:t xml:space="preserve">avant </w:t>
      </w:r>
      <w:r w:rsidR="0049650C" w:rsidRPr="00C73365">
        <w:rPr>
          <w:rFonts w:asciiTheme="minorHAnsi" w:hAnsiTheme="minorHAnsi" w:cstheme="minorHAnsi"/>
          <w:szCs w:val="20"/>
          <w:lang w:val="fr-FR"/>
        </w:rPr>
        <w:t xml:space="preserve">fin </w:t>
      </w:r>
      <w:r w:rsidRPr="00C73365">
        <w:rPr>
          <w:rFonts w:asciiTheme="minorHAnsi" w:hAnsiTheme="minorHAnsi" w:cstheme="minorHAnsi"/>
          <w:szCs w:val="20"/>
          <w:lang w:val="fr-FR"/>
        </w:rPr>
        <w:t>2018.</w:t>
      </w:r>
      <w:r w:rsidR="00894396"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 xml:space="preserve">En conséquence, </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xml:space="preserve"> prévoit de soumettre en</w:t>
      </w:r>
      <w:r w:rsidR="00CA7218"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2018 une demande d’IND (Investigational New Drug) auprès de la Food and Drug Administration (FDA) qui permettrait la conduite de l’étude de phase IIb (ABX464-006) aux Etats-Unis</w:t>
      </w:r>
      <w:r w:rsidR="0049650C" w:rsidRPr="00C73365">
        <w:rPr>
          <w:rFonts w:asciiTheme="minorHAnsi" w:hAnsiTheme="minorHAnsi" w:cstheme="minorHAnsi"/>
          <w:szCs w:val="20"/>
          <w:lang w:val="fr-FR"/>
        </w:rPr>
        <w:t xml:space="preserve"> ouvrant ainsi le premier jalon de la phase IIb</w:t>
      </w:r>
      <w:r w:rsidRPr="00C73365">
        <w:rPr>
          <w:rFonts w:asciiTheme="minorHAnsi" w:hAnsiTheme="minorHAnsi" w:cstheme="minorHAnsi"/>
          <w:szCs w:val="20"/>
          <w:lang w:val="fr-FR"/>
        </w:rPr>
        <w:t>.</w:t>
      </w:r>
    </w:p>
    <w:p w:rsidR="000161A1" w:rsidRPr="00E66FAB" w:rsidRDefault="000161A1" w:rsidP="004572A0">
      <w:pPr>
        <w:pStyle w:val="ListBullet2"/>
        <w:rPr>
          <w:rFonts w:asciiTheme="minorHAnsi" w:hAnsiTheme="minorHAnsi" w:cstheme="minorHAnsi"/>
          <w:lang w:val="fr-FR"/>
        </w:rPr>
      </w:pPr>
      <w:r w:rsidRPr="00E66FAB">
        <w:rPr>
          <w:rFonts w:asciiTheme="minorHAnsi" w:hAnsiTheme="minorHAnsi" w:cstheme="minorHAnsi"/>
          <w:lang w:val="fr-FR"/>
        </w:rPr>
        <w:t xml:space="preserve">ABX464 présente également un fort effet anti-inflammatoire dans des modèles précliniques. </w:t>
      </w:r>
      <w:r w:rsidR="00EF089C" w:rsidRPr="00E66FAB">
        <w:rPr>
          <w:rFonts w:asciiTheme="minorHAnsi" w:hAnsiTheme="minorHAnsi" w:cstheme="minorHAnsi"/>
          <w:lang w:val="fr-FR"/>
        </w:rPr>
        <w:t>ABIVAX</w:t>
      </w:r>
      <w:r w:rsidRPr="00E66FAB">
        <w:rPr>
          <w:rFonts w:asciiTheme="minorHAnsi" w:hAnsiTheme="minorHAnsi" w:cstheme="minorHAnsi"/>
          <w:lang w:val="fr-FR"/>
        </w:rPr>
        <w:t xml:space="preserve"> a initié une étude de Phase IIa dans la Rectocolite Hémorragique (RCH) ; une Maladie Inflammatoire Chronique de l’Intestin (MICI) ou Inflammatory Bowel Disease (IBD)</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De nouvelles données précliniques ont démontré un fort effet anti-inflammatoire</w:t>
      </w:r>
      <w:r w:rsidR="008F54DD" w:rsidRPr="00C73365">
        <w:rPr>
          <w:rFonts w:asciiTheme="minorHAnsi" w:hAnsiTheme="minorHAnsi" w:cstheme="minorHAnsi"/>
          <w:szCs w:val="20"/>
          <w:lang w:val="fr-FR"/>
        </w:rPr>
        <w:t xml:space="preserve"> d’ABX464</w:t>
      </w:r>
      <w:r w:rsidRPr="00C73365">
        <w:rPr>
          <w:rFonts w:asciiTheme="minorHAnsi" w:hAnsiTheme="minorHAnsi" w:cstheme="minorHAnsi"/>
          <w:szCs w:val="20"/>
          <w:lang w:val="fr-FR"/>
        </w:rPr>
        <w:t>. Dans les macrophages, il a été mis en évidence que cet effet était attribuable à une multiplication par 50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expression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IL-22, une cytokine connue pour être un puissant inhibiteur des processus inflammatoires.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inflammation est un élément clé des pathologies observées, non seulement dans le VIH, mais également dans de nombreuses maladies telles</w:t>
      </w:r>
      <w:r w:rsidR="009B399D">
        <w:rPr>
          <w:rFonts w:asciiTheme="minorHAnsi" w:hAnsiTheme="minorHAnsi" w:cstheme="minorHAnsi"/>
          <w:szCs w:val="20"/>
          <w:lang w:val="fr-FR"/>
        </w:rPr>
        <w:t xml:space="preserve"> que</w:t>
      </w:r>
      <w:r w:rsidRPr="00C73365">
        <w:rPr>
          <w:rFonts w:asciiTheme="minorHAnsi" w:hAnsiTheme="minorHAnsi" w:cstheme="minorHAnsi"/>
          <w:szCs w:val="20"/>
          <w:lang w:val="fr-FR"/>
        </w:rPr>
        <w:t xml:space="preserve"> la Maladie Inflammatoire Chronique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Intestin (MICI) ou Inflammatory Bowel Disease (IBD) (dont la Rectocolite Hémorragique et la maladie de Crohn</w:t>
      </w:r>
      <w:r w:rsidR="008F54DD" w:rsidRPr="00C73365">
        <w:rPr>
          <w:rFonts w:asciiTheme="minorHAnsi" w:hAnsiTheme="minorHAnsi" w:cstheme="minorHAnsi"/>
          <w:szCs w:val="20"/>
          <w:lang w:val="fr-FR"/>
        </w:rPr>
        <w:t xml:space="preserve"> par exemple</w:t>
      </w:r>
      <w:r w:rsidRPr="00C73365">
        <w:rPr>
          <w:rFonts w:asciiTheme="minorHAnsi" w:hAnsiTheme="minorHAnsi" w:cstheme="minorHAnsi"/>
          <w:szCs w:val="20"/>
          <w:lang w:val="fr-FR"/>
        </w:rPr>
        <w:t>). ABX464 a démontré un effet durable sur la prévention de symptômes typiquement observés dans le cas de colite inflammatoire (</w:t>
      </w:r>
      <w:r w:rsidR="008F54DD" w:rsidRPr="00C73365">
        <w:rPr>
          <w:rFonts w:asciiTheme="minorHAnsi" w:hAnsiTheme="minorHAnsi" w:cstheme="minorHAnsi"/>
          <w:szCs w:val="20"/>
          <w:lang w:val="fr-FR"/>
        </w:rPr>
        <w:t xml:space="preserve">avec </w:t>
      </w:r>
      <w:r w:rsidRPr="00C73365">
        <w:rPr>
          <w:rFonts w:asciiTheme="minorHAnsi" w:hAnsiTheme="minorHAnsi" w:cstheme="minorHAnsi"/>
          <w:szCs w:val="20"/>
          <w:lang w:val="fr-FR"/>
        </w:rPr>
        <w:t>des modifications histologiques) dans des modèles murins de maladie inflammatoire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intestin.</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Sur la base de ces résultats, la société a initié au cours du </w:t>
      </w:r>
      <w:r w:rsidR="00427AAE" w:rsidRPr="00C73365">
        <w:rPr>
          <w:rFonts w:asciiTheme="minorHAnsi" w:hAnsiTheme="minorHAnsi" w:cstheme="minorHAnsi"/>
          <w:szCs w:val="20"/>
          <w:lang w:val="fr-FR"/>
        </w:rPr>
        <w:t>3</w:t>
      </w:r>
      <w:r w:rsidR="00427AAE" w:rsidRPr="00C73365">
        <w:rPr>
          <w:rFonts w:asciiTheme="minorHAnsi" w:hAnsiTheme="minorHAnsi" w:cstheme="minorHAnsi"/>
          <w:szCs w:val="20"/>
          <w:vertAlign w:val="superscript"/>
          <w:lang w:val="fr-FR"/>
        </w:rPr>
        <w:t>ème</w:t>
      </w:r>
      <w:r w:rsidR="00427AAE"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 xml:space="preserve">trimestre 2017 une étude clinique de preuve de concept </w:t>
      </w:r>
      <w:r w:rsidRPr="00C73365">
        <w:rPr>
          <w:rFonts w:asciiTheme="minorHAnsi" w:hAnsiTheme="minorHAnsi" w:cstheme="minorHAnsi"/>
          <w:b/>
          <w:szCs w:val="20"/>
          <w:lang w:val="fr-FR"/>
        </w:rPr>
        <w:t>ABX464-101</w:t>
      </w:r>
      <w:r w:rsidRPr="00C73365">
        <w:rPr>
          <w:rFonts w:asciiTheme="minorHAnsi" w:hAnsiTheme="minorHAnsi" w:cstheme="minorHAnsi"/>
          <w:szCs w:val="20"/>
          <w:lang w:val="fr-FR"/>
        </w:rPr>
        <w:t xml:space="preserve">. Cette étude est conduite dans 8 pays européens (France, Belgique, Allemagne, Espagne, Autriche, République tchèque, Hongrie et Pologne) et évalue </w:t>
      </w:r>
      <w:r w:rsidR="008F54DD" w:rsidRPr="00C73365">
        <w:rPr>
          <w:rFonts w:asciiTheme="minorHAnsi" w:hAnsiTheme="minorHAnsi" w:cstheme="minorHAnsi"/>
          <w:szCs w:val="20"/>
          <w:lang w:val="fr-FR"/>
        </w:rPr>
        <w:t>l</w:t>
      </w:r>
      <w:r w:rsidRPr="00C73365">
        <w:rPr>
          <w:rFonts w:asciiTheme="minorHAnsi" w:hAnsiTheme="minorHAnsi" w:cstheme="minorHAnsi"/>
          <w:szCs w:val="20"/>
          <w:lang w:val="fr-FR"/>
        </w:rPr>
        <w:t xml:space="preserve">’activité et la tolérance d’ABX464 à la dose de 50mg par jour administré durant 8 semaines chez des patients atteints d’une rectocolite hémorragique active et résistante aux </w:t>
      </w:r>
      <w:r w:rsidRPr="00C73365">
        <w:rPr>
          <w:rFonts w:asciiTheme="minorHAnsi" w:hAnsiTheme="minorHAnsi" w:cstheme="minorHAnsi"/>
          <w:szCs w:val="20"/>
          <w:lang w:val="fr-FR"/>
        </w:rPr>
        <w:lastRenderedPageBreak/>
        <w:t>traitements actuels. Le premier patient a été inclus en Novembre 2017.</w:t>
      </w:r>
      <w:r w:rsidR="008F54DD"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 xml:space="preserve">Les résultats de cette étude clinique d’induction sont attendus en </w:t>
      </w:r>
      <w:r w:rsidR="00E73A7C">
        <w:rPr>
          <w:rFonts w:asciiTheme="minorHAnsi" w:hAnsiTheme="minorHAnsi" w:cstheme="minorHAnsi"/>
          <w:szCs w:val="20"/>
          <w:lang w:val="fr-FR"/>
        </w:rPr>
        <w:t>septembre</w:t>
      </w:r>
      <w:r w:rsidRPr="00C73365">
        <w:rPr>
          <w:rFonts w:asciiTheme="minorHAnsi" w:hAnsiTheme="minorHAnsi" w:cstheme="minorHAnsi"/>
          <w:szCs w:val="20"/>
          <w:lang w:val="fr-FR"/>
        </w:rPr>
        <w:t xml:space="preserve"> 2018.</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Cette étude d’induction est suivie d’une étude de maintenance</w:t>
      </w:r>
      <w:r w:rsidR="00451F56" w:rsidRPr="00C73365">
        <w:rPr>
          <w:rFonts w:asciiTheme="minorHAnsi" w:hAnsiTheme="minorHAnsi" w:cstheme="minorHAnsi"/>
          <w:szCs w:val="20"/>
          <w:lang w:val="fr-FR"/>
        </w:rPr>
        <w:t xml:space="preserve">, </w:t>
      </w:r>
      <w:r w:rsidR="00451F56" w:rsidRPr="00C73365">
        <w:rPr>
          <w:rFonts w:asciiTheme="minorHAnsi" w:hAnsiTheme="minorHAnsi" w:cstheme="minorHAnsi"/>
          <w:b/>
          <w:szCs w:val="20"/>
          <w:lang w:val="fr-FR"/>
        </w:rPr>
        <w:t>ABX464-102,</w:t>
      </w:r>
      <w:r w:rsidRPr="00C73365">
        <w:rPr>
          <w:rFonts w:asciiTheme="minorHAnsi" w:hAnsiTheme="minorHAnsi" w:cstheme="minorHAnsi"/>
          <w:szCs w:val="20"/>
          <w:lang w:val="fr-FR"/>
        </w:rPr>
        <w:t xml:space="preserve"> offrant la possibilité aux patients d’être traité</w:t>
      </w:r>
      <w:r w:rsidR="00F53425">
        <w:rPr>
          <w:rFonts w:asciiTheme="minorHAnsi" w:hAnsiTheme="minorHAnsi" w:cstheme="minorHAnsi"/>
          <w:szCs w:val="20"/>
          <w:lang w:val="fr-FR"/>
        </w:rPr>
        <w:t>s</w:t>
      </w:r>
      <w:r w:rsidRPr="00C73365">
        <w:rPr>
          <w:rFonts w:asciiTheme="minorHAnsi" w:hAnsiTheme="minorHAnsi" w:cstheme="minorHAnsi"/>
          <w:szCs w:val="20"/>
          <w:lang w:val="fr-FR"/>
        </w:rPr>
        <w:t xml:space="preserve"> par ABX464 pendant une période d’une année. Cette étude évaluera la tolérance et l’efficacité au long cours d’ABX464 chez</w:t>
      </w:r>
      <w:r w:rsidR="008F54DD" w:rsidRPr="00C73365">
        <w:rPr>
          <w:rFonts w:asciiTheme="minorHAnsi" w:hAnsiTheme="minorHAnsi" w:cstheme="minorHAnsi"/>
          <w:szCs w:val="20"/>
          <w:lang w:val="fr-FR"/>
        </w:rPr>
        <w:t xml:space="preserve"> les</w:t>
      </w:r>
      <w:r w:rsidRPr="00C73365">
        <w:rPr>
          <w:rFonts w:asciiTheme="minorHAnsi" w:hAnsiTheme="minorHAnsi" w:cstheme="minorHAnsi"/>
          <w:szCs w:val="20"/>
          <w:lang w:val="fr-FR"/>
        </w:rPr>
        <w:t xml:space="preserve"> patients atteints d’une rectocolite hémorragique active et résistante aux traitements actuels.</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Les résultats de cette étude clinique de maintenance sont attendus </w:t>
      </w:r>
      <w:r w:rsidR="00D8150A" w:rsidRPr="00C73365">
        <w:rPr>
          <w:rFonts w:asciiTheme="minorHAnsi" w:hAnsiTheme="minorHAnsi" w:cstheme="minorHAnsi"/>
          <w:szCs w:val="20"/>
          <w:lang w:val="fr-FR"/>
        </w:rPr>
        <w:t>pour mi-2019</w:t>
      </w:r>
      <w:r w:rsidRPr="00C73365">
        <w:rPr>
          <w:rFonts w:asciiTheme="minorHAnsi" w:hAnsiTheme="minorHAnsi" w:cstheme="minorHAnsi"/>
          <w:szCs w:val="20"/>
          <w:lang w:val="fr-FR"/>
        </w:rPr>
        <w:t>.</w:t>
      </w:r>
    </w:p>
    <w:p w:rsidR="000F1ED8" w:rsidRPr="00C73365" w:rsidRDefault="004572A0" w:rsidP="00A96CCA">
      <w:pPr>
        <w:pStyle w:val="NormalWeb"/>
        <w:spacing w:before="0" w:beforeAutospacing="0" w:after="120" w:afterAutospacing="0"/>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w:t>
      </w:r>
      <w:r w:rsidRPr="00C73365">
        <w:rPr>
          <w:rFonts w:asciiTheme="minorHAnsi" w:hAnsiTheme="minorHAnsi" w:cstheme="minorHAnsi"/>
          <w:b/>
          <w:color w:val="7030A0"/>
          <w:szCs w:val="22"/>
          <w:lang w:val="fr-FR"/>
        </w:rPr>
        <w:tab/>
      </w:r>
      <w:r w:rsidR="000F1ED8" w:rsidRPr="00C73365">
        <w:rPr>
          <w:rFonts w:asciiTheme="minorHAnsi" w:hAnsiTheme="minorHAnsi" w:cstheme="minorHAnsi"/>
          <w:b/>
          <w:color w:val="7030A0"/>
          <w:szCs w:val="22"/>
          <w:lang w:val="fr-FR"/>
        </w:rPr>
        <w:t>Découverte de nouvelles molécules antivirales qui présentent le potentiel de traiter le virus de la Dengue</w:t>
      </w:r>
      <w:r w:rsidR="00E7732D">
        <w:rPr>
          <w:rFonts w:asciiTheme="minorHAnsi" w:hAnsiTheme="minorHAnsi" w:cstheme="minorHAnsi"/>
          <w:b/>
          <w:color w:val="7030A0"/>
          <w:szCs w:val="22"/>
          <w:lang w:val="fr-FR"/>
        </w:rPr>
        <w:t xml:space="preserve">, </w:t>
      </w:r>
      <w:r w:rsidR="00CA7218" w:rsidRPr="00C73365">
        <w:rPr>
          <w:rFonts w:asciiTheme="minorHAnsi" w:hAnsiTheme="minorHAnsi" w:cstheme="minorHAnsi"/>
          <w:b/>
          <w:color w:val="7030A0"/>
          <w:szCs w:val="22"/>
          <w:lang w:val="fr-FR"/>
        </w:rPr>
        <w:t>le Virus Respiratoire Syncitial</w:t>
      </w:r>
      <w:r w:rsidR="00E7732D">
        <w:rPr>
          <w:rFonts w:asciiTheme="minorHAnsi" w:hAnsiTheme="minorHAnsi" w:cstheme="minorHAnsi"/>
          <w:b/>
          <w:color w:val="7030A0"/>
          <w:szCs w:val="22"/>
          <w:lang w:val="fr-FR"/>
        </w:rPr>
        <w:t xml:space="preserve"> (VRS) ou la </w:t>
      </w:r>
      <w:r w:rsidR="008F3550">
        <w:rPr>
          <w:rFonts w:asciiTheme="minorHAnsi" w:hAnsiTheme="minorHAnsi" w:cstheme="minorHAnsi"/>
          <w:b/>
          <w:color w:val="7030A0"/>
          <w:szCs w:val="22"/>
          <w:lang w:val="fr-FR"/>
        </w:rPr>
        <w:t xml:space="preserve">grippe </w:t>
      </w:r>
      <w:r w:rsidR="008F3550" w:rsidRPr="00C73365">
        <w:rPr>
          <w:rFonts w:asciiTheme="minorHAnsi" w:hAnsiTheme="minorHAnsi" w:cstheme="minorHAnsi"/>
          <w:b/>
          <w:color w:val="7030A0"/>
          <w:szCs w:val="22"/>
          <w:lang w:val="fr-FR"/>
        </w:rPr>
        <w:t>(</w:t>
      </w:r>
      <w:r w:rsidR="000F1ED8" w:rsidRPr="00C73365">
        <w:rPr>
          <w:rFonts w:asciiTheme="minorHAnsi" w:hAnsiTheme="minorHAnsi" w:cstheme="minorHAnsi"/>
          <w:b/>
          <w:color w:val="7030A0"/>
          <w:szCs w:val="22"/>
          <w:lang w:val="fr-FR"/>
        </w:rPr>
        <w:t>plateforme « Antivirale »)</w:t>
      </w:r>
    </w:p>
    <w:p w:rsidR="000F1ED8" w:rsidRPr="00C73365" w:rsidRDefault="00EF089C" w:rsidP="00A96CCA">
      <w:pPr>
        <w:pStyle w:val="NormalWeb"/>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ABIVAX</w:t>
      </w:r>
      <w:r w:rsidR="000F1ED8" w:rsidRPr="00C73365">
        <w:rPr>
          <w:rFonts w:asciiTheme="minorHAnsi" w:hAnsiTheme="minorHAnsi" w:cstheme="minorHAnsi"/>
          <w:szCs w:val="20"/>
          <w:lang w:val="fr-FR"/>
        </w:rPr>
        <w:t xml:space="preserve"> est actuellement en train d</w:t>
      </w:r>
      <w:r w:rsidR="004572A0" w:rsidRPr="00C73365">
        <w:rPr>
          <w:rFonts w:asciiTheme="minorHAnsi" w:hAnsiTheme="minorHAnsi" w:cstheme="minorHAnsi"/>
          <w:szCs w:val="20"/>
          <w:lang w:val="fr-FR"/>
        </w:rPr>
        <w:t>’</w:t>
      </w:r>
      <w:r w:rsidR="000F1ED8" w:rsidRPr="00C73365">
        <w:rPr>
          <w:rFonts w:asciiTheme="minorHAnsi" w:hAnsiTheme="minorHAnsi" w:cstheme="minorHAnsi"/>
          <w:szCs w:val="20"/>
          <w:lang w:val="fr-FR"/>
        </w:rPr>
        <w:t xml:space="preserve">explorer sa chimiothèque ciblée de petites molécules dans le but de découvrir et de développer un candidat médicament antiviral contre la fièvre de la </w:t>
      </w:r>
      <w:r w:rsidR="008F54DD" w:rsidRPr="00C73365">
        <w:rPr>
          <w:rFonts w:asciiTheme="minorHAnsi" w:hAnsiTheme="minorHAnsi" w:cstheme="minorHAnsi"/>
          <w:szCs w:val="20"/>
          <w:lang w:val="fr-FR"/>
        </w:rPr>
        <w:t>d</w:t>
      </w:r>
      <w:r w:rsidR="000F1ED8" w:rsidRPr="00C73365">
        <w:rPr>
          <w:rFonts w:asciiTheme="minorHAnsi" w:hAnsiTheme="minorHAnsi" w:cstheme="minorHAnsi"/>
          <w:szCs w:val="20"/>
          <w:lang w:val="fr-FR"/>
        </w:rPr>
        <w:t>engue</w:t>
      </w:r>
      <w:r w:rsidR="00E7732D">
        <w:rPr>
          <w:rFonts w:asciiTheme="minorHAnsi" w:hAnsiTheme="minorHAnsi" w:cstheme="minorHAnsi"/>
          <w:szCs w:val="20"/>
          <w:lang w:val="fr-FR"/>
        </w:rPr>
        <w:t xml:space="preserve">, le VRS et la </w:t>
      </w:r>
      <w:r w:rsidR="00E7732D" w:rsidRPr="00841414">
        <w:rPr>
          <w:rFonts w:asciiTheme="minorHAnsi" w:hAnsiTheme="minorHAnsi" w:cstheme="minorHAnsi"/>
          <w:szCs w:val="20"/>
          <w:lang w:val="fr-FR"/>
        </w:rPr>
        <w:t>grippe</w:t>
      </w:r>
      <w:r w:rsidR="000F1ED8" w:rsidRPr="00841414">
        <w:rPr>
          <w:rFonts w:asciiTheme="minorHAnsi" w:hAnsiTheme="minorHAnsi" w:cstheme="minorHAnsi"/>
          <w:szCs w:val="20"/>
          <w:lang w:val="fr-FR"/>
        </w:rPr>
        <w:t xml:space="preserve">. </w:t>
      </w:r>
      <w:r w:rsidR="008F3550" w:rsidRPr="00841414">
        <w:rPr>
          <w:rFonts w:asciiTheme="minorHAnsi" w:hAnsiTheme="minorHAnsi" w:cstheme="minorHAnsi"/>
          <w:szCs w:val="20"/>
          <w:lang w:val="fr-FR"/>
        </w:rPr>
        <w:t xml:space="preserve">Concernant la fièvre de la dengue, </w:t>
      </w:r>
      <w:r w:rsidRPr="00841414">
        <w:rPr>
          <w:rFonts w:asciiTheme="minorHAnsi" w:hAnsiTheme="minorHAnsi" w:cstheme="minorHAnsi"/>
          <w:szCs w:val="20"/>
          <w:lang w:val="fr-FR"/>
        </w:rPr>
        <w:t>ABIVAX</w:t>
      </w:r>
      <w:r w:rsidR="000F1ED8" w:rsidRPr="00841414">
        <w:rPr>
          <w:rFonts w:asciiTheme="minorHAnsi" w:hAnsiTheme="minorHAnsi" w:cstheme="minorHAnsi"/>
          <w:szCs w:val="20"/>
          <w:lang w:val="fr-FR"/>
        </w:rPr>
        <w:t xml:space="preserve"> a récemment découvert plusieurs molécules qui sont actives contre le sérotype 2 et </w:t>
      </w:r>
      <w:r w:rsidR="008F3550" w:rsidRPr="00841414">
        <w:rPr>
          <w:rFonts w:asciiTheme="minorHAnsi" w:hAnsiTheme="minorHAnsi" w:cstheme="minorHAnsi"/>
          <w:szCs w:val="20"/>
          <w:lang w:val="fr-FR"/>
        </w:rPr>
        <w:t xml:space="preserve">a confirmé </w:t>
      </w:r>
      <w:r w:rsidR="000F1ED8" w:rsidRPr="00841414">
        <w:rPr>
          <w:rFonts w:asciiTheme="minorHAnsi" w:hAnsiTheme="minorHAnsi" w:cstheme="minorHAnsi"/>
          <w:szCs w:val="20"/>
          <w:lang w:val="fr-FR"/>
        </w:rPr>
        <w:t>l</w:t>
      </w:r>
      <w:r w:rsidR="008F3550" w:rsidRPr="00841414">
        <w:rPr>
          <w:rFonts w:asciiTheme="minorHAnsi" w:hAnsiTheme="minorHAnsi" w:cstheme="minorHAnsi"/>
          <w:szCs w:val="20"/>
          <w:lang w:val="fr-FR"/>
        </w:rPr>
        <w:t>a</w:t>
      </w:r>
      <w:r w:rsidR="000F1ED8" w:rsidRPr="00841414">
        <w:rPr>
          <w:rFonts w:asciiTheme="minorHAnsi" w:hAnsiTheme="minorHAnsi" w:cstheme="minorHAnsi"/>
          <w:szCs w:val="20"/>
          <w:lang w:val="fr-FR"/>
        </w:rPr>
        <w:t xml:space="preserve"> capacité</w:t>
      </w:r>
      <w:r w:rsidR="008F3550" w:rsidRPr="00841414">
        <w:rPr>
          <w:rFonts w:asciiTheme="minorHAnsi" w:hAnsiTheme="minorHAnsi" w:cstheme="minorHAnsi"/>
          <w:szCs w:val="20"/>
          <w:lang w:val="fr-FR"/>
        </w:rPr>
        <w:t xml:space="preserve"> de certaines</w:t>
      </w:r>
      <w:r w:rsidR="000F1ED8" w:rsidRPr="00841414">
        <w:rPr>
          <w:rFonts w:asciiTheme="minorHAnsi" w:hAnsiTheme="minorHAnsi" w:cstheme="minorHAnsi"/>
          <w:szCs w:val="20"/>
          <w:lang w:val="fr-FR"/>
        </w:rPr>
        <w:t xml:space="preserve"> à inhiber </w:t>
      </w:r>
      <w:r w:rsidR="008F3550" w:rsidRPr="00841414">
        <w:rPr>
          <w:rFonts w:asciiTheme="minorHAnsi" w:hAnsiTheme="minorHAnsi" w:cstheme="minorHAnsi"/>
          <w:szCs w:val="20"/>
          <w:lang w:val="fr-FR"/>
        </w:rPr>
        <w:t xml:space="preserve">également </w:t>
      </w:r>
      <w:r w:rsidR="000F1ED8" w:rsidRPr="00841414">
        <w:rPr>
          <w:rFonts w:asciiTheme="minorHAnsi" w:hAnsiTheme="minorHAnsi" w:cstheme="minorHAnsi"/>
          <w:szCs w:val="20"/>
          <w:lang w:val="fr-FR"/>
        </w:rPr>
        <w:t>la réplication de</w:t>
      </w:r>
      <w:r w:rsidR="00D21169">
        <w:rPr>
          <w:rFonts w:asciiTheme="minorHAnsi" w:hAnsiTheme="minorHAnsi" w:cstheme="minorHAnsi"/>
          <w:szCs w:val="20"/>
          <w:lang w:val="fr-FR"/>
        </w:rPr>
        <w:t>s</w:t>
      </w:r>
      <w:r w:rsidR="000F1ED8" w:rsidRPr="00841414">
        <w:rPr>
          <w:rFonts w:asciiTheme="minorHAnsi" w:hAnsiTheme="minorHAnsi" w:cstheme="minorHAnsi"/>
          <w:szCs w:val="20"/>
          <w:lang w:val="fr-FR"/>
        </w:rPr>
        <w:t xml:space="preserve"> 3 autres sérotypes du virus. </w:t>
      </w:r>
      <w:r w:rsidR="008F3550" w:rsidRPr="00841414">
        <w:rPr>
          <w:rFonts w:asciiTheme="minorHAnsi" w:hAnsiTheme="minorHAnsi" w:cstheme="minorHAnsi"/>
          <w:szCs w:val="20"/>
          <w:lang w:val="fr-FR"/>
        </w:rPr>
        <w:t>Le crible</w:t>
      </w:r>
      <w:r w:rsidR="008F3550">
        <w:rPr>
          <w:rFonts w:asciiTheme="minorHAnsi" w:hAnsiTheme="minorHAnsi" w:cstheme="minorHAnsi"/>
          <w:szCs w:val="20"/>
          <w:lang w:val="fr-FR"/>
        </w:rPr>
        <w:t xml:space="preserve"> de la chimiothèque sur le virus VRS et le virus de la grippe a permis d’identifier des molécules actives sur ces deux virus.</w:t>
      </w:r>
    </w:p>
    <w:p w:rsidR="00776BB9" w:rsidRPr="00C73365" w:rsidRDefault="00776BB9" w:rsidP="00A96CCA">
      <w:pPr>
        <w:rPr>
          <w:rFonts w:asciiTheme="minorHAnsi" w:hAnsiTheme="minorHAnsi" w:cstheme="minorHAnsi"/>
          <w:szCs w:val="20"/>
          <w:lang w:val="fr-FR"/>
        </w:rPr>
      </w:pPr>
      <w:r w:rsidRPr="00C73365">
        <w:rPr>
          <w:rFonts w:asciiTheme="minorHAnsi" w:hAnsiTheme="minorHAnsi" w:cstheme="minorHAnsi"/>
          <w:szCs w:val="20"/>
          <w:lang w:val="fr-FR"/>
        </w:rPr>
        <w:br w:type="page"/>
      </w:r>
    </w:p>
    <w:p w:rsidR="00F46C7B" w:rsidRPr="00C73365" w:rsidRDefault="00F46C7B" w:rsidP="008C1ECB">
      <w:pPr>
        <w:pStyle w:val="ConmainL2"/>
        <w:numPr>
          <w:ilvl w:val="1"/>
          <w:numId w:val="9"/>
        </w:numPr>
        <w:spacing w:after="120"/>
        <w:rPr>
          <w:rFonts w:asciiTheme="minorHAnsi" w:hAnsiTheme="minorHAnsi" w:cstheme="minorHAnsi"/>
          <w:sz w:val="22"/>
          <w:szCs w:val="22"/>
          <w:lang w:val="fr-FR"/>
        </w:rPr>
      </w:pPr>
      <w:bookmarkStart w:id="214" w:name="_Toc478134724"/>
      <w:bookmarkStart w:id="215" w:name="_Toc478459531"/>
      <w:bookmarkStart w:id="216" w:name="_Toc478554737"/>
      <w:bookmarkStart w:id="217" w:name="_Toc478715722"/>
      <w:bookmarkStart w:id="218" w:name="_Toc478730307"/>
      <w:bookmarkStart w:id="219" w:name="_Toc478731099"/>
      <w:bookmarkStart w:id="220" w:name="_Toc479947054"/>
      <w:bookmarkStart w:id="221" w:name="_Toc478134725"/>
      <w:bookmarkStart w:id="222" w:name="_Toc478459532"/>
      <w:bookmarkStart w:id="223" w:name="_Toc478554738"/>
      <w:bookmarkStart w:id="224" w:name="_Toc478715723"/>
      <w:bookmarkStart w:id="225" w:name="_Toc478730308"/>
      <w:bookmarkStart w:id="226" w:name="_Toc478731100"/>
      <w:bookmarkStart w:id="227" w:name="_Toc479947055"/>
      <w:bookmarkStart w:id="228" w:name="_Toc478134726"/>
      <w:bookmarkStart w:id="229" w:name="_Toc478459533"/>
      <w:bookmarkStart w:id="230" w:name="_Toc478554739"/>
      <w:bookmarkStart w:id="231" w:name="_Toc478715724"/>
      <w:bookmarkStart w:id="232" w:name="_Toc478730309"/>
      <w:bookmarkStart w:id="233" w:name="_Toc478731101"/>
      <w:bookmarkStart w:id="234" w:name="_Toc479947056"/>
      <w:bookmarkStart w:id="235" w:name="_Toc478134727"/>
      <w:bookmarkStart w:id="236" w:name="_Toc478459534"/>
      <w:bookmarkStart w:id="237" w:name="_Toc478554740"/>
      <w:bookmarkStart w:id="238" w:name="_Toc478715725"/>
      <w:bookmarkStart w:id="239" w:name="_Toc478730310"/>
      <w:bookmarkStart w:id="240" w:name="_Toc478731102"/>
      <w:bookmarkStart w:id="241" w:name="_Toc479947057"/>
      <w:bookmarkStart w:id="242" w:name="_Toc478134728"/>
      <w:bookmarkStart w:id="243" w:name="_Toc478459535"/>
      <w:bookmarkStart w:id="244" w:name="_Toc478554741"/>
      <w:bookmarkStart w:id="245" w:name="_Toc478715726"/>
      <w:bookmarkStart w:id="246" w:name="_Toc478730311"/>
      <w:bookmarkStart w:id="247" w:name="_Toc478731103"/>
      <w:bookmarkStart w:id="248" w:name="_Toc479947058"/>
      <w:bookmarkStart w:id="249" w:name="_Toc478134729"/>
      <w:bookmarkStart w:id="250" w:name="_Toc478459536"/>
      <w:bookmarkStart w:id="251" w:name="_Toc478554742"/>
      <w:bookmarkStart w:id="252" w:name="_Toc478715727"/>
      <w:bookmarkStart w:id="253" w:name="_Toc478730312"/>
      <w:bookmarkStart w:id="254" w:name="_Toc478731104"/>
      <w:bookmarkStart w:id="255" w:name="_Toc479947059"/>
      <w:bookmarkStart w:id="256" w:name="_Toc478134730"/>
      <w:bookmarkStart w:id="257" w:name="_Toc478459537"/>
      <w:bookmarkStart w:id="258" w:name="_Toc478554743"/>
      <w:bookmarkStart w:id="259" w:name="_Toc478715728"/>
      <w:bookmarkStart w:id="260" w:name="_Toc478730313"/>
      <w:bookmarkStart w:id="261" w:name="_Toc478731105"/>
      <w:bookmarkStart w:id="262" w:name="_Toc479947060"/>
      <w:bookmarkStart w:id="263" w:name="_Toc478134731"/>
      <w:bookmarkStart w:id="264" w:name="_Toc478459538"/>
      <w:bookmarkStart w:id="265" w:name="_Toc478554744"/>
      <w:bookmarkStart w:id="266" w:name="_Toc478715729"/>
      <w:bookmarkStart w:id="267" w:name="_Toc478730314"/>
      <w:bookmarkStart w:id="268" w:name="_Toc478731106"/>
      <w:bookmarkStart w:id="269" w:name="_Toc479947061"/>
      <w:bookmarkStart w:id="270" w:name="_Toc478134732"/>
      <w:bookmarkStart w:id="271" w:name="_Toc478459539"/>
      <w:bookmarkStart w:id="272" w:name="_Toc478554745"/>
      <w:bookmarkStart w:id="273" w:name="_Toc478715730"/>
      <w:bookmarkStart w:id="274" w:name="_Toc478730315"/>
      <w:bookmarkStart w:id="275" w:name="_Toc478731107"/>
      <w:bookmarkStart w:id="276" w:name="_Toc479947062"/>
      <w:bookmarkStart w:id="277" w:name="_Toc462673239"/>
      <w:bookmarkStart w:id="278" w:name="_Toc467835585"/>
      <w:bookmarkStart w:id="279" w:name="_Toc512863899"/>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Pr="00C73365">
        <w:rPr>
          <w:rFonts w:asciiTheme="minorHAnsi" w:hAnsiTheme="minorHAnsi" w:cstheme="minorHAnsi"/>
          <w:sz w:val="22"/>
          <w:szCs w:val="22"/>
          <w:lang w:val="fr-FR"/>
        </w:rPr>
        <w:lastRenderedPageBreak/>
        <w:t>Panorama des principaux actifs scientifiques d’</w:t>
      </w:r>
      <w:r w:rsidR="00EF089C" w:rsidRPr="00C73365">
        <w:rPr>
          <w:rFonts w:asciiTheme="minorHAnsi" w:hAnsiTheme="minorHAnsi" w:cstheme="minorHAnsi"/>
          <w:sz w:val="22"/>
          <w:szCs w:val="22"/>
          <w:lang w:val="fr-FR"/>
        </w:rPr>
        <w:t>ABIVAX</w:t>
      </w:r>
      <w:bookmarkEnd w:id="277"/>
      <w:bookmarkEnd w:id="278"/>
      <w:bookmarkEnd w:id="279"/>
    </w:p>
    <w:p w:rsidR="00513EAD" w:rsidRPr="00C73365" w:rsidRDefault="00F46C7B" w:rsidP="008C1ECB">
      <w:pPr>
        <w:pStyle w:val="ConmainL3"/>
        <w:numPr>
          <w:ilvl w:val="2"/>
          <w:numId w:val="9"/>
        </w:numPr>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Portefeuille de produits à la date d’enregistrement du présent document de référence</w:t>
      </w:r>
    </w:p>
    <w:p w:rsidR="00421CB7" w:rsidRPr="00C73365" w:rsidRDefault="00427AAE">
      <w:pPr>
        <w:rPr>
          <w:rFonts w:asciiTheme="minorHAnsi" w:hAnsiTheme="minorHAnsi" w:cstheme="minorHAnsi"/>
          <w:b/>
          <w:color w:val="7030A0"/>
          <w:szCs w:val="22"/>
          <w:lang w:val="fr-FR"/>
        </w:rPr>
      </w:pPr>
      <w:r w:rsidRPr="00C73365">
        <w:rPr>
          <w:rFonts w:asciiTheme="minorHAnsi" w:hAnsiTheme="minorHAnsi" w:cstheme="minorHAnsi"/>
          <w:noProof/>
          <w:lang w:val="fr-FR" w:eastAsia="fr-FR"/>
        </w:rPr>
        <w:drawing>
          <wp:inline distT="0" distB="0" distL="0" distR="0" wp14:anchorId="52849074" wp14:editId="42A686A9">
            <wp:extent cx="6120765" cy="3027044"/>
            <wp:effectExtent l="0" t="0" r="0" b="254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3027044"/>
                    </a:xfrm>
                    <a:prstGeom prst="rect">
                      <a:avLst/>
                    </a:prstGeom>
                    <a:noFill/>
                    <a:ln>
                      <a:noFill/>
                    </a:ln>
                  </pic:spPr>
                </pic:pic>
              </a:graphicData>
            </a:graphic>
          </wp:inline>
        </w:drawing>
      </w:r>
    </w:p>
    <w:p w:rsidR="00A42047" w:rsidRPr="00C73365" w:rsidRDefault="00C7474D" w:rsidP="004572A0">
      <w:pPr>
        <w:pStyle w:val="BodyText"/>
        <w:rPr>
          <w:rFonts w:asciiTheme="minorHAnsi" w:hAnsiTheme="minorHAnsi" w:cstheme="minorHAnsi"/>
          <w:color w:val="000000" w:themeColor="text1"/>
          <w:lang w:val="fr-FR"/>
        </w:rPr>
      </w:pPr>
      <w:r w:rsidRPr="00C73365">
        <w:rPr>
          <w:rFonts w:asciiTheme="minorHAnsi" w:hAnsiTheme="minorHAnsi" w:cstheme="minorHAnsi"/>
          <w:noProof/>
          <w:lang w:val="fr-FR" w:eastAsia="fr-FR"/>
        </w:rPr>
        <mc:AlternateContent>
          <mc:Choice Requires="wps">
            <w:drawing>
              <wp:anchor distT="0" distB="0" distL="114300" distR="114300" simplePos="0" relativeHeight="251654144" behindDoc="0" locked="0" layoutInCell="1" allowOverlap="1" wp14:anchorId="0988D70B" wp14:editId="61AE65B6">
                <wp:simplePos x="0" y="0"/>
                <wp:positionH relativeFrom="column">
                  <wp:posOffset>6200581</wp:posOffset>
                </wp:positionH>
                <wp:positionV relativeFrom="paragraph">
                  <wp:posOffset>638838</wp:posOffset>
                </wp:positionV>
                <wp:extent cx="2582333" cy="465667"/>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2582333" cy="4656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55DF" w:rsidRPr="00AA1CF7" w:rsidRDefault="00C255DF" w:rsidP="00F46C7B">
                            <w:pPr>
                              <w:rPr>
                                <w:rFonts w:asciiTheme="majorHAnsi" w:hAnsiTheme="majorHAnsi"/>
                                <w:sz w:val="16"/>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8D70B" id="Zone de texte 17" o:spid="_x0000_s1027" type="#_x0000_t202" style="position:absolute;left:0;text-align:left;margin-left:488.25pt;margin-top:50.3pt;width:203.35pt;height:36.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" filled="f" stroked="f" strokeweight=".5pt">
                <v:textbox>
                  <w:txbxContent>
                    <w:p w:rsidR="00C255DF" w:rsidRPr="00AA1CF7" w:rsidRDefault="00C255DF" w:rsidP="00F46C7B">
                      <w:pPr>
                        <w:rPr>
                          <w:rFonts w:asciiTheme="majorHAnsi" w:hAnsiTheme="majorHAnsi"/>
                          <w:sz w:val="16"/>
                          <w:lang w:val="fr-FR"/>
                        </w:rPr>
                      </w:pPr>
                    </w:p>
                  </w:txbxContent>
                </v:textbox>
              </v:shape>
            </w:pict>
          </mc:Fallback>
        </mc:AlternateContent>
      </w:r>
      <w:r w:rsidR="00421CB7" w:rsidRPr="00C73365">
        <w:rPr>
          <w:rFonts w:asciiTheme="minorHAnsi" w:hAnsiTheme="minorHAnsi" w:cstheme="minorHAnsi"/>
          <w:noProof/>
          <w:lang w:val="fr-FR" w:eastAsia="fr-FR"/>
        </w:rPr>
        <mc:AlternateContent>
          <mc:Choice Requires="wps">
            <w:drawing>
              <wp:anchor distT="0" distB="0" distL="114300" distR="114300" simplePos="0" relativeHeight="251674624" behindDoc="0" locked="0" layoutInCell="1" allowOverlap="1" wp14:anchorId="7A80D11A" wp14:editId="3AE2D86B">
                <wp:simplePos x="0" y="0"/>
                <wp:positionH relativeFrom="column">
                  <wp:posOffset>789940</wp:posOffset>
                </wp:positionH>
                <wp:positionV relativeFrom="paragraph">
                  <wp:posOffset>861968</wp:posOffset>
                </wp:positionV>
                <wp:extent cx="330200" cy="202989"/>
                <wp:effectExtent l="0" t="0" r="0" b="6985"/>
                <wp:wrapNone/>
                <wp:docPr id="226" name="Zone de texte 226"/>
                <wp:cNvGraphicFramePr/>
                <a:graphic xmlns:a="http://schemas.openxmlformats.org/drawingml/2006/main">
                  <a:graphicData uri="http://schemas.microsoft.com/office/word/2010/wordprocessingShape">
                    <wps:wsp>
                      <wps:cNvSpPr txBox="1"/>
                      <wps:spPr>
                        <a:xfrm>
                          <a:off x="0" y="0"/>
                          <a:ext cx="330200" cy="2029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55DF" w:rsidRPr="006626A5" w:rsidRDefault="00C255DF">
                            <w:pPr>
                              <w:rPr>
                                <w:color w:val="00B0F0"/>
                                <w:sz w:val="16"/>
                                <w:szCs w:val="16"/>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0D11A" id="Zone de texte 226" o:spid="_x0000_s1028" type="#_x0000_t202" style="position:absolute;left:0;text-align:left;margin-left:62.2pt;margin-top:67.85pt;width:26pt;height: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" filled="f" stroked="f" strokeweight=".5pt">
                <v:textbox>
                  <w:txbxContent>
                    <w:p w:rsidR="00C255DF" w:rsidRPr="006626A5" w:rsidRDefault="00C255DF">
                      <w:pPr>
                        <w:rPr>
                          <w:color w:val="00B0F0"/>
                          <w:sz w:val="16"/>
                          <w:szCs w:val="16"/>
                          <w:lang w:val="fr-FR"/>
                        </w:rPr>
                      </w:pPr>
                    </w:p>
                  </w:txbxContent>
                </v:textbox>
              </v:shape>
            </w:pict>
          </mc:Fallback>
        </mc:AlternateContent>
      </w:r>
      <w:r w:rsidR="00A42047" w:rsidRPr="00C73365">
        <w:rPr>
          <w:rFonts w:asciiTheme="minorHAnsi" w:hAnsiTheme="minorHAnsi" w:cstheme="minorHAnsi"/>
          <w:lang w:val="fr-FR"/>
        </w:rPr>
        <w:t>Research</w:t>
      </w:r>
      <w:r w:rsidR="00A42047" w:rsidRPr="00C73365">
        <w:rPr>
          <w:rFonts w:asciiTheme="minorHAnsi" w:hAnsiTheme="minorHAnsi" w:cstheme="minorHAnsi"/>
          <w:color w:val="000000" w:themeColor="text1"/>
          <w:lang w:val="fr-FR"/>
        </w:rPr>
        <w:t xml:space="preserve"> : </w:t>
      </w:r>
    </w:p>
    <w:p w:rsidR="008F3550" w:rsidRPr="003B0F95" w:rsidRDefault="008F3550" w:rsidP="008F3550">
      <w:pPr>
        <w:pStyle w:val="ListParagraph"/>
        <w:numPr>
          <w:ilvl w:val="0"/>
          <w:numId w:val="97"/>
        </w:numPr>
        <w:rPr>
          <w:rFonts w:asciiTheme="minorHAnsi" w:hAnsiTheme="minorHAnsi" w:cstheme="minorHAnsi"/>
          <w:color w:val="000000" w:themeColor="text1"/>
          <w:szCs w:val="20"/>
          <w:lang w:val="fr-FR"/>
        </w:rPr>
      </w:pPr>
      <w:r w:rsidRPr="003B0F95">
        <w:rPr>
          <w:rFonts w:asciiTheme="minorHAnsi" w:hAnsiTheme="minorHAnsi" w:cstheme="minorHAnsi"/>
          <w:szCs w:val="20"/>
          <w:lang w:val="fr-FR"/>
        </w:rPr>
        <w:t>« Hit identification » : Criblage de la chimiothèque pour identifier des molécules actives sur un virus donné</w:t>
      </w:r>
    </w:p>
    <w:p w:rsidR="00A42047" w:rsidRPr="003B0F95" w:rsidRDefault="00D60148" w:rsidP="008F3550">
      <w:pPr>
        <w:pStyle w:val="ListParagraph"/>
        <w:numPr>
          <w:ilvl w:val="0"/>
          <w:numId w:val="97"/>
        </w:numPr>
        <w:rPr>
          <w:rFonts w:asciiTheme="minorHAnsi" w:hAnsiTheme="minorHAnsi" w:cstheme="minorHAnsi"/>
          <w:color w:val="000000" w:themeColor="text1"/>
          <w:szCs w:val="20"/>
          <w:lang w:val="fr-FR"/>
        </w:rPr>
      </w:pPr>
      <w:r w:rsidRPr="003B0F95">
        <w:rPr>
          <w:rFonts w:asciiTheme="minorHAnsi" w:hAnsiTheme="minorHAnsi" w:cstheme="minorHAnsi"/>
          <w:szCs w:val="20"/>
          <w:lang w:val="fr-FR"/>
        </w:rPr>
        <w:t>« Lead Generation »</w:t>
      </w:r>
      <w:r w:rsidR="008F3550" w:rsidRPr="003B0F95">
        <w:rPr>
          <w:rFonts w:asciiTheme="minorHAnsi" w:hAnsiTheme="minorHAnsi" w:cstheme="minorHAnsi"/>
          <w:szCs w:val="20"/>
          <w:lang w:val="fr-FR"/>
        </w:rPr>
        <w:t xml:space="preserve"> : </w:t>
      </w:r>
      <w:r w:rsidR="008F3550" w:rsidRPr="003B0F95">
        <w:rPr>
          <w:rFonts w:asciiTheme="minorHAnsi" w:hAnsiTheme="minorHAnsi" w:cstheme="minorHAnsi"/>
          <w:color w:val="000000" w:themeColor="text1"/>
          <w:szCs w:val="20"/>
          <w:lang w:val="fr-FR"/>
        </w:rPr>
        <w:t xml:space="preserve">Optimisation des propriétés des molécules hits pour devenir un candidat médicament potentiel </w:t>
      </w:r>
      <w:r w:rsidR="00F46C7B" w:rsidRPr="003B0F95">
        <w:rPr>
          <w:rFonts w:asciiTheme="minorHAnsi" w:hAnsiTheme="minorHAnsi" w:cstheme="minorHAnsi"/>
          <w:color w:val="000000" w:themeColor="text1"/>
          <w:szCs w:val="20"/>
          <w:lang w:val="fr-FR"/>
        </w:rPr>
        <w:t xml:space="preserve"> </w:t>
      </w:r>
    </w:p>
    <w:p w:rsidR="00F46C7B" w:rsidRPr="003B0F95" w:rsidRDefault="00D60148" w:rsidP="00434C49">
      <w:pPr>
        <w:pStyle w:val="ListParagraph"/>
        <w:numPr>
          <w:ilvl w:val="0"/>
          <w:numId w:val="97"/>
        </w:numPr>
        <w:rPr>
          <w:rFonts w:asciiTheme="minorHAnsi" w:hAnsiTheme="minorHAnsi" w:cstheme="minorHAnsi"/>
          <w:color w:val="000000" w:themeColor="text1"/>
          <w:szCs w:val="20"/>
          <w:lang w:val="fr-FR"/>
        </w:rPr>
      </w:pPr>
      <w:r w:rsidRPr="003B0F95">
        <w:rPr>
          <w:rFonts w:asciiTheme="minorHAnsi" w:hAnsiTheme="minorHAnsi" w:cstheme="minorHAnsi"/>
          <w:color w:val="000000" w:themeColor="text1"/>
          <w:szCs w:val="20"/>
          <w:lang w:val="fr-FR"/>
        </w:rPr>
        <w:t>« Lead Optimisation » :</w:t>
      </w:r>
      <w:r w:rsidRPr="003B0F95">
        <w:rPr>
          <w:rFonts w:asciiTheme="minorHAnsi" w:hAnsiTheme="minorHAnsi" w:cstheme="minorHAnsi"/>
          <w:b/>
          <w:color w:val="000000" w:themeColor="text1"/>
          <w:szCs w:val="20"/>
          <w:lang w:val="fr-FR"/>
        </w:rPr>
        <w:t xml:space="preserve"> </w:t>
      </w:r>
      <w:r w:rsidR="00F46C7B" w:rsidRPr="003B0F95">
        <w:rPr>
          <w:rFonts w:asciiTheme="minorHAnsi" w:hAnsiTheme="minorHAnsi" w:cstheme="minorHAnsi"/>
          <w:color w:val="000000" w:themeColor="text1"/>
          <w:szCs w:val="20"/>
          <w:lang w:val="fr-FR"/>
        </w:rPr>
        <w:t>Optimisation des propriétés des composés pour obtenir un candidat médicament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b/>
          <w:lang w:val="fr-FR"/>
        </w:rPr>
        <w:t>Préclinique </w:t>
      </w:r>
      <w:r w:rsidRPr="00C73365">
        <w:rPr>
          <w:rFonts w:asciiTheme="minorHAnsi" w:hAnsiTheme="minorHAnsi" w:cstheme="minorHAnsi"/>
          <w:lang w:val="fr-FR"/>
        </w:rPr>
        <w:t xml:space="preserve">: Les études précliniques comprennent les tests d’efficacité </w:t>
      </w:r>
      <w:r w:rsidRPr="00C73365">
        <w:rPr>
          <w:rFonts w:asciiTheme="minorHAnsi" w:hAnsiTheme="minorHAnsi" w:cstheme="minorHAnsi"/>
          <w:i/>
          <w:lang w:val="fr-FR"/>
        </w:rPr>
        <w:t>in vivo</w:t>
      </w:r>
      <w:r w:rsidRPr="00C73365">
        <w:rPr>
          <w:rFonts w:asciiTheme="minorHAnsi" w:hAnsiTheme="minorHAnsi" w:cstheme="minorHAnsi"/>
          <w:lang w:val="fr-FR"/>
        </w:rPr>
        <w:t xml:space="preserve"> et les études de toxicité règlementaire</w:t>
      </w:r>
    </w:p>
    <w:p w:rsidR="00421CB7" w:rsidRPr="00C73365" w:rsidRDefault="00421CB7" w:rsidP="004572A0">
      <w:pPr>
        <w:pStyle w:val="BodyText"/>
        <w:rPr>
          <w:rFonts w:asciiTheme="minorHAnsi" w:hAnsiTheme="minorHAnsi" w:cstheme="minorHAnsi"/>
          <w:lang w:val="fr-FR"/>
        </w:rPr>
        <w:sectPr w:rsidR="00421CB7" w:rsidRPr="00C73365" w:rsidSect="007C607C">
          <w:footerReference w:type="default" r:id="rId16"/>
          <w:footerReference w:type="first" r:id="rId17"/>
          <w:pgSz w:w="11907" w:h="16840" w:code="9"/>
          <w:pgMar w:top="1134" w:right="1134" w:bottom="1134" w:left="1134" w:header="709" w:footer="709" w:gutter="0"/>
          <w:cols w:space="708"/>
          <w:titlePg/>
          <w:docGrid w:linePitch="360"/>
        </w:sectPr>
      </w:pPr>
    </w:p>
    <w:tbl>
      <w:tblPr>
        <w:tblW w:w="5000" w:type="pct"/>
        <w:jc w:val="center"/>
        <w:tblCellMar>
          <w:left w:w="70" w:type="dxa"/>
          <w:right w:w="70" w:type="dxa"/>
        </w:tblCellMar>
        <w:tblLook w:val="04A0" w:firstRow="1" w:lastRow="0" w:firstColumn="1" w:lastColumn="0" w:noHBand="0" w:noVBand="1"/>
      </w:tblPr>
      <w:tblGrid>
        <w:gridCol w:w="1315"/>
        <w:gridCol w:w="1881"/>
        <w:gridCol w:w="1831"/>
        <w:gridCol w:w="2804"/>
        <w:gridCol w:w="2183"/>
        <w:gridCol w:w="4558"/>
      </w:tblGrid>
      <w:tr w:rsidR="003E35B6" w:rsidRPr="00C73365" w:rsidTr="00981866">
        <w:trPr>
          <w:trHeight w:val="398"/>
          <w:jc w:val="center"/>
        </w:trPr>
        <w:tc>
          <w:tcPr>
            <w:tcW w:w="451" w:type="pct"/>
            <w:tcBorders>
              <w:top w:val="single" w:sz="12" w:space="0" w:color="7030A0"/>
              <w:left w:val="nil"/>
              <w:bottom w:val="single" w:sz="8" w:space="0" w:color="7030A0"/>
              <w:right w:val="nil"/>
            </w:tcBorders>
            <w:shd w:val="clear" w:color="auto" w:fill="auto"/>
            <w:vAlign w:val="center"/>
            <w:hideMark/>
          </w:tcPr>
          <w:p w:rsidR="003E35B6" w:rsidRPr="00C73365" w:rsidRDefault="003E35B6" w:rsidP="00A96CCA">
            <w:pPr>
              <w:spacing w:after="0"/>
              <w:rPr>
                <w:rFonts w:asciiTheme="minorHAnsi" w:hAnsiTheme="minorHAnsi" w:cstheme="minorHAnsi"/>
                <w:b/>
                <w:color w:val="000000"/>
                <w:sz w:val="16"/>
                <w:szCs w:val="16"/>
                <w:lang w:val="fr-FR"/>
              </w:rPr>
            </w:pPr>
            <w:r w:rsidRPr="00C73365">
              <w:rPr>
                <w:rFonts w:asciiTheme="minorHAnsi" w:hAnsiTheme="minorHAnsi" w:cstheme="minorHAnsi"/>
                <w:b/>
                <w:color w:val="000000"/>
                <w:sz w:val="16"/>
                <w:szCs w:val="16"/>
                <w:lang w:val="fr-FR"/>
              </w:rPr>
              <w:lastRenderedPageBreak/>
              <w:t>Dénomination</w:t>
            </w:r>
          </w:p>
        </w:tc>
        <w:tc>
          <w:tcPr>
            <w:tcW w:w="645" w:type="pct"/>
            <w:tcBorders>
              <w:top w:val="single" w:sz="12" w:space="0" w:color="7030A0"/>
              <w:left w:val="nil"/>
              <w:bottom w:val="single" w:sz="8" w:space="0" w:color="7030A0"/>
              <w:right w:val="nil"/>
            </w:tcBorders>
            <w:shd w:val="clear" w:color="auto" w:fill="auto"/>
            <w:vAlign w:val="center"/>
            <w:hideMark/>
          </w:tcPr>
          <w:p w:rsidR="003E35B6" w:rsidRPr="00C73365" w:rsidRDefault="003E35B6" w:rsidP="00A96CCA">
            <w:pPr>
              <w:spacing w:after="0"/>
              <w:jc w:val="center"/>
              <w:rPr>
                <w:rFonts w:asciiTheme="minorHAnsi" w:hAnsiTheme="minorHAnsi" w:cstheme="minorHAnsi"/>
                <w:b/>
                <w:color w:val="000000"/>
                <w:sz w:val="16"/>
                <w:szCs w:val="16"/>
                <w:lang w:val="fr-FR"/>
              </w:rPr>
            </w:pPr>
            <w:r w:rsidRPr="00C73365">
              <w:rPr>
                <w:rFonts w:asciiTheme="minorHAnsi" w:hAnsiTheme="minorHAnsi" w:cstheme="minorHAnsi"/>
                <w:b/>
                <w:color w:val="000000"/>
                <w:sz w:val="16"/>
                <w:szCs w:val="16"/>
                <w:lang w:val="fr-FR"/>
              </w:rPr>
              <w:t>Mécanisme d</w:t>
            </w:r>
            <w:r w:rsidR="004572A0" w:rsidRPr="00C73365">
              <w:rPr>
                <w:rFonts w:asciiTheme="minorHAnsi" w:hAnsiTheme="minorHAnsi" w:cstheme="minorHAnsi"/>
                <w:b/>
                <w:color w:val="000000"/>
                <w:sz w:val="16"/>
                <w:szCs w:val="16"/>
                <w:lang w:val="fr-FR"/>
              </w:rPr>
              <w:t>’</w:t>
            </w:r>
            <w:r w:rsidRPr="00C73365">
              <w:rPr>
                <w:rFonts w:asciiTheme="minorHAnsi" w:hAnsiTheme="minorHAnsi" w:cstheme="minorHAnsi"/>
                <w:b/>
                <w:color w:val="000000"/>
                <w:sz w:val="16"/>
                <w:szCs w:val="16"/>
                <w:lang w:val="fr-FR"/>
              </w:rPr>
              <w:t>action</w:t>
            </w:r>
          </w:p>
        </w:tc>
        <w:tc>
          <w:tcPr>
            <w:tcW w:w="628" w:type="pct"/>
            <w:tcBorders>
              <w:top w:val="single" w:sz="12" w:space="0" w:color="7030A0"/>
              <w:left w:val="nil"/>
              <w:bottom w:val="single" w:sz="8" w:space="0" w:color="7030A0"/>
              <w:right w:val="nil"/>
            </w:tcBorders>
            <w:shd w:val="clear" w:color="auto" w:fill="auto"/>
            <w:vAlign w:val="center"/>
            <w:hideMark/>
          </w:tcPr>
          <w:p w:rsidR="003E35B6" w:rsidRPr="00C73365" w:rsidRDefault="003E35B6" w:rsidP="00A96CCA">
            <w:pPr>
              <w:spacing w:after="0"/>
              <w:jc w:val="center"/>
              <w:rPr>
                <w:rFonts w:asciiTheme="minorHAnsi" w:hAnsiTheme="minorHAnsi" w:cstheme="minorHAnsi"/>
                <w:b/>
                <w:color w:val="000000"/>
                <w:sz w:val="16"/>
                <w:szCs w:val="16"/>
                <w:lang w:val="fr-FR"/>
              </w:rPr>
            </w:pPr>
            <w:r w:rsidRPr="00C73365">
              <w:rPr>
                <w:rFonts w:asciiTheme="minorHAnsi" w:hAnsiTheme="minorHAnsi" w:cstheme="minorHAnsi"/>
                <w:b/>
                <w:color w:val="000000"/>
                <w:sz w:val="16"/>
                <w:szCs w:val="16"/>
                <w:lang w:val="fr-FR"/>
              </w:rPr>
              <w:t>Indications visées / Marché et concurrence</w:t>
            </w:r>
          </w:p>
        </w:tc>
        <w:tc>
          <w:tcPr>
            <w:tcW w:w="962" w:type="pct"/>
            <w:tcBorders>
              <w:top w:val="single" w:sz="12" w:space="0" w:color="7030A0"/>
              <w:left w:val="nil"/>
              <w:bottom w:val="single" w:sz="8" w:space="0" w:color="7030A0"/>
              <w:right w:val="nil"/>
            </w:tcBorders>
            <w:shd w:val="clear" w:color="auto" w:fill="auto"/>
            <w:vAlign w:val="center"/>
            <w:hideMark/>
          </w:tcPr>
          <w:p w:rsidR="003E35B6" w:rsidRPr="00C73365" w:rsidRDefault="003E35B6" w:rsidP="00A96CCA">
            <w:pPr>
              <w:spacing w:after="0"/>
              <w:jc w:val="center"/>
              <w:rPr>
                <w:rFonts w:asciiTheme="minorHAnsi" w:hAnsiTheme="minorHAnsi" w:cstheme="minorHAnsi"/>
                <w:b/>
                <w:color w:val="000000"/>
                <w:sz w:val="16"/>
                <w:szCs w:val="16"/>
                <w:lang w:val="fr-FR"/>
              </w:rPr>
            </w:pPr>
            <w:r w:rsidRPr="00C73365">
              <w:rPr>
                <w:rFonts w:asciiTheme="minorHAnsi" w:hAnsiTheme="minorHAnsi" w:cstheme="minorHAnsi"/>
                <w:b/>
                <w:color w:val="000000"/>
                <w:sz w:val="16"/>
                <w:szCs w:val="16"/>
                <w:lang w:val="fr-FR"/>
              </w:rPr>
              <w:t>Propriété Intellectuelle</w:t>
            </w:r>
          </w:p>
        </w:tc>
        <w:tc>
          <w:tcPr>
            <w:tcW w:w="749" w:type="pct"/>
            <w:tcBorders>
              <w:top w:val="single" w:sz="12" w:space="0" w:color="7030A0"/>
              <w:left w:val="nil"/>
              <w:bottom w:val="single" w:sz="8" w:space="0" w:color="7030A0"/>
              <w:right w:val="nil"/>
            </w:tcBorders>
            <w:shd w:val="clear" w:color="auto" w:fill="auto"/>
            <w:vAlign w:val="center"/>
            <w:hideMark/>
          </w:tcPr>
          <w:p w:rsidR="003E35B6" w:rsidRPr="00C73365" w:rsidRDefault="003E35B6" w:rsidP="00A96CCA">
            <w:pPr>
              <w:spacing w:after="0"/>
              <w:jc w:val="center"/>
              <w:rPr>
                <w:rFonts w:asciiTheme="minorHAnsi" w:hAnsiTheme="minorHAnsi" w:cstheme="minorHAnsi"/>
                <w:b/>
                <w:color w:val="000000"/>
                <w:sz w:val="16"/>
                <w:szCs w:val="16"/>
                <w:lang w:val="fr-FR"/>
              </w:rPr>
            </w:pPr>
            <w:r w:rsidRPr="00C73365">
              <w:rPr>
                <w:rFonts w:asciiTheme="minorHAnsi" w:hAnsiTheme="minorHAnsi" w:cstheme="minorHAnsi"/>
                <w:b/>
                <w:color w:val="000000"/>
                <w:sz w:val="16"/>
                <w:szCs w:val="16"/>
                <w:lang w:val="fr-FR"/>
              </w:rPr>
              <w:t>Droits d</w:t>
            </w:r>
            <w:r w:rsidR="004572A0" w:rsidRPr="00C73365">
              <w:rPr>
                <w:rFonts w:asciiTheme="minorHAnsi" w:hAnsiTheme="minorHAnsi" w:cstheme="minorHAnsi"/>
                <w:b/>
                <w:color w:val="000000"/>
                <w:sz w:val="16"/>
                <w:szCs w:val="16"/>
                <w:lang w:val="fr-FR"/>
              </w:rPr>
              <w:t>’</w:t>
            </w:r>
            <w:r w:rsidRPr="00C73365">
              <w:rPr>
                <w:rFonts w:asciiTheme="minorHAnsi" w:hAnsiTheme="minorHAnsi" w:cstheme="minorHAnsi"/>
                <w:b/>
                <w:color w:val="000000"/>
                <w:sz w:val="16"/>
                <w:szCs w:val="16"/>
                <w:lang w:val="fr-FR"/>
              </w:rPr>
              <w:t xml:space="preserve">exploitation pour </w:t>
            </w:r>
            <w:r w:rsidR="00EF089C" w:rsidRPr="00C73365">
              <w:rPr>
                <w:rFonts w:asciiTheme="minorHAnsi" w:hAnsiTheme="minorHAnsi" w:cstheme="minorHAnsi"/>
                <w:b/>
                <w:color w:val="000000"/>
                <w:sz w:val="16"/>
                <w:szCs w:val="16"/>
                <w:lang w:val="fr-FR"/>
              </w:rPr>
              <w:t>ABIVAX</w:t>
            </w:r>
          </w:p>
        </w:tc>
        <w:tc>
          <w:tcPr>
            <w:tcW w:w="1564" w:type="pct"/>
            <w:tcBorders>
              <w:top w:val="single" w:sz="12" w:space="0" w:color="7030A0"/>
              <w:left w:val="nil"/>
              <w:bottom w:val="single" w:sz="8" w:space="0" w:color="7030A0"/>
              <w:right w:val="nil"/>
            </w:tcBorders>
            <w:shd w:val="clear" w:color="auto" w:fill="auto"/>
            <w:vAlign w:val="center"/>
            <w:hideMark/>
          </w:tcPr>
          <w:p w:rsidR="003E35B6" w:rsidRPr="00C73365" w:rsidRDefault="003E35B6" w:rsidP="00A96CCA">
            <w:pPr>
              <w:spacing w:after="0"/>
              <w:jc w:val="center"/>
              <w:rPr>
                <w:rFonts w:asciiTheme="minorHAnsi" w:hAnsiTheme="minorHAnsi" w:cstheme="minorHAnsi"/>
                <w:b/>
                <w:color w:val="000000"/>
                <w:sz w:val="16"/>
                <w:szCs w:val="16"/>
                <w:lang w:val="fr-FR"/>
              </w:rPr>
            </w:pPr>
            <w:r w:rsidRPr="00C73365">
              <w:rPr>
                <w:rFonts w:asciiTheme="minorHAnsi" w:hAnsiTheme="minorHAnsi" w:cstheme="minorHAnsi"/>
                <w:b/>
                <w:color w:val="000000"/>
                <w:sz w:val="16"/>
                <w:szCs w:val="16"/>
                <w:lang w:val="fr-FR"/>
              </w:rPr>
              <w:t>Stade de développement</w:t>
            </w:r>
          </w:p>
        </w:tc>
      </w:tr>
      <w:tr w:rsidR="003E35B6" w:rsidRPr="00C73365" w:rsidTr="00981866">
        <w:trPr>
          <w:trHeight w:val="1082"/>
          <w:jc w:val="center"/>
        </w:trPr>
        <w:tc>
          <w:tcPr>
            <w:tcW w:w="451" w:type="pct"/>
            <w:tcBorders>
              <w:top w:val="nil"/>
              <w:left w:val="nil"/>
              <w:bottom w:val="single" w:sz="8" w:space="0" w:color="7030A0"/>
              <w:right w:val="nil"/>
            </w:tcBorders>
            <w:shd w:val="clear" w:color="auto" w:fill="auto"/>
            <w:hideMark/>
          </w:tcPr>
          <w:p w:rsidR="003E35B6" w:rsidRPr="00C73365" w:rsidRDefault="00E32CFE"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ABX464</w:t>
            </w:r>
            <w:r w:rsidR="003E35B6" w:rsidRPr="00C73365">
              <w:rPr>
                <w:rFonts w:asciiTheme="minorHAnsi" w:hAnsiTheme="minorHAnsi" w:cstheme="minorHAnsi"/>
                <w:color w:val="000000"/>
                <w:sz w:val="17"/>
                <w:szCs w:val="17"/>
                <w:lang w:val="fr-FR" w:eastAsia="fr-FR"/>
              </w:rPr>
              <w:t xml:space="preserve"> </w:t>
            </w:r>
            <w:r w:rsidR="003E35B6" w:rsidRPr="00C73365">
              <w:rPr>
                <w:rFonts w:asciiTheme="minorHAnsi" w:hAnsiTheme="minorHAnsi" w:cstheme="minorHAnsi"/>
                <w:color w:val="000000"/>
                <w:sz w:val="17"/>
                <w:szCs w:val="17"/>
                <w:lang w:val="fr-FR" w:eastAsia="fr-FR"/>
              </w:rPr>
              <w:br/>
              <w:t>(§. 6.3.1)</w:t>
            </w:r>
          </w:p>
        </w:tc>
        <w:tc>
          <w:tcPr>
            <w:tcW w:w="645"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Petite molécule bloquant la réplication virale</w:t>
            </w:r>
          </w:p>
        </w:tc>
        <w:tc>
          <w:tcPr>
            <w:tcW w:w="628"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Traitement du VIH </w:t>
            </w:r>
            <w:r w:rsidRPr="00C73365">
              <w:rPr>
                <w:rFonts w:asciiTheme="minorHAnsi" w:hAnsiTheme="minorHAnsi" w:cstheme="minorHAnsi"/>
                <w:color w:val="000000"/>
                <w:sz w:val="17"/>
                <w:szCs w:val="17"/>
                <w:lang w:val="fr-FR" w:eastAsia="fr-FR"/>
              </w:rPr>
              <w:br/>
            </w:r>
          </w:p>
          <w:p w:rsidR="003E35B6" w:rsidRPr="00C73365" w:rsidRDefault="003E35B6" w:rsidP="00A96CCA">
            <w:pPr>
              <w:spacing w:after="0"/>
              <w:rPr>
                <w:rFonts w:asciiTheme="minorHAnsi" w:hAnsiTheme="minorHAnsi" w:cstheme="minorHAnsi"/>
                <w:color w:val="000000"/>
                <w:sz w:val="17"/>
                <w:szCs w:val="17"/>
                <w:lang w:val="fr-FR" w:eastAsia="fr-FR"/>
              </w:rPr>
            </w:pPr>
          </w:p>
        </w:tc>
        <w:tc>
          <w:tcPr>
            <w:tcW w:w="962"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Produit issu de la recherche </w:t>
            </w:r>
            <w:r w:rsidR="00EF089C" w:rsidRPr="00C73365">
              <w:rPr>
                <w:rFonts w:asciiTheme="minorHAnsi" w:hAnsiTheme="minorHAnsi" w:cstheme="minorHAnsi"/>
                <w:color w:val="000000"/>
                <w:sz w:val="17"/>
                <w:szCs w:val="17"/>
                <w:lang w:val="fr-FR" w:eastAsia="fr-FR"/>
              </w:rPr>
              <w:t>ABIVAX</w:t>
            </w:r>
            <w:r w:rsidRPr="00C73365">
              <w:rPr>
                <w:rFonts w:asciiTheme="minorHAnsi" w:hAnsiTheme="minorHAnsi" w:cstheme="minorHAnsi"/>
                <w:color w:val="000000"/>
                <w:sz w:val="17"/>
                <w:szCs w:val="17"/>
                <w:lang w:val="fr-FR" w:eastAsia="fr-FR"/>
              </w:rPr>
              <w:t xml:space="preserve"> en collaboration avec le CNRS, l’Université de Montpellier 2 et l’Institut Curie </w:t>
            </w:r>
            <w:r w:rsidRPr="00C73365">
              <w:rPr>
                <w:rFonts w:asciiTheme="minorHAnsi" w:hAnsiTheme="minorHAnsi" w:cstheme="minorHAnsi"/>
                <w:color w:val="000000"/>
                <w:sz w:val="17"/>
                <w:szCs w:val="17"/>
                <w:lang w:val="fr-FR" w:eastAsia="fr-FR"/>
              </w:rPr>
              <w:br/>
              <w:t>(§. 11.2.2.1)</w:t>
            </w:r>
            <w:r w:rsidRPr="00C73365">
              <w:rPr>
                <w:rFonts w:asciiTheme="minorHAnsi" w:hAnsiTheme="minorHAnsi" w:cstheme="minorHAnsi"/>
                <w:color w:val="000000"/>
                <w:sz w:val="17"/>
                <w:szCs w:val="17"/>
                <w:lang w:val="fr-FR" w:eastAsia="fr-FR"/>
              </w:rPr>
              <w:br/>
              <w:t>Protection</w:t>
            </w:r>
            <w:r w:rsidR="00D60148" w:rsidRPr="00C73365">
              <w:rPr>
                <w:rFonts w:asciiTheme="minorHAnsi" w:hAnsiTheme="minorHAnsi" w:cstheme="minorHAnsi"/>
                <w:color w:val="000000"/>
                <w:sz w:val="17"/>
                <w:szCs w:val="17"/>
                <w:lang w:val="fr-FR" w:eastAsia="fr-FR"/>
              </w:rPr>
              <w:t xml:space="preserve"> par</w:t>
            </w:r>
            <w:r w:rsidRPr="00C73365">
              <w:rPr>
                <w:rFonts w:asciiTheme="minorHAnsi" w:hAnsiTheme="minorHAnsi" w:cstheme="minorHAnsi"/>
                <w:color w:val="000000"/>
                <w:sz w:val="17"/>
                <w:szCs w:val="17"/>
                <w:lang w:val="fr-FR" w:eastAsia="fr-FR"/>
              </w:rPr>
              <w:t xml:space="preserve"> brevet jusqu’en juin 2030</w:t>
            </w:r>
          </w:p>
        </w:tc>
        <w:tc>
          <w:tcPr>
            <w:tcW w:w="749"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Droits d’exploitation exclusifs et mondiaux </w:t>
            </w:r>
          </w:p>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11.3.1.)</w:t>
            </w:r>
          </w:p>
        </w:tc>
        <w:tc>
          <w:tcPr>
            <w:tcW w:w="1564"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pacing w:val="-6"/>
                <w:sz w:val="17"/>
                <w:szCs w:val="17"/>
                <w:lang w:val="fr-FR" w:eastAsia="fr-FR"/>
              </w:rPr>
            </w:pPr>
            <w:r w:rsidRPr="00C73365">
              <w:rPr>
                <w:rFonts w:asciiTheme="minorHAnsi" w:hAnsiTheme="minorHAnsi" w:cstheme="minorHAnsi"/>
                <w:color w:val="000000"/>
                <w:spacing w:val="-6"/>
                <w:sz w:val="17"/>
                <w:szCs w:val="17"/>
                <w:lang w:val="fr-FR" w:eastAsia="fr-FR"/>
              </w:rPr>
              <w:t>Indication HIV :</w:t>
            </w:r>
          </w:p>
          <w:p w:rsidR="003E35B6" w:rsidRPr="00C73365" w:rsidRDefault="003E35B6" w:rsidP="00A96CCA">
            <w:pPr>
              <w:spacing w:after="0"/>
              <w:rPr>
                <w:rFonts w:asciiTheme="minorHAnsi" w:hAnsiTheme="minorHAnsi" w:cstheme="minorHAnsi"/>
                <w:color w:val="000000"/>
                <w:spacing w:val="-6"/>
                <w:sz w:val="17"/>
                <w:szCs w:val="17"/>
                <w:lang w:val="fr-FR" w:eastAsia="fr-FR"/>
              </w:rPr>
            </w:pPr>
            <w:r w:rsidRPr="00C73365">
              <w:rPr>
                <w:rFonts w:asciiTheme="minorHAnsi" w:hAnsiTheme="minorHAnsi" w:cstheme="minorHAnsi"/>
                <w:color w:val="000000"/>
                <w:spacing w:val="-6"/>
                <w:sz w:val="17"/>
                <w:szCs w:val="17"/>
                <w:lang w:val="fr-FR" w:eastAsia="fr-FR"/>
              </w:rPr>
              <w:t xml:space="preserve">Deux essais de Phase I finalisés en 2015 - Première Phase </w:t>
            </w:r>
            <w:r w:rsidR="0050466F" w:rsidRPr="00C73365">
              <w:rPr>
                <w:rFonts w:asciiTheme="minorHAnsi" w:hAnsiTheme="minorHAnsi" w:cstheme="minorHAnsi"/>
                <w:color w:val="000000"/>
                <w:spacing w:val="-6"/>
                <w:sz w:val="17"/>
                <w:szCs w:val="17"/>
                <w:lang w:val="fr-FR" w:eastAsia="fr-FR"/>
              </w:rPr>
              <w:t>IIa (</w:t>
            </w:r>
            <w:r w:rsidRPr="00C73365">
              <w:rPr>
                <w:rFonts w:asciiTheme="minorHAnsi" w:hAnsiTheme="minorHAnsi" w:cstheme="minorHAnsi"/>
                <w:color w:val="000000"/>
                <w:spacing w:val="-6"/>
                <w:sz w:val="17"/>
                <w:szCs w:val="17"/>
                <w:lang w:val="fr-FR" w:eastAsia="fr-FR"/>
              </w:rPr>
              <w:t xml:space="preserve">Ile  Maurice-Thaïlande) finalisée début 2016 - Une deuxième étude phase IIa </w:t>
            </w:r>
            <w:r w:rsidR="006626A5" w:rsidRPr="00C73365">
              <w:rPr>
                <w:rFonts w:asciiTheme="minorHAnsi" w:hAnsiTheme="minorHAnsi" w:cstheme="minorHAnsi"/>
                <w:color w:val="000000"/>
                <w:spacing w:val="-6"/>
                <w:sz w:val="17"/>
                <w:szCs w:val="17"/>
                <w:lang w:val="fr-FR" w:eastAsia="fr-FR"/>
              </w:rPr>
              <w:t xml:space="preserve">(ABX464-004) </w:t>
            </w:r>
            <w:r w:rsidRPr="00C73365">
              <w:rPr>
                <w:rFonts w:asciiTheme="minorHAnsi" w:hAnsiTheme="minorHAnsi" w:cstheme="minorHAnsi"/>
                <w:color w:val="000000"/>
                <w:spacing w:val="-6"/>
                <w:sz w:val="17"/>
                <w:szCs w:val="17"/>
                <w:lang w:val="fr-FR" w:eastAsia="fr-FR"/>
              </w:rPr>
              <w:t>a été initiée en 2016. Premiers résultats communiqués le 2 mai 2017 indiquent un impact important de l’</w:t>
            </w:r>
            <w:r w:rsidR="00E32CFE" w:rsidRPr="00C73365">
              <w:rPr>
                <w:rFonts w:asciiTheme="minorHAnsi" w:hAnsiTheme="minorHAnsi" w:cstheme="minorHAnsi"/>
                <w:color w:val="000000"/>
                <w:spacing w:val="-6"/>
                <w:sz w:val="17"/>
                <w:szCs w:val="17"/>
                <w:lang w:val="fr-FR" w:eastAsia="fr-FR"/>
              </w:rPr>
              <w:t>ABX464</w:t>
            </w:r>
            <w:r w:rsidRPr="00C73365">
              <w:rPr>
                <w:rFonts w:asciiTheme="minorHAnsi" w:hAnsiTheme="minorHAnsi" w:cstheme="minorHAnsi"/>
                <w:color w:val="000000"/>
                <w:spacing w:val="-6"/>
                <w:sz w:val="17"/>
                <w:szCs w:val="17"/>
                <w:lang w:val="fr-FR" w:eastAsia="fr-FR"/>
              </w:rPr>
              <w:t xml:space="preserve"> sur les cellules réservoirs sanguines - Une étude spécifique (mécanisme d’action) en Espagne (étude dite « compartimentale ») </w:t>
            </w:r>
            <w:r w:rsidR="006626A5" w:rsidRPr="00C73365">
              <w:rPr>
                <w:rFonts w:asciiTheme="minorHAnsi" w:hAnsiTheme="minorHAnsi" w:cstheme="minorHAnsi"/>
                <w:color w:val="000000"/>
                <w:spacing w:val="-6"/>
                <w:sz w:val="17"/>
                <w:szCs w:val="17"/>
                <w:lang w:val="fr-FR" w:eastAsia="fr-FR"/>
              </w:rPr>
              <w:t xml:space="preserve">(ABX464-005) </w:t>
            </w:r>
            <w:r w:rsidRPr="00C73365">
              <w:rPr>
                <w:rFonts w:asciiTheme="minorHAnsi" w:hAnsiTheme="minorHAnsi" w:cstheme="minorHAnsi"/>
                <w:color w:val="000000"/>
                <w:spacing w:val="-6"/>
                <w:sz w:val="17"/>
                <w:szCs w:val="17"/>
                <w:lang w:val="fr-FR" w:eastAsia="fr-FR"/>
              </w:rPr>
              <w:t xml:space="preserve">a débuté en avril 2017 sur les cellules réservoirs intestinales. </w:t>
            </w:r>
            <w:r w:rsidR="00A3483A" w:rsidRPr="00C73365">
              <w:rPr>
                <w:rFonts w:asciiTheme="minorHAnsi" w:hAnsiTheme="minorHAnsi" w:cstheme="minorHAnsi"/>
                <w:color w:val="000000"/>
                <w:spacing w:val="-6"/>
                <w:sz w:val="17"/>
                <w:szCs w:val="17"/>
                <w:lang w:val="fr-FR" w:eastAsia="fr-FR"/>
              </w:rPr>
              <w:t xml:space="preserve">Résultats sur la première cohorte de patients communiqués </w:t>
            </w:r>
            <w:r w:rsidR="00E73A7C">
              <w:rPr>
                <w:rFonts w:asciiTheme="minorHAnsi" w:hAnsiTheme="minorHAnsi" w:cstheme="minorHAnsi"/>
                <w:color w:val="000000"/>
                <w:spacing w:val="-6"/>
                <w:sz w:val="17"/>
                <w:szCs w:val="17"/>
                <w:lang w:val="fr-FR" w:eastAsia="fr-FR"/>
              </w:rPr>
              <w:t>le 28</w:t>
            </w:r>
            <w:r w:rsidR="00A3483A" w:rsidRPr="00C73365">
              <w:rPr>
                <w:rFonts w:asciiTheme="minorHAnsi" w:hAnsiTheme="minorHAnsi" w:cstheme="minorHAnsi"/>
                <w:color w:val="000000"/>
                <w:spacing w:val="-6"/>
                <w:sz w:val="17"/>
                <w:szCs w:val="17"/>
                <w:lang w:val="fr-FR" w:eastAsia="fr-FR"/>
              </w:rPr>
              <w:t xml:space="preserve"> </w:t>
            </w:r>
            <w:r w:rsidR="00E73A7C">
              <w:rPr>
                <w:rFonts w:asciiTheme="minorHAnsi" w:hAnsiTheme="minorHAnsi" w:cstheme="minorHAnsi"/>
                <w:color w:val="000000"/>
                <w:spacing w:val="-6"/>
                <w:sz w:val="17"/>
                <w:szCs w:val="17"/>
                <w:lang w:val="fr-FR" w:eastAsia="fr-FR"/>
              </w:rPr>
              <w:t>septembre</w:t>
            </w:r>
            <w:r w:rsidR="00A3483A" w:rsidRPr="00C73365">
              <w:rPr>
                <w:rFonts w:asciiTheme="minorHAnsi" w:hAnsiTheme="minorHAnsi" w:cstheme="minorHAnsi"/>
                <w:color w:val="000000"/>
                <w:spacing w:val="-6"/>
                <w:sz w:val="17"/>
                <w:szCs w:val="17"/>
                <w:lang w:val="fr-FR" w:eastAsia="fr-FR"/>
              </w:rPr>
              <w:t xml:space="preserve"> </w:t>
            </w:r>
            <w:r w:rsidR="0050466F" w:rsidRPr="00C73365">
              <w:rPr>
                <w:rFonts w:asciiTheme="minorHAnsi" w:hAnsiTheme="minorHAnsi" w:cstheme="minorHAnsi"/>
                <w:color w:val="000000"/>
                <w:spacing w:val="-6"/>
                <w:sz w:val="17"/>
                <w:szCs w:val="17"/>
                <w:lang w:val="fr-FR" w:eastAsia="fr-FR"/>
              </w:rPr>
              <w:t>2017 confirment</w:t>
            </w:r>
            <w:r w:rsidR="00A3483A" w:rsidRPr="00C73365">
              <w:rPr>
                <w:rFonts w:asciiTheme="minorHAnsi" w:hAnsiTheme="minorHAnsi" w:cstheme="minorHAnsi"/>
                <w:color w:val="000000"/>
                <w:spacing w:val="-6"/>
                <w:sz w:val="17"/>
                <w:szCs w:val="17"/>
                <w:lang w:val="fr-FR" w:eastAsia="fr-FR"/>
              </w:rPr>
              <w:t xml:space="preserve"> un impact important de l’</w:t>
            </w:r>
            <w:r w:rsidR="00E32CFE" w:rsidRPr="00C73365">
              <w:rPr>
                <w:rFonts w:asciiTheme="minorHAnsi" w:hAnsiTheme="minorHAnsi" w:cstheme="minorHAnsi"/>
                <w:color w:val="000000"/>
                <w:spacing w:val="-6"/>
                <w:sz w:val="17"/>
                <w:szCs w:val="17"/>
                <w:lang w:val="fr-FR" w:eastAsia="fr-FR"/>
              </w:rPr>
              <w:t>ABX464</w:t>
            </w:r>
            <w:r w:rsidR="00A3483A" w:rsidRPr="00C73365">
              <w:rPr>
                <w:rFonts w:asciiTheme="minorHAnsi" w:hAnsiTheme="minorHAnsi" w:cstheme="minorHAnsi"/>
                <w:color w:val="000000"/>
                <w:spacing w:val="-6"/>
                <w:sz w:val="17"/>
                <w:szCs w:val="17"/>
                <w:lang w:val="fr-FR" w:eastAsia="fr-FR"/>
              </w:rPr>
              <w:t xml:space="preserve"> sur les cellules réservoirs sanguines</w:t>
            </w:r>
            <w:r w:rsidR="004F6B63" w:rsidRPr="00C73365">
              <w:rPr>
                <w:rFonts w:asciiTheme="minorHAnsi" w:hAnsiTheme="minorHAnsi" w:cstheme="minorHAnsi"/>
                <w:color w:val="000000"/>
                <w:spacing w:val="-6"/>
                <w:sz w:val="17"/>
                <w:szCs w:val="17"/>
                <w:lang w:val="fr-FR" w:eastAsia="fr-FR"/>
              </w:rPr>
              <w:t xml:space="preserve">. Résultats seconde cohorte attendus au </w:t>
            </w:r>
            <w:r w:rsidR="003704A6">
              <w:rPr>
                <w:rFonts w:asciiTheme="minorHAnsi" w:hAnsiTheme="minorHAnsi" w:cstheme="minorHAnsi"/>
                <w:color w:val="000000"/>
                <w:spacing w:val="-6"/>
                <w:sz w:val="17"/>
                <w:szCs w:val="17"/>
                <w:lang w:val="fr-FR" w:eastAsia="fr-FR"/>
              </w:rPr>
              <w:t xml:space="preserve">début du </w:t>
            </w:r>
            <w:r w:rsidR="004F6B63" w:rsidRPr="00C73365">
              <w:rPr>
                <w:rFonts w:asciiTheme="minorHAnsi" w:hAnsiTheme="minorHAnsi" w:cstheme="minorHAnsi"/>
                <w:color w:val="000000"/>
                <w:spacing w:val="-6"/>
                <w:sz w:val="17"/>
                <w:szCs w:val="17"/>
                <w:lang w:val="fr-FR" w:eastAsia="fr-FR"/>
              </w:rPr>
              <w:t>3</w:t>
            </w:r>
            <w:r w:rsidR="004F6B63" w:rsidRPr="00C73365">
              <w:rPr>
                <w:rFonts w:asciiTheme="minorHAnsi" w:hAnsiTheme="minorHAnsi" w:cstheme="minorHAnsi"/>
                <w:color w:val="000000"/>
                <w:spacing w:val="-6"/>
                <w:sz w:val="17"/>
                <w:szCs w:val="17"/>
                <w:vertAlign w:val="superscript"/>
                <w:lang w:val="fr-FR" w:eastAsia="fr-FR"/>
              </w:rPr>
              <w:t>ème</w:t>
            </w:r>
            <w:r w:rsidR="004F6B63" w:rsidRPr="00C73365">
              <w:rPr>
                <w:rFonts w:asciiTheme="minorHAnsi" w:hAnsiTheme="minorHAnsi" w:cstheme="minorHAnsi"/>
                <w:color w:val="000000"/>
                <w:spacing w:val="-6"/>
                <w:sz w:val="17"/>
                <w:szCs w:val="17"/>
                <w:lang w:val="fr-FR" w:eastAsia="fr-FR"/>
              </w:rPr>
              <w:t xml:space="preserve"> trimestre 2018. Démarrage de Phase IIb dans l’indication HIV en fin d’année 2018.</w:t>
            </w:r>
          </w:p>
          <w:p w:rsidR="003E35B6" w:rsidRPr="00C73365" w:rsidRDefault="003E35B6" w:rsidP="00A96CCA">
            <w:pPr>
              <w:spacing w:after="0"/>
              <w:rPr>
                <w:rFonts w:asciiTheme="minorHAnsi" w:hAnsiTheme="minorHAnsi" w:cstheme="minorHAnsi"/>
                <w:color w:val="000000"/>
                <w:spacing w:val="-6"/>
                <w:sz w:val="17"/>
                <w:szCs w:val="17"/>
                <w:lang w:val="fr-FR" w:eastAsia="fr-FR"/>
              </w:rPr>
            </w:pPr>
          </w:p>
          <w:p w:rsidR="003E35B6" w:rsidRPr="00C73365" w:rsidRDefault="003E35B6" w:rsidP="00A96CCA">
            <w:pPr>
              <w:spacing w:after="0"/>
              <w:rPr>
                <w:rFonts w:asciiTheme="minorHAnsi" w:hAnsiTheme="minorHAnsi" w:cstheme="minorHAnsi"/>
                <w:color w:val="000000"/>
                <w:spacing w:val="-6"/>
                <w:sz w:val="17"/>
                <w:szCs w:val="17"/>
                <w:lang w:val="fr-FR" w:eastAsia="fr-FR"/>
              </w:rPr>
            </w:pPr>
            <w:r w:rsidRPr="00C73365">
              <w:rPr>
                <w:rFonts w:asciiTheme="minorHAnsi" w:hAnsiTheme="minorHAnsi" w:cstheme="minorHAnsi"/>
                <w:color w:val="000000"/>
                <w:spacing w:val="-6"/>
                <w:sz w:val="17"/>
                <w:szCs w:val="17"/>
                <w:lang w:val="fr-FR" w:eastAsia="fr-FR"/>
              </w:rPr>
              <w:t>Indication Inflammation :</w:t>
            </w:r>
          </w:p>
          <w:p w:rsidR="003E35B6" w:rsidRPr="00C73365" w:rsidRDefault="003E35B6" w:rsidP="00A96CCA">
            <w:pPr>
              <w:spacing w:after="0"/>
              <w:rPr>
                <w:rFonts w:asciiTheme="minorHAnsi" w:hAnsiTheme="minorHAnsi" w:cstheme="minorHAnsi"/>
                <w:color w:val="000000"/>
                <w:spacing w:val="-6"/>
                <w:sz w:val="17"/>
                <w:szCs w:val="17"/>
                <w:lang w:val="fr-FR" w:eastAsia="fr-FR"/>
              </w:rPr>
            </w:pPr>
            <w:r w:rsidRPr="00C73365">
              <w:rPr>
                <w:rFonts w:asciiTheme="minorHAnsi" w:hAnsiTheme="minorHAnsi" w:cstheme="minorHAnsi"/>
                <w:color w:val="000000"/>
                <w:spacing w:val="-6"/>
                <w:sz w:val="17"/>
                <w:szCs w:val="17"/>
                <w:lang w:val="fr-FR" w:eastAsia="fr-FR"/>
              </w:rPr>
              <w:t>Etude clinique Phase IIa sur l’effet anti-inflammatoire du produit en préparation</w:t>
            </w:r>
            <w:r w:rsidR="00A3483A" w:rsidRPr="00C73365">
              <w:rPr>
                <w:rFonts w:asciiTheme="minorHAnsi" w:hAnsiTheme="minorHAnsi" w:cstheme="minorHAnsi"/>
                <w:color w:val="000000"/>
                <w:spacing w:val="-6"/>
                <w:sz w:val="17"/>
                <w:szCs w:val="17"/>
                <w:lang w:val="fr-FR" w:eastAsia="fr-FR"/>
              </w:rPr>
              <w:t xml:space="preserve"> initié en </w:t>
            </w:r>
            <w:bookmarkStart w:id="280" w:name="_Hlk509508414"/>
            <w:r w:rsidR="00A3483A" w:rsidRPr="00C73365">
              <w:rPr>
                <w:rFonts w:asciiTheme="minorHAnsi" w:hAnsiTheme="minorHAnsi" w:cstheme="minorHAnsi"/>
                <w:color w:val="000000"/>
                <w:spacing w:val="-6"/>
                <w:sz w:val="17"/>
                <w:szCs w:val="17"/>
                <w:lang w:val="fr-FR" w:eastAsia="fr-FR"/>
              </w:rPr>
              <w:t xml:space="preserve">2017 </w:t>
            </w:r>
            <w:r w:rsidRPr="00C73365">
              <w:rPr>
                <w:rFonts w:asciiTheme="minorHAnsi" w:hAnsiTheme="minorHAnsi" w:cstheme="minorHAnsi"/>
                <w:color w:val="000000"/>
                <w:spacing w:val="-6"/>
                <w:sz w:val="17"/>
                <w:szCs w:val="17"/>
                <w:lang w:val="fr-FR" w:eastAsia="fr-FR"/>
              </w:rPr>
              <w:t xml:space="preserve">sur la </w:t>
            </w:r>
            <w:r w:rsidR="003C29E7" w:rsidRPr="00C73365">
              <w:rPr>
                <w:rFonts w:asciiTheme="minorHAnsi" w:hAnsiTheme="minorHAnsi" w:cstheme="minorHAnsi"/>
                <w:color w:val="000000"/>
                <w:spacing w:val="-6"/>
                <w:sz w:val="17"/>
                <w:szCs w:val="17"/>
                <w:lang w:val="fr-FR" w:eastAsia="fr-FR"/>
              </w:rPr>
              <w:t>M</w:t>
            </w:r>
            <w:r w:rsidRPr="00C73365">
              <w:rPr>
                <w:rFonts w:asciiTheme="minorHAnsi" w:hAnsiTheme="minorHAnsi" w:cstheme="minorHAnsi"/>
                <w:color w:val="000000"/>
                <w:spacing w:val="-6"/>
                <w:sz w:val="17"/>
                <w:szCs w:val="17"/>
                <w:lang w:val="fr-FR" w:eastAsia="fr-FR"/>
              </w:rPr>
              <w:t xml:space="preserve">aladie </w:t>
            </w:r>
            <w:r w:rsidR="003C29E7" w:rsidRPr="00C73365">
              <w:rPr>
                <w:rFonts w:asciiTheme="minorHAnsi" w:hAnsiTheme="minorHAnsi" w:cstheme="minorHAnsi"/>
                <w:color w:val="000000"/>
                <w:spacing w:val="-6"/>
                <w:sz w:val="17"/>
                <w:szCs w:val="17"/>
                <w:lang w:val="fr-FR" w:eastAsia="fr-FR"/>
              </w:rPr>
              <w:t>I</w:t>
            </w:r>
            <w:r w:rsidRPr="00C73365">
              <w:rPr>
                <w:rFonts w:asciiTheme="minorHAnsi" w:hAnsiTheme="minorHAnsi" w:cstheme="minorHAnsi"/>
                <w:color w:val="000000"/>
                <w:spacing w:val="-6"/>
                <w:sz w:val="17"/>
                <w:szCs w:val="17"/>
                <w:lang w:val="fr-FR" w:eastAsia="fr-FR"/>
              </w:rPr>
              <w:t xml:space="preserve">nflammatoire </w:t>
            </w:r>
            <w:r w:rsidR="003C29E7" w:rsidRPr="00C73365">
              <w:rPr>
                <w:rFonts w:asciiTheme="minorHAnsi" w:hAnsiTheme="minorHAnsi" w:cstheme="minorHAnsi"/>
                <w:color w:val="000000"/>
                <w:spacing w:val="-6"/>
                <w:sz w:val="17"/>
                <w:szCs w:val="17"/>
                <w:lang w:val="fr-FR" w:eastAsia="fr-FR"/>
              </w:rPr>
              <w:t>C</w:t>
            </w:r>
            <w:r w:rsidRPr="00C73365">
              <w:rPr>
                <w:rFonts w:asciiTheme="minorHAnsi" w:hAnsiTheme="minorHAnsi" w:cstheme="minorHAnsi"/>
                <w:color w:val="000000"/>
                <w:spacing w:val="-6"/>
                <w:sz w:val="17"/>
                <w:szCs w:val="17"/>
                <w:lang w:val="fr-FR" w:eastAsia="fr-FR"/>
              </w:rPr>
              <w:t>hronique de l’</w:t>
            </w:r>
            <w:r w:rsidR="003C29E7" w:rsidRPr="00C73365">
              <w:rPr>
                <w:rFonts w:asciiTheme="minorHAnsi" w:hAnsiTheme="minorHAnsi" w:cstheme="minorHAnsi"/>
                <w:color w:val="000000"/>
                <w:spacing w:val="-6"/>
                <w:sz w:val="17"/>
                <w:szCs w:val="17"/>
                <w:lang w:val="fr-FR" w:eastAsia="fr-FR"/>
              </w:rPr>
              <w:t>I</w:t>
            </w:r>
            <w:r w:rsidRPr="00C73365">
              <w:rPr>
                <w:rFonts w:asciiTheme="minorHAnsi" w:hAnsiTheme="minorHAnsi" w:cstheme="minorHAnsi"/>
                <w:color w:val="000000"/>
                <w:spacing w:val="-6"/>
                <w:sz w:val="17"/>
                <w:szCs w:val="17"/>
                <w:lang w:val="fr-FR" w:eastAsia="fr-FR"/>
              </w:rPr>
              <w:t>ntestin</w:t>
            </w:r>
            <w:r w:rsidR="003C29E7" w:rsidRPr="00C73365">
              <w:rPr>
                <w:rFonts w:asciiTheme="minorHAnsi" w:hAnsiTheme="minorHAnsi" w:cstheme="minorHAnsi"/>
                <w:color w:val="000000"/>
                <w:spacing w:val="-6"/>
                <w:sz w:val="17"/>
                <w:szCs w:val="17"/>
                <w:lang w:val="fr-FR" w:eastAsia="fr-FR"/>
              </w:rPr>
              <w:t xml:space="preserve"> (MICI) ou Inflammatory Bowel Disease (IBD)</w:t>
            </w:r>
            <w:bookmarkEnd w:id="280"/>
            <w:r w:rsidR="00E011E7" w:rsidRPr="00C73365">
              <w:rPr>
                <w:rFonts w:asciiTheme="minorHAnsi" w:hAnsiTheme="minorHAnsi" w:cstheme="minorHAnsi"/>
                <w:color w:val="000000"/>
                <w:spacing w:val="-6"/>
                <w:sz w:val="17"/>
                <w:szCs w:val="17"/>
                <w:lang w:val="fr-FR" w:eastAsia="fr-FR"/>
              </w:rPr>
              <w:t xml:space="preserve"> dont la </w:t>
            </w:r>
            <w:r w:rsidR="00357A37" w:rsidRPr="00C73365">
              <w:rPr>
                <w:rFonts w:asciiTheme="minorHAnsi" w:hAnsiTheme="minorHAnsi" w:cstheme="minorHAnsi"/>
                <w:color w:val="000000"/>
                <w:spacing w:val="-6"/>
                <w:sz w:val="17"/>
                <w:szCs w:val="17"/>
                <w:lang w:val="fr-FR" w:eastAsia="fr-FR"/>
              </w:rPr>
              <w:t>rectocolite hémorragique</w:t>
            </w:r>
            <w:r w:rsidR="00A3483A" w:rsidRPr="00C73365">
              <w:rPr>
                <w:rFonts w:asciiTheme="minorHAnsi" w:hAnsiTheme="minorHAnsi" w:cstheme="minorHAnsi"/>
                <w:color w:val="000000"/>
                <w:spacing w:val="-6"/>
                <w:sz w:val="17"/>
                <w:szCs w:val="17"/>
                <w:lang w:val="fr-FR" w:eastAsia="fr-FR"/>
              </w:rPr>
              <w:t xml:space="preserve">. Premiers résultats attendus en </w:t>
            </w:r>
            <w:r w:rsidR="00E73A7C">
              <w:rPr>
                <w:rFonts w:asciiTheme="minorHAnsi" w:hAnsiTheme="minorHAnsi" w:cstheme="minorHAnsi"/>
                <w:color w:val="000000"/>
                <w:spacing w:val="-6"/>
                <w:sz w:val="17"/>
                <w:szCs w:val="17"/>
                <w:lang w:val="fr-FR" w:eastAsia="fr-FR"/>
              </w:rPr>
              <w:t>septembre</w:t>
            </w:r>
            <w:r w:rsidR="00A3483A" w:rsidRPr="00C73365">
              <w:rPr>
                <w:rFonts w:asciiTheme="minorHAnsi" w:hAnsiTheme="minorHAnsi" w:cstheme="minorHAnsi"/>
                <w:color w:val="000000"/>
                <w:spacing w:val="-6"/>
                <w:sz w:val="17"/>
                <w:szCs w:val="17"/>
                <w:lang w:val="fr-FR" w:eastAsia="fr-FR"/>
              </w:rPr>
              <w:t xml:space="preserve"> 2018.</w:t>
            </w:r>
          </w:p>
          <w:p w:rsidR="004F6B63" w:rsidRPr="00C73365" w:rsidRDefault="004F6B63" w:rsidP="00A96CCA">
            <w:pPr>
              <w:spacing w:after="0"/>
              <w:rPr>
                <w:rFonts w:asciiTheme="minorHAnsi" w:hAnsiTheme="minorHAnsi" w:cstheme="minorHAnsi"/>
                <w:color w:val="000000"/>
                <w:spacing w:val="-6"/>
                <w:sz w:val="17"/>
                <w:szCs w:val="17"/>
                <w:lang w:val="fr-FR" w:eastAsia="fr-FR"/>
              </w:rPr>
            </w:pPr>
          </w:p>
        </w:tc>
      </w:tr>
      <w:tr w:rsidR="003E35B6" w:rsidRPr="008C1A4A" w:rsidTr="00981866">
        <w:trPr>
          <w:trHeight w:val="1040"/>
          <w:jc w:val="center"/>
        </w:trPr>
        <w:tc>
          <w:tcPr>
            <w:tcW w:w="451"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ABX311</w:t>
            </w:r>
            <w:r w:rsidRPr="00C73365">
              <w:rPr>
                <w:rFonts w:asciiTheme="minorHAnsi" w:hAnsiTheme="minorHAnsi" w:cstheme="minorHAnsi"/>
                <w:color w:val="000000"/>
                <w:sz w:val="17"/>
                <w:szCs w:val="17"/>
                <w:lang w:val="fr-FR" w:eastAsia="fr-FR"/>
              </w:rPr>
              <w:br/>
              <w:t>(§. 6.3.2)</w:t>
            </w:r>
          </w:p>
        </w:tc>
        <w:tc>
          <w:tcPr>
            <w:tcW w:w="645"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Petite molécule antivirale </w:t>
            </w:r>
          </w:p>
        </w:tc>
        <w:tc>
          <w:tcPr>
            <w:tcW w:w="628"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Traitement du Chikungunya</w:t>
            </w:r>
          </w:p>
        </w:tc>
        <w:tc>
          <w:tcPr>
            <w:tcW w:w="962"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Produit issu de la recherche </w:t>
            </w:r>
            <w:r w:rsidR="00EF089C" w:rsidRPr="00C73365">
              <w:rPr>
                <w:rFonts w:asciiTheme="minorHAnsi" w:hAnsiTheme="minorHAnsi" w:cstheme="minorHAnsi"/>
                <w:color w:val="000000"/>
                <w:sz w:val="17"/>
                <w:szCs w:val="17"/>
                <w:lang w:val="fr-FR" w:eastAsia="fr-FR"/>
              </w:rPr>
              <w:t>ABIVAX</w:t>
            </w:r>
            <w:r w:rsidRPr="00C73365">
              <w:rPr>
                <w:rFonts w:asciiTheme="minorHAnsi" w:hAnsiTheme="minorHAnsi" w:cstheme="minorHAnsi"/>
                <w:color w:val="000000"/>
                <w:sz w:val="17"/>
                <w:szCs w:val="17"/>
                <w:lang w:val="fr-FR" w:eastAsia="fr-FR"/>
              </w:rPr>
              <w:t xml:space="preserve"> en collaboration avec le CNRS, l’Université de Montpellier 2 et l’Institut Curie </w:t>
            </w:r>
            <w:r w:rsidRPr="00C73365">
              <w:rPr>
                <w:rFonts w:asciiTheme="minorHAnsi" w:hAnsiTheme="minorHAnsi" w:cstheme="minorHAnsi"/>
                <w:color w:val="000000"/>
                <w:sz w:val="17"/>
                <w:szCs w:val="17"/>
                <w:lang w:val="fr-FR" w:eastAsia="fr-FR"/>
              </w:rPr>
              <w:br/>
              <w:t>(§. 11.2.2.1)</w:t>
            </w:r>
            <w:r w:rsidRPr="00C73365">
              <w:rPr>
                <w:rFonts w:asciiTheme="minorHAnsi" w:hAnsiTheme="minorHAnsi" w:cstheme="minorHAnsi"/>
                <w:color w:val="000000"/>
                <w:sz w:val="17"/>
                <w:szCs w:val="17"/>
                <w:lang w:val="fr-FR" w:eastAsia="fr-FR"/>
              </w:rPr>
              <w:br/>
              <w:t>Protection</w:t>
            </w:r>
            <w:r w:rsidR="00D60148" w:rsidRPr="00C73365">
              <w:rPr>
                <w:rFonts w:asciiTheme="minorHAnsi" w:hAnsiTheme="minorHAnsi" w:cstheme="minorHAnsi"/>
                <w:color w:val="000000"/>
                <w:sz w:val="17"/>
                <w:szCs w:val="17"/>
                <w:lang w:val="fr-FR" w:eastAsia="fr-FR"/>
              </w:rPr>
              <w:t xml:space="preserve"> par brevet</w:t>
            </w:r>
            <w:r w:rsidRPr="00C73365">
              <w:rPr>
                <w:rFonts w:asciiTheme="minorHAnsi" w:hAnsiTheme="minorHAnsi" w:cstheme="minorHAnsi"/>
                <w:color w:val="000000"/>
                <w:sz w:val="17"/>
                <w:szCs w:val="17"/>
                <w:lang w:val="fr-FR" w:eastAsia="fr-FR"/>
              </w:rPr>
              <w:t xml:space="preserve"> jusqu’en juin 2030</w:t>
            </w:r>
          </w:p>
        </w:tc>
        <w:tc>
          <w:tcPr>
            <w:tcW w:w="749"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Droits d’exploitation exclusifs et mondiaux </w:t>
            </w:r>
          </w:p>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11.3.1.)</w:t>
            </w:r>
          </w:p>
        </w:tc>
        <w:tc>
          <w:tcPr>
            <w:tcW w:w="1564" w:type="pct"/>
            <w:tcBorders>
              <w:top w:val="nil"/>
              <w:left w:val="nil"/>
              <w:bottom w:val="single" w:sz="8" w:space="0" w:color="7030A0"/>
              <w:right w:val="nil"/>
            </w:tcBorders>
            <w:shd w:val="clear" w:color="auto" w:fill="auto"/>
            <w:hideMark/>
          </w:tcPr>
          <w:p w:rsidR="003E35B6" w:rsidRPr="00C73365" w:rsidRDefault="00A3483A" w:rsidP="00A96CCA">
            <w:pPr>
              <w:spacing w:after="0"/>
              <w:rPr>
                <w:rFonts w:asciiTheme="minorHAnsi" w:hAnsiTheme="minorHAnsi" w:cstheme="minorHAnsi"/>
                <w:color w:val="000000"/>
                <w:sz w:val="17"/>
                <w:szCs w:val="17"/>
                <w:highlight w:val="yellow"/>
                <w:lang w:val="fr-FR" w:eastAsia="fr-FR"/>
              </w:rPr>
            </w:pPr>
            <w:r w:rsidRPr="00C73365">
              <w:rPr>
                <w:rFonts w:asciiTheme="minorHAnsi" w:hAnsiTheme="minorHAnsi" w:cstheme="minorHAnsi"/>
                <w:color w:val="000000"/>
                <w:sz w:val="17"/>
                <w:szCs w:val="17"/>
                <w:lang w:val="fr-FR" w:eastAsia="fr-FR"/>
              </w:rPr>
              <w:t xml:space="preserve">Programme de développement suspendu </w:t>
            </w:r>
            <w:r w:rsidR="000F1A28" w:rsidRPr="00C73365">
              <w:rPr>
                <w:rFonts w:asciiTheme="minorHAnsi" w:hAnsiTheme="minorHAnsi" w:cstheme="minorHAnsi"/>
                <w:color w:val="000000"/>
                <w:sz w:val="17"/>
                <w:szCs w:val="17"/>
                <w:lang w:val="fr-FR" w:eastAsia="fr-FR"/>
              </w:rPr>
              <w:t>à la suite de</w:t>
            </w:r>
            <w:r w:rsidR="004F6B63" w:rsidRPr="00C73365">
              <w:rPr>
                <w:rFonts w:asciiTheme="minorHAnsi" w:hAnsiTheme="minorHAnsi" w:cstheme="minorHAnsi"/>
                <w:color w:val="000000"/>
                <w:sz w:val="17"/>
                <w:szCs w:val="17"/>
                <w:lang w:val="fr-FR" w:eastAsia="fr-FR"/>
              </w:rPr>
              <w:t xml:space="preserve"> la réévaluation à la baisse des</w:t>
            </w:r>
            <w:r w:rsidRPr="00C73365">
              <w:rPr>
                <w:rFonts w:asciiTheme="minorHAnsi" w:hAnsiTheme="minorHAnsi" w:cstheme="minorHAnsi"/>
                <w:color w:val="000000"/>
                <w:sz w:val="17"/>
                <w:szCs w:val="17"/>
                <w:lang w:val="fr-FR" w:eastAsia="fr-FR"/>
              </w:rPr>
              <w:t xml:space="preserve"> perspectives d’incidence et de marché.</w:t>
            </w:r>
          </w:p>
        </w:tc>
      </w:tr>
      <w:tr w:rsidR="003E35B6" w:rsidRPr="008C1A4A" w:rsidTr="00981866">
        <w:trPr>
          <w:trHeight w:val="1313"/>
          <w:jc w:val="center"/>
        </w:trPr>
        <w:tc>
          <w:tcPr>
            <w:tcW w:w="451" w:type="pct"/>
            <w:tcBorders>
              <w:top w:val="nil"/>
              <w:left w:val="nil"/>
              <w:bottom w:val="single" w:sz="8" w:space="0" w:color="7030A0"/>
              <w:right w:val="nil"/>
            </w:tcBorders>
            <w:shd w:val="clear" w:color="auto" w:fill="auto"/>
            <w:hideMark/>
          </w:tcPr>
          <w:p w:rsidR="003E35B6" w:rsidRPr="00C73365" w:rsidRDefault="00E32CFE"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ABX196</w:t>
            </w:r>
            <w:r w:rsidR="003E35B6" w:rsidRPr="00C73365">
              <w:rPr>
                <w:rFonts w:asciiTheme="minorHAnsi" w:hAnsiTheme="minorHAnsi" w:cstheme="minorHAnsi"/>
                <w:color w:val="000000"/>
                <w:sz w:val="17"/>
                <w:szCs w:val="17"/>
                <w:lang w:val="fr-FR" w:eastAsia="fr-FR"/>
              </w:rPr>
              <w:br/>
              <w:t>(§. 6.3.3)</w:t>
            </w:r>
          </w:p>
        </w:tc>
        <w:tc>
          <w:tcPr>
            <w:tcW w:w="645"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Agoniste des cellules iNKT</w:t>
            </w:r>
          </w:p>
        </w:tc>
        <w:tc>
          <w:tcPr>
            <w:tcW w:w="628"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Stimulant immunitaire/Adjuvant</w:t>
            </w:r>
          </w:p>
        </w:tc>
        <w:tc>
          <w:tcPr>
            <w:tcW w:w="962" w:type="pct"/>
            <w:tcBorders>
              <w:top w:val="nil"/>
              <w:left w:val="nil"/>
              <w:bottom w:val="single" w:sz="8" w:space="0" w:color="7030A0"/>
              <w:right w:val="nil"/>
            </w:tcBorders>
            <w:shd w:val="clear" w:color="auto" w:fill="auto"/>
            <w:hideMark/>
          </w:tcPr>
          <w:p w:rsidR="003E35B6" w:rsidRPr="00C73365" w:rsidRDefault="00EF089C"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ABIVAX</w:t>
            </w:r>
            <w:r w:rsidR="003E35B6" w:rsidRPr="00C73365">
              <w:rPr>
                <w:rFonts w:asciiTheme="minorHAnsi" w:hAnsiTheme="minorHAnsi" w:cstheme="minorHAnsi"/>
                <w:color w:val="000000"/>
                <w:sz w:val="17"/>
                <w:szCs w:val="17"/>
                <w:lang w:val="fr-FR" w:eastAsia="fr-FR"/>
              </w:rPr>
              <w:t xml:space="preserve"> avec le Research Sripps Institute (La Jolla- USA), l’University of Chicago (USA) et la Brigham Young University (USA) (§. 11.2.2.2)  </w:t>
            </w:r>
            <w:r w:rsidR="003E35B6" w:rsidRPr="00C73365">
              <w:rPr>
                <w:rFonts w:asciiTheme="minorHAnsi" w:hAnsiTheme="minorHAnsi" w:cstheme="minorHAnsi"/>
                <w:color w:val="000000"/>
                <w:sz w:val="17"/>
                <w:szCs w:val="17"/>
                <w:lang w:val="fr-FR" w:eastAsia="fr-FR"/>
              </w:rPr>
              <w:br/>
              <w:t>Protection brevetaire jusqu’en décembre 2028</w:t>
            </w:r>
          </w:p>
        </w:tc>
        <w:tc>
          <w:tcPr>
            <w:tcW w:w="749"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Droits d’exploitation exclusifs et mondiaux </w:t>
            </w:r>
          </w:p>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11.3.2.)</w:t>
            </w:r>
          </w:p>
        </w:tc>
        <w:tc>
          <w:tcPr>
            <w:tcW w:w="1564" w:type="pct"/>
            <w:tcBorders>
              <w:top w:val="nil"/>
              <w:left w:val="nil"/>
              <w:bottom w:val="single" w:sz="8" w:space="0" w:color="7030A0"/>
              <w:right w:val="nil"/>
            </w:tcBorders>
            <w:shd w:val="clear" w:color="auto" w:fill="auto"/>
            <w:hideMark/>
          </w:tcPr>
          <w:p w:rsidR="006626A5"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Premier essai de Phase I finalisé en 2013 a mis en évidence une forte immunogénicité mais aussi des effets secondaires aux doses testées.</w:t>
            </w:r>
          </w:p>
          <w:p w:rsidR="00A3483A" w:rsidRPr="00C73365" w:rsidRDefault="00A3483A"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Données d’efficacité Pré-Cliniques</w:t>
            </w:r>
            <w:r w:rsidR="000345FA" w:rsidRPr="00C73365">
              <w:rPr>
                <w:rFonts w:asciiTheme="minorHAnsi" w:hAnsiTheme="minorHAnsi" w:cstheme="minorHAnsi"/>
                <w:color w:val="000000"/>
                <w:sz w:val="17"/>
                <w:szCs w:val="17"/>
                <w:lang w:val="fr-FR" w:eastAsia="fr-FR"/>
              </w:rPr>
              <w:t xml:space="preserve"> générées en 2017 pour l’hépatocarcinome. </w:t>
            </w:r>
            <w:r w:rsidR="00116EAF" w:rsidRPr="00444607">
              <w:rPr>
                <w:rFonts w:asciiTheme="minorHAnsi" w:hAnsiTheme="minorHAnsi" w:cstheme="minorHAnsi"/>
                <w:color w:val="000000"/>
                <w:sz w:val="17"/>
                <w:szCs w:val="17"/>
                <w:lang w:val="fr-FR" w:eastAsia="fr-FR"/>
              </w:rPr>
              <w:t xml:space="preserve">ABIVAX prépare actuellement une étude de Phase I de preuve de concept pour </w:t>
            </w:r>
            <w:r w:rsidR="00116EAF" w:rsidRPr="00C73365">
              <w:rPr>
                <w:rFonts w:asciiTheme="minorHAnsi" w:hAnsiTheme="minorHAnsi" w:cstheme="minorHAnsi"/>
                <w:color w:val="000000"/>
                <w:sz w:val="17"/>
                <w:szCs w:val="17"/>
                <w:lang w:val="fr-FR" w:eastAsia="fr-FR"/>
              </w:rPr>
              <w:t xml:space="preserve">l’hépatocarcinome avancé </w:t>
            </w:r>
            <w:r w:rsidR="00116EAF" w:rsidRPr="00444607">
              <w:rPr>
                <w:rFonts w:asciiTheme="minorHAnsi" w:hAnsiTheme="minorHAnsi" w:cstheme="minorHAnsi"/>
                <w:color w:val="000000"/>
                <w:sz w:val="17"/>
                <w:szCs w:val="17"/>
                <w:lang w:val="fr-FR" w:eastAsia="fr-FR"/>
              </w:rPr>
              <w:t>avec un lancement prévu en fin d’année 2018</w:t>
            </w:r>
            <w:r w:rsidR="00116EAF">
              <w:rPr>
                <w:rFonts w:asciiTheme="minorHAnsi" w:hAnsiTheme="minorHAnsi" w:cstheme="minorHAnsi"/>
                <w:color w:val="000000"/>
                <w:sz w:val="17"/>
                <w:szCs w:val="17"/>
                <w:lang w:val="fr-FR" w:eastAsia="fr-FR"/>
              </w:rPr>
              <w:t>.</w:t>
            </w:r>
          </w:p>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Recherche </w:t>
            </w:r>
            <w:r w:rsidR="00D8150A" w:rsidRPr="00C73365">
              <w:rPr>
                <w:rFonts w:asciiTheme="minorHAnsi" w:hAnsiTheme="minorHAnsi" w:cstheme="minorHAnsi"/>
                <w:color w:val="000000"/>
                <w:sz w:val="17"/>
                <w:szCs w:val="17"/>
                <w:lang w:val="fr-FR" w:eastAsia="fr-FR"/>
              </w:rPr>
              <w:t xml:space="preserve">en cours </w:t>
            </w:r>
            <w:r w:rsidRPr="00C73365">
              <w:rPr>
                <w:rFonts w:asciiTheme="minorHAnsi" w:hAnsiTheme="minorHAnsi" w:cstheme="minorHAnsi"/>
                <w:color w:val="000000"/>
                <w:sz w:val="17"/>
                <w:szCs w:val="17"/>
                <w:lang w:val="fr-FR" w:eastAsia="fr-FR"/>
              </w:rPr>
              <w:t>de partenaires dans l’immuno-oncologie</w:t>
            </w:r>
            <w:r w:rsidR="00D8150A" w:rsidRPr="00C73365">
              <w:rPr>
                <w:rFonts w:asciiTheme="minorHAnsi" w:hAnsiTheme="minorHAnsi" w:cstheme="minorHAnsi"/>
                <w:color w:val="000000"/>
                <w:sz w:val="17"/>
                <w:szCs w:val="17"/>
                <w:lang w:val="fr-FR" w:eastAsia="fr-FR"/>
              </w:rPr>
              <w:t xml:space="preserve"> après</w:t>
            </w:r>
            <w:r w:rsidR="004F6B63" w:rsidRPr="00C73365">
              <w:rPr>
                <w:rFonts w:asciiTheme="minorHAnsi" w:hAnsiTheme="minorHAnsi" w:cstheme="minorHAnsi"/>
                <w:color w:val="000000"/>
                <w:sz w:val="17"/>
                <w:szCs w:val="17"/>
                <w:lang w:val="fr-FR" w:eastAsia="fr-FR"/>
              </w:rPr>
              <w:t xml:space="preserve"> atteinte des </w:t>
            </w:r>
            <w:r w:rsidR="00D8150A" w:rsidRPr="00C73365">
              <w:rPr>
                <w:rFonts w:asciiTheme="minorHAnsi" w:hAnsiTheme="minorHAnsi" w:cstheme="minorHAnsi"/>
                <w:color w:val="000000"/>
                <w:sz w:val="17"/>
                <w:szCs w:val="17"/>
                <w:lang w:val="fr-FR" w:eastAsia="fr-FR"/>
              </w:rPr>
              <w:t xml:space="preserve">premiers résultats </w:t>
            </w:r>
            <w:r w:rsidR="00A728D1" w:rsidRPr="00C73365">
              <w:rPr>
                <w:rFonts w:asciiTheme="minorHAnsi" w:hAnsiTheme="minorHAnsi" w:cstheme="minorHAnsi"/>
                <w:color w:val="000000"/>
                <w:sz w:val="17"/>
                <w:szCs w:val="17"/>
                <w:lang w:val="fr-FR" w:eastAsia="fr-FR"/>
              </w:rPr>
              <w:t>cliniques d’efficacité dans l’hépatocarcinome</w:t>
            </w:r>
            <w:r w:rsidR="004F6B63" w:rsidRPr="00C73365">
              <w:rPr>
                <w:rFonts w:asciiTheme="minorHAnsi" w:hAnsiTheme="minorHAnsi" w:cstheme="minorHAnsi"/>
                <w:color w:val="000000"/>
                <w:sz w:val="17"/>
                <w:szCs w:val="17"/>
                <w:lang w:val="fr-FR" w:eastAsia="fr-FR"/>
              </w:rPr>
              <w:t xml:space="preserve"> avancé</w:t>
            </w:r>
            <w:r w:rsidR="00A728D1" w:rsidRPr="00C73365">
              <w:rPr>
                <w:rFonts w:asciiTheme="minorHAnsi" w:hAnsiTheme="minorHAnsi" w:cstheme="minorHAnsi"/>
                <w:color w:val="000000"/>
                <w:sz w:val="17"/>
                <w:szCs w:val="17"/>
                <w:lang w:val="fr-FR" w:eastAsia="fr-FR"/>
              </w:rPr>
              <w:t>.</w:t>
            </w:r>
            <w:r w:rsidR="00D8150A" w:rsidRPr="00C73365">
              <w:rPr>
                <w:rFonts w:asciiTheme="minorHAnsi" w:hAnsiTheme="minorHAnsi" w:cstheme="minorHAnsi"/>
                <w:color w:val="000000"/>
                <w:sz w:val="17"/>
                <w:szCs w:val="17"/>
                <w:lang w:val="fr-FR" w:eastAsia="fr-FR"/>
              </w:rPr>
              <w:t xml:space="preserve"> </w:t>
            </w:r>
          </w:p>
        </w:tc>
      </w:tr>
      <w:tr w:rsidR="003E35B6" w:rsidRPr="008C1A4A" w:rsidTr="00981866">
        <w:trPr>
          <w:trHeight w:val="257"/>
          <w:jc w:val="center"/>
        </w:trPr>
        <w:tc>
          <w:tcPr>
            <w:tcW w:w="451" w:type="pct"/>
            <w:tcBorders>
              <w:top w:val="nil"/>
              <w:left w:val="nil"/>
              <w:bottom w:val="single" w:sz="8" w:space="0" w:color="7030A0"/>
              <w:right w:val="nil"/>
            </w:tcBorders>
            <w:shd w:val="clear" w:color="auto" w:fill="auto"/>
            <w:hideMark/>
          </w:tcPr>
          <w:p w:rsidR="003E35B6" w:rsidRPr="00C73365" w:rsidRDefault="00E32CFE"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ABX544</w:t>
            </w:r>
            <w:r w:rsidR="003E35B6" w:rsidRPr="00C73365">
              <w:rPr>
                <w:rFonts w:asciiTheme="minorHAnsi" w:hAnsiTheme="minorHAnsi" w:cstheme="minorHAnsi"/>
                <w:color w:val="000000"/>
                <w:sz w:val="17"/>
                <w:szCs w:val="17"/>
                <w:lang w:val="fr-FR" w:eastAsia="fr-FR"/>
              </w:rPr>
              <w:br/>
              <w:t>(§. 6.3.4)</w:t>
            </w:r>
          </w:p>
        </w:tc>
        <w:tc>
          <w:tcPr>
            <w:tcW w:w="645"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Anticorps polyclonaux</w:t>
            </w:r>
          </w:p>
        </w:tc>
        <w:tc>
          <w:tcPr>
            <w:tcW w:w="628"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Traitement prophylactique et curatif de l’Ebola</w:t>
            </w:r>
          </w:p>
        </w:tc>
        <w:tc>
          <w:tcPr>
            <w:tcW w:w="962"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Technologie mise en œuvre par </w:t>
            </w:r>
            <w:r w:rsidR="00EF089C" w:rsidRPr="00C73365">
              <w:rPr>
                <w:rFonts w:asciiTheme="minorHAnsi" w:hAnsiTheme="minorHAnsi" w:cstheme="minorHAnsi"/>
                <w:color w:val="000000"/>
                <w:sz w:val="17"/>
                <w:szCs w:val="17"/>
                <w:lang w:val="fr-FR" w:eastAsia="fr-FR"/>
              </w:rPr>
              <w:t>ABIVAX</w:t>
            </w:r>
            <w:r w:rsidRPr="00C73365">
              <w:rPr>
                <w:rFonts w:asciiTheme="minorHAnsi" w:hAnsiTheme="minorHAnsi" w:cstheme="minorHAnsi"/>
                <w:color w:val="000000"/>
                <w:sz w:val="17"/>
                <w:szCs w:val="17"/>
                <w:lang w:val="fr-FR" w:eastAsia="fr-FR"/>
              </w:rPr>
              <w:t xml:space="preserve"> </w:t>
            </w:r>
          </w:p>
        </w:tc>
        <w:tc>
          <w:tcPr>
            <w:tcW w:w="749"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 xml:space="preserve">Savoir-faire </w:t>
            </w:r>
            <w:r w:rsidR="00EF089C" w:rsidRPr="00C73365">
              <w:rPr>
                <w:rFonts w:asciiTheme="minorHAnsi" w:hAnsiTheme="minorHAnsi" w:cstheme="minorHAnsi"/>
                <w:color w:val="000000"/>
                <w:sz w:val="17"/>
                <w:szCs w:val="17"/>
                <w:lang w:val="fr-FR" w:eastAsia="fr-FR"/>
              </w:rPr>
              <w:t>ABIVAX</w:t>
            </w:r>
            <w:r w:rsidRPr="00C73365">
              <w:rPr>
                <w:rFonts w:asciiTheme="minorHAnsi" w:hAnsiTheme="minorHAnsi" w:cstheme="minorHAnsi"/>
                <w:color w:val="000000"/>
                <w:sz w:val="17"/>
                <w:szCs w:val="17"/>
                <w:lang w:val="fr-FR" w:eastAsia="fr-FR"/>
              </w:rPr>
              <w:t xml:space="preserve"> </w:t>
            </w:r>
          </w:p>
          <w:p w:rsidR="003E35B6" w:rsidRPr="00C73365" w:rsidRDefault="003E35B6" w:rsidP="00A96CCA">
            <w:pPr>
              <w:spacing w:after="0"/>
              <w:rPr>
                <w:rFonts w:asciiTheme="minorHAnsi" w:hAnsiTheme="minorHAnsi" w:cstheme="minorHAnsi"/>
                <w:color w:val="000000"/>
                <w:sz w:val="17"/>
                <w:szCs w:val="17"/>
                <w:lang w:val="fr-FR" w:eastAsia="fr-FR"/>
              </w:rPr>
            </w:pPr>
            <w:r w:rsidRPr="00C73365">
              <w:rPr>
                <w:rFonts w:asciiTheme="minorHAnsi" w:hAnsiTheme="minorHAnsi" w:cstheme="minorHAnsi"/>
                <w:color w:val="000000"/>
                <w:sz w:val="17"/>
                <w:szCs w:val="17"/>
                <w:lang w:val="fr-FR" w:eastAsia="fr-FR"/>
              </w:rPr>
              <w:t>Une demande de brevet déposée (§ 11.2.2.3)</w:t>
            </w:r>
          </w:p>
        </w:tc>
        <w:tc>
          <w:tcPr>
            <w:tcW w:w="1564" w:type="pct"/>
            <w:tcBorders>
              <w:top w:val="nil"/>
              <w:left w:val="nil"/>
              <w:bottom w:val="single" w:sz="8" w:space="0" w:color="7030A0"/>
              <w:right w:val="nil"/>
            </w:tcBorders>
            <w:shd w:val="clear" w:color="auto" w:fill="auto"/>
            <w:hideMark/>
          </w:tcPr>
          <w:p w:rsidR="003E35B6" w:rsidRPr="00C73365" w:rsidRDefault="003E35B6" w:rsidP="00A96CCA">
            <w:pPr>
              <w:spacing w:after="0"/>
              <w:rPr>
                <w:rFonts w:asciiTheme="minorHAnsi" w:hAnsiTheme="minorHAnsi" w:cstheme="minorHAnsi"/>
                <w:color w:val="000000"/>
                <w:sz w:val="17"/>
                <w:szCs w:val="17"/>
                <w:highlight w:val="yellow"/>
                <w:lang w:val="fr-FR" w:eastAsia="fr-FR"/>
              </w:rPr>
            </w:pPr>
            <w:r w:rsidRPr="00C73365">
              <w:rPr>
                <w:rFonts w:asciiTheme="minorHAnsi" w:hAnsiTheme="minorHAnsi" w:cstheme="minorHAnsi"/>
                <w:color w:val="000000"/>
                <w:sz w:val="17"/>
                <w:szCs w:val="17"/>
                <w:lang w:val="fr-FR" w:eastAsia="fr-FR"/>
              </w:rPr>
              <w:t xml:space="preserve">Passage en développement préclinique planifié </w:t>
            </w:r>
            <w:r w:rsidR="00A728D1" w:rsidRPr="00C73365">
              <w:rPr>
                <w:rFonts w:asciiTheme="minorHAnsi" w:hAnsiTheme="minorHAnsi" w:cstheme="minorHAnsi"/>
                <w:color w:val="000000"/>
                <w:sz w:val="17"/>
                <w:szCs w:val="17"/>
                <w:lang w:val="fr-FR" w:eastAsia="fr-FR"/>
              </w:rPr>
              <w:t>au cours de l’année 2018.</w:t>
            </w:r>
          </w:p>
        </w:tc>
      </w:tr>
    </w:tbl>
    <w:p w:rsidR="00F46C7B" w:rsidRPr="00C73365" w:rsidRDefault="00F46C7B" w:rsidP="004572A0">
      <w:pPr>
        <w:pStyle w:val="BodyText"/>
        <w:rPr>
          <w:rFonts w:asciiTheme="minorHAnsi" w:hAnsiTheme="minorHAnsi" w:cstheme="minorHAnsi"/>
          <w:lang w:val="fr-FR"/>
        </w:rPr>
        <w:sectPr w:rsidR="00F46C7B" w:rsidRPr="00C73365" w:rsidSect="007C607C">
          <w:pgSz w:w="16840" w:h="11907" w:orient="landscape" w:code="9"/>
          <w:pgMar w:top="1134" w:right="1134" w:bottom="1134" w:left="1134" w:header="709" w:footer="709" w:gutter="0"/>
          <w:cols w:space="708"/>
          <w:titlePg/>
          <w:docGrid w:linePitch="360"/>
        </w:sectPr>
      </w:pPr>
    </w:p>
    <w:p w:rsidR="000345FA" w:rsidRPr="00C73365" w:rsidRDefault="000345FA">
      <w:pPr>
        <w:pStyle w:val="ListParagraph"/>
        <w:ind w:left="0"/>
        <w:rPr>
          <w:rFonts w:asciiTheme="minorHAnsi" w:hAnsiTheme="minorHAnsi" w:cstheme="minorHAnsi"/>
          <w:color w:val="000000" w:themeColor="text1"/>
          <w:szCs w:val="22"/>
          <w:lang w:val="fr-FR"/>
        </w:rPr>
      </w:pPr>
    </w:p>
    <w:p w:rsidR="000345FA" w:rsidRPr="00C73365" w:rsidRDefault="000345FA">
      <w:pPr>
        <w:pStyle w:val="ListParagraph"/>
        <w:ind w:left="0"/>
        <w:rPr>
          <w:rFonts w:asciiTheme="minorHAnsi" w:hAnsiTheme="minorHAnsi" w:cstheme="minorHAnsi"/>
          <w:color w:val="000000" w:themeColor="text1"/>
          <w:szCs w:val="22"/>
          <w:lang w:val="fr-FR"/>
        </w:rPr>
      </w:pPr>
    </w:p>
    <w:p w:rsidR="00EA3D80" w:rsidRPr="00C73365" w:rsidRDefault="00F46C7B" w:rsidP="003B5C5D">
      <w:pPr>
        <w:pStyle w:val="ListParagraph"/>
        <w:ind w:left="0"/>
        <w:rPr>
          <w:rFonts w:asciiTheme="minorHAnsi" w:hAnsiTheme="minorHAnsi" w:cstheme="minorHAnsi"/>
          <w:color w:val="000000" w:themeColor="text1"/>
          <w:szCs w:val="22"/>
          <w:lang w:val="fr-FR"/>
        </w:rPr>
      </w:pPr>
      <w:r w:rsidRPr="00C73365">
        <w:rPr>
          <w:rFonts w:asciiTheme="minorHAnsi" w:hAnsiTheme="minorHAnsi" w:cstheme="minorHAnsi"/>
          <w:color w:val="000000" w:themeColor="text1"/>
          <w:szCs w:val="22"/>
          <w:lang w:val="fr-FR"/>
        </w:rPr>
        <w:t>L’évolution du portefeuille de R&amp;D d’</w:t>
      </w:r>
      <w:r w:rsidR="00EF089C" w:rsidRPr="00C73365">
        <w:rPr>
          <w:rFonts w:asciiTheme="minorHAnsi" w:hAnsiTheme="minorHAnsi" w:cstheme="minorHAnsi"/>
          <w:color w:val="000000" w:themeColor="text1"/>
          <w:szCs w:val="22"/>
          <w:lang w:val="fr-FR"/>
        </w:rPr>
        <w:t>ABIVAX</w:t>
      </w:r>
      <w:r w:rsidRPr="00C73365">
        <w:rPr>
          <w:rFonts w:asciiTheme="minorHAnsi" w:hAnsiTheme="minorHAnsi" w:cstheme="minorHAnsi"/>
          <w:color w:val="000000" w:themeColor="text1"/>
          <w:szCs w:val="22"/>
          <w:lang w:val="fr-FR"/>
        </w:rPr>
        <w:t xml:space="preserve"> par rapport à ce qui avait été décrit dans le </w:t>
      </w:r>
      <w:bookmarkStart w:id="281" w:name="_Hlk509241692"/>
      <w:r w:rsidRPr="00C73365">
        <w:rPr>
          <w:rFonts w:asciiTheme="minorHAnsi" w:hAnsiTheme="minorHAnsi" w:cstheme="minorHAnsi"/>
          <w:color w:val="000000" w:themeColor="text1"/>
          <w:szCs w:val="22"/>
          <w:lang w:val="fr-FR"/>
        </w:rPr>
        <w:t xml:space="preserve">Document de Base du 19 Mai 2015 </w:t>
      </w:r>
      <w:bookmarkEnd w:id="281"/>
      <w:r w:rsidRPr="00C73365">
        <w:rPr>
          <w:rFonts w:asciiTheme="minorHAnsi" w:hAnsiTheme="minorHAnsi" w:cstheme="minorHAnsi"/>
          <w:color w:val="000000" w:themeColor="text1"/>
          <w:szCs w:val="22"/>
          <w:lang w:val="fr-FR"/>
        </w:rPr>
        <w:t xml:space="preserve">est exposée dans le tableau de passage ci-dessous (en gras, programmes toujours actifs chez </w:t>
      </w:r>
      <w:r w:rsidR="00EF089C" w:rsidRPr="00C73365">
        <w:rPr>
          <w:rFonts w:asciiTheme="minorHAnsi" w:hAnsiTheme="minorHAnsi" w:cstheme="minorHAnsi"/>
          <w:color w:val="000000" w:themeColor="text1"/>
          <w:szCs w:val="22"/>
          <w:lang w:val="fr-FR"/>
        </w:rPr>
        <w:t>ABIVAX</w:t>
      </w:r>
      <w:r w:rsidRPr="00C73365">
        <w:rPr>
          <w:rFonts w:asciiTheme="minorHAnsi" w:hAnsiTheme="minorHAnsi" w:cstheme="minorHAnsi"/>
          <w:color w:val="000000" w:themeColor="text1"/>
          <w:szCs w:val="22"/>
          <w:lang w:val="fr-FR"/>
        </w:rPr>
        <w:t>)</w:t>
      </w:r>
      <w:r w:rsidR="003B5C5D" w:rsidRPr="00C73365">
        <w:rPr>
          <w:rFonts w:asciiTheme="minorHAnsi" w:hAnsiTheme="minorHAnsi" w:cstheme="minorHAnsi"/>
          <w:color w:val="000000" w:themeColor="text1"/>
          <w:szCs w:val="22"/>
          <w:lang w:val="fr-FR"/>
        </w:rPr>
        <w:t xml:space="preserve"> : </w:t>
      </w:r>
    </w:p>
    <w:tbl>
      <w:tblPr>
        <w:tblStyle w:val="ListTable3-Accent1"/>
        <w:tblW w:w="15938" w:type="dxa"/>
        <w:tblInd w:w="-691" w:type="dxa"/>
        <w:tblLook w:val="04A0" w:firstRow="1" w:lastRow="0" w:firstColumn="1" w:lastColumn="0" w:noHBand="0" w:noVBand="1"/>
      </w:tblPr>
      <w:tblGrid>
        <w:gridCol w:w="1409"/>
        <w:gridCol w:w="1418"/>
        <w:gridCol w:w="2123"/>
        <w:gridCol w:w="2088"/>
        <w:gridCol w:w="2486"/>
        <w:gridCol w:w="3004"/>
        <w:gridCol w:w="3410"/>
      </w:tblGrid>
      <w:tr w:rsidR="00940C88" w:rsidRPr="008C1A4A" w:rsidTr="00882FD7">
        <w:trPr>
          <w:cnfStyle w:val="100000000000" w:firstRow="1" w:lastRow="0" w:firstColumn="0" w:lastColumn="0" w:oddVBand="0" w:evenVBand="0" w:oddHBand="0" w:evenHBand="0" w:firstRowFirstColumn="0" w:firstRowLastColumn="0" w:lastRowFirstColumn="0" w:lastRowLastColumn="0"/>
          <w:trHeight w:val="475"/>
        </w:trPr>
        <w:tc>
          <w:tcPr>
            <w:cnfStyle w:val="001000000100" w:firstRow="0" w:lastRow="0" w:firstColumn="1" w:lastColumn="0" w:oddVBand="0" w:evenVBand="0" w:oddHBand="0" w:evenHBand="0" w:firstRowFirstColumn="1" w:firstRowLastColumn="0" w:lastRowFirstColumn="0" w:lastRowLastColumn="0"/>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93528" w:rsidRPr="00C73365" w:rsidRDefault="00693528" w:rsidP="00693528">
            <w:pPr>
              <w:spacing w:after="0"/>
              <w:jc w:val="center"/>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eastAsia="fr-FR"/>
              </w:rPr>
              <w:t>Dénomination</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93528" w:rsidRPr="00C73365" w:rsidRDefault="00693528" w:rsidP="0069352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eastAsia="fr-FR"/>
              </w:rPr>
              <w:t>Mécanisme d’action</w:t>
            </w:r>
          </w:p>
        </w:tc>
        <w:tc>
          <w:tcPr>
            <w:tcW w:w="2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93528" w:rsidRPr="00C73365" w:rsidRDefault="00693528" w:rsidP="0069352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eastAsia="fr-FR"/>
              </w:rPr>
              <w:t>Indications visées</w:t>
            </w:r>
          </w:p>
        </w:tc>
        <w:tc>
          <w:tcPr>
            <w:tcW w:w="20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93528" w:rsidRPr="00C73365" w:rsidRDefault="00693528" w:rsidP="0069352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val="fr-FR" w:eastAsia="fr-FR"/>
              </w:rPr>
              <w:t>Stade de développement indiqué dans le Document de Base du 19 Mai 2015</w:t>
            </w:r>
          </w:p>
        </w:tc>
        <w:tc>
          <w:tcPr>
            <w:tcW w:w="24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93528" w:rsidRPr="00C73365" w:rsidRDefault="00693528" w:rsidP="0069352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val="fr-FR" w:eastAsia="fr-FR"/>
              </w:rPr>
              <w:t>Impact à la date du Document de Référence 2016 sur les projets</w:t>
            </w:r>
          </w:p>
        </w:tc>
        <w:tc>
          <w:tcPr>
            <w:tcW w:w="30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693528" w:rsidRPr="00C73365" w:rsidRDefault="00693528" w:rsidP="0069352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val="fr-FR" w:eastAsia="fr-FR"/>
              </w:rPr>
              <w:t>Impact à la date du Document de Référence 2017 sur les projets</w:t>
            </w:r>
          </w:p>
        </w:tc>
        <w:tc>
          <w:tcPr>
            <w:tcW w:w="3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93528" w:rsidRPr="00C73365" w:rsidRDefault="00693528" w:rsidP="0069352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Cs w:val="20"/>
                <w:lang w:val="fr-FR" w:eastAsia="fr-FR"/>
              </w:rPr>
            </w:pPr>
            <w:r w:rsidRPr="00C73365">
              <w:rPr>
                <w:rFonts w:asciiTheme="minorHAnsi" w:hAnsiTheme="minorHAnsi" w:cstheme="minorHAnsi"/>
                <w:color w:val="FFFFFF"/>
                <w:szCs w:val="20"/>
                <w:lang w:val="fr-FR" w:eastAsia="fr-FR"/>
              </w:rPr>
              <w:t>Impact à la date du Document de Référence 201</w:t>
            </w:r>
            <w:r w:rsidRPr="00C73365">
              <w:rPr>
                <w:rFonts w:asciiTheme="minorHAnsi" w:hAnsiTheme="minorHAnsi" w:cstheme="minorHAnsi"/>
                <w:b w:val="0"/>
                <w:bCs w:val="0"/>
                <w:color w:val="FFFFFF"/>
                <w:szCs w:val="20"/>
                <w:lang w:val="fr-FR" w:eastAsia="fr-FR"/>
              </w:rPr>
              <w:t>8</w:t>
            </w:r>
            <w:r w:rsidRPr="00C73365">
              <w:rPr>
                <w:rFonts w:asciiTheme="minorHAnsi" w:hAnsiTheme="minorHAnsi" w:cstheme="minorHAnsi"/>
                <w:color w:val="FFFFFF"/>
                <w:szCs w:val="20"/>
                <w:lang w:val="fr-FR" w:eastAsia="fr-FR"/>
              </w:rPr>
              <w:t xml:space="preserve"> sur les projets</w:t>
            </w:r>
          </w:p>
        </w:tc>
      </w:tr>
      <w:tr w:rsidR="00940C88" w:rsidRPr="008C1A4A" w:rsidTr="00882FD7">
        <w:trPr>
          <w:cnfStyle w:val="000000100000" w:firstRow="0" w:lastRow="0" w:firstColumn="0" w:lastColumn="0" w:oddVBand="0" w:evenVBand="0" w:oddHBand="1" w:evenHBand="0" w:firstRowFirstColumn="0" w:firstRowLastColumn="0" w:lastRowFirstColumn="0" w:lastRowLastColumn="0"/>
          <w:trHeight w:val="3436"/>
        </w:trPr>
        <w:tc>
          <w:tcPr>
            <w:cnfStyle w:val="001000000000" w:firstRow="0" w:lastRow="0" w:firstColumn="1" w:lastColumn="0" w:oddVBand="0" w:evenVBand="0" w:oddHBand="0" w:evenHBand="0" w:firstRowFirstColumn="0" w:firstRowLastColumn="0" w:lastRowFirstColumn="0" w:lastRowLastColumn="0"/>
            <w:tcW w:w="1409" w:type="dxa"/>
            <w:tcBorders>
              <w:left w:val="single" w:sz="4" w:space="0" w:color="5B9BD5" w:themeColor="accent1"/>
              <w:right w:val="single" w:sz="4" w:space="0" w:color="5B9BD5" w:themeColor="accent1"/>
            </w:tcBorders>
            <w:hideMark/>
          </w:tcPr>
          <w:p w:rsidR="00940C88" w:rsidRPr="00C73365" w:rsidRDefault="00940C88" w:rsidP="00693528">
            <w:pPr>
              <w:spacing w:after="0"/>
              <w:rPr>
                <w:rFonts w:asciiTheme="minorHAnsi" w:hAnsiTheme="minorHAnsi" w:cstheme="minorHAnsi"/>
                <w:b w:val="0"/>
                <w:bCs w:val="0"/>
                <w:color w:val="000000"/>
                <w:sz w:val="14"/>
                <w:szCs w:val="14"/>
                <w:lang w:val="fr-FR" w:eastAsia="fr-FR"/>
              </w:rPr>
            </w:pPr>
            <w:r w:rsidRPr="00C73365">
              <w:rPr>
                <w:rFonts w:asciiTheme="minorHAnsi" w:hAnsiTheme="minorHAnsi" w:cstheme="minorHAnsi"/>
                <w:color w:val="000000"/>
                <w:sz w:val="14"/>
                <w:szCs w:val="14"/>
                <w:lang w:eastAsia="fr-FR"/>
              </w:rPr>
              <w:t>ABX464</w:t>
            </w:r>
          </w:p>
        </w:tc>
        <w:tc>
          <w:tcPr>
            <w:tcW w:w="1418" w:type="dxa"/>
            <w:tcBorders>
              <w:left w:val="single" w:sz="4" w:space="0" w:color="5B9BD5" w:themeColor="accent1"/>
              <w:right w:val="single" w:sz="4" w:space="0" w:color="5B9BD5" w:themeColor="accent1"/>
            </w:tcBorders>
            <w:hideMark/>
          </w:tcPr>
          <w:p w:rsidR="00940C88" w:rsidRPr="00C73365" w:rsidRDefault="00940C88" w:rsidP="0069352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Petite molécule bloquant la réplication virale</w:t>
            </w:r>
          </w:p>
        </w:tc>
        <w:tc>
          <w:tcPr>
            <w:tcW w:w="2123" w:type="dxa"/>
            <w:tcBorders>
              <w:left w:val="single" w:sz="4" w:space="0" w:color="5B9BD5" w:themeColor="accent1"/>
              <w:right w:val="single" w:sz="4" w:space="0" w:color="5B9BD5" w:themeColor="accent1"/>
            </w:tcBorders>
            <w:hideMark/>
          </w:tcPr>
          <w:p w:rsidR="00940C88" w:rsidRPr="00C73365" w:rsidRDefault="00940C88" w:rsidP="0069352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Guérison fonctionnelle du VIH</w:t>
            </w:r>
          </w:p>
        </w:tc>
        <w:tc>
          <w:tcPr>
            <w:tcW w:w="2088" w:type="dxa"/>
            <w:tcBorders>
              <w:left w:val="single" w:sz="4" w:space="0" w:color="5B9BD5" w:themeColor="accent1"/>
              <w:right w:val="single" w:sz="4" w:space="0" w:color="5B9BD5" w:themeColor="accent1"/>
            </w:tcBorders>
            <w:hideMark/>
          </w:tcPr>
          <w:p w:rsidR="00940C88" w:rsidRPr="00C73365" w:rsidRDefault="00940C88" w:rsidP="0069352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Deux essais de Phase I finalisés en 2014 – Phase IIa  en cours à l’Ile  Maurice) – résultats attendus à l’automne 2015.</w:t>
            </w:r>
          </w:p>
          <w:p w:rsidR="00882FD7" w:rsidRPr="00C73365" w:rsidRDefault="00882FD7" w:rsidP="0069352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p>
          <w:p w:rsidR="00940C88" w:rsidRPr="00C73365" w:rsidRDefault="00940C88" w:rsidP="0069352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Etape suivante prévue au moment du Document de Base: deux essais de Phase IIb en monothérapie et en combinaison permettant d’envisager un début de phase III fin 2016 / début 2017.</w:t>
            </w:r>
          </w:p>
        </w:tc>
        <w:tc>
          <w:tcPr>
            <w:tcW w:w="2486" w:type="dxa"/>
            <w:tcBorders>
              <w:left w:val="single" w:sz="4" w:space="0" w:color="5B9BD5" w:themeColor="accent1"/>
              <w:right w:val="single" w:sz="4" w:space="0" w:color="5B9BD5" w:themeColor="accent1"/>
            </w:tcBorders>
            <w:hideMark/>
          </w:tcPr>
          <w:p w:rsidR="00940C88" w:rsidRPr="00C73365" w:rsidRDefault="00940C88" w:rsidP="0069352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 xml:space="preserve">Une deuxième phase IIa a été initiée en 2016. Premiers résultats attendus en Avril 2017. Si positifs, le recrutement des patients pour la phase IIb devrait commencer en 2017. Etude spécifique (mécanisme d’action) en attente d’approbation en </w:t>
            </w:r>
            <w:r w:rsidR="00C93577" w:rsidRPr="00C73365">
              <w:rPr>
                <w:rFonts w:asciiTheme="minorHAnsi" w:hAnsiTheme="minorHAnsi" w:cstheme="minorHAnsi"/>
                <w:b/>
                <w:bCs/>
                <w:color w:val="000000"/>
                <w:sz w:val="14"/>
                <w:szCs w:val="14"/>
                <w:lang w:val="fr-FR" w:eastAsia="fr-FR"/>
              </w:rPr>
              <w:t>Espagne (</w:t>
            </w:r>
            <w:r w:rsidRPr="00C73365">
              <w:rPr>
                <w:rFonts w:asciiTheme="minorHAnsi" w:hAnsiTheme="minorHAnsi" w:cstheme="minorHAnsi"/>
                <w:b/>
                <w:bCs/>
                <w:color w:val="000000"/>
                <w:sz w:val="14"/>
                <w:szCs w:val="14"/>
                <w:lang w:val="fr-FR" w:eastAsia="fr-FR"/>
              </w:rPr>
              <w:t>étude dite « compartimentale ») – Etude clinique sur l’effet anti inflammatoire du produit en préparation.</w:t>
            </w:r>
          </w:p>
        </w:tc>
        <w:tc>
          <w:tcPr>
            <w:tcW w:w="3004" w:type="dxa"/>
            <w:tcBorders>
              <w:left w:val="single" w:sz="4" w:space="0" w:color="5B9BD5" w:themeColor="accent1"/>
              <w:right w:val="single" w:sz="4" w:space="0" w:color="5B9BD5" w:themeColor="accent1"/>
            </w:tcBorders>
            <w:hideMark/>
          </w:tcPr>
          <w:p w:rsidR="00940C88" w:rsidRPr="00C73365" w:rsidRDefault="00940C88" w:rsidP="00665DC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HIV : Une deuxième étude de phase IIa (ABX464-004) a été initiée en 2016. Premiers résultats communiqués le 2 Mai 2017 indiquent un impact de l’</w:t>
            </w:r>
            <w:r w:rsidR="00E32CFE" w:rsidRPr="00C73365">
              <w:rPr>
                <w:rFonts w:asciiTheme="minorHAnsi" w:hAnsiTheme="minorHAnsi" w:cstheme="minorHAnsi"/>
                <w:b/>
                <w:bCs/>
                <w:color w:val="000000"/>
                <w:sz w:val="14"/>
                <w:szCs w:val="14"/>
                <w:lang w:val="fr-FR" w:eastAsia="fr-FR"/>
              </w:rPr>
              <w:t>ABX464</w:t>
            </w:r>
            <w:r w:rsidRPr="00C73365">
              <w:rPr>
                <w:rFonts w:asciiTheme="minorHAnsi" w:hAnsiTheme="minorHAnsi" w:cstheme="minorHAnsi"/>
                <w:b/>
                <w:bCs/>
                <w:color w:val="000000"/>
                <w:sz w:val="14"/>
                <w:szCs w:val="14"/>
                <w:lang w:val="fr-FR" w:eastAsia="fr-FR"/>
              </w:rPr>
              <w:t xml:space="preserve"> sur les cellules réservoir sanguines. Une troisième étude de Phase IIa spécifique (mécanisme d’action) en Espagne (étude dite « compartimentale ») (ABX464-005) a débuté en avril 2017 sur les cellules réservoir de l’intestin</w:t>
            </w:r>
          </w:p>
          <w:p w:rsidR="00940C88" w:rsidRPr="00C73365" w:rsidRDefault="00940C88" w:rsidP="00665DC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p>
          <w:p w:rsidR="00940C88" w:rsidRPr="00C73365" w:rsidRDefault="00940C88" w:rsidP="00665DC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Inflammation : Une première étude de Phase Iia (ABX464-101) sur l’effet anti inflammatoire du produit en préparation et démarrera durant le premier semestre 2017</w:t>
            </w:r>
          </w:p>
        </w:tc>
        <w:tc>
          <w:tcPr>
            <w:tcW w:w="3410" w:type="dxa"/>
            <w:tcBorders>
              <w:left w:val="single" w:sz="4" w:space="0" w:color="5B9BD5" w:themeColor="accent1"/>
              <w:right w:val="single" w:sz="4" w:space="0" w:color="5B9BD5" w:themeColor="accent1"/>
            </w:tcBorders>
          </w:tcPr>
          <w:p w:rsidR="00940C88" w:rsidRPr="00C73365" w:rsidRDefault="00940C88" w:rsidP="0050466F">
            <w:pPr>
              <w:pStyle w:val="NormalWeb"/>
              <w:shd w:val="clear" w:color="auto" w:fill="FFFFFF"/>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4"/>
                <w:szCs w:val="14"/>
                <w:lang w:val="fr-FR"/>
              </w:rPr>
            </w:pPr>
            <w:r w:rsidRPr="00C73365">
              <w:rPr>
                <w:rFonts w:asciiTheme="minorHAnsi" w:hAnsiTheme="minorHAnsi" w:cstheme="minorHAnsi"/>
                <w:b/>
                <w:bCs/>
                <w:color w:val="000000"/>
                <w:sz w:val="14"/>
                <w:szCs w:val="14"/>
                <w:lang w:val="fr-FR" w:eastAsia="fr-FR"/>
              </w:rPr>
              <w:t xml:space="preserve">HIV : Résultats de la troisième étude de phase IIa (ABX464-005) </w:t>
            </w:r>
            <w:r w:rsidRPr="00C73365">
              <w:rPr>
                <w:rFonts w:asciiTheme="minorHAnsi" w:hAnsiTheme="minorHAnsi" w:cstheme="minorHAnsi"/>
                <w:b/>
                <w:bCs/>
                <w:sz w:val="14"/>
                <w:szCs w:val="14"/>
                <w:lang w:val="fr-FR"/>
              </w:rPr>
              <w:t>communiqués</w:t>
            </w:r>
            <w:r w:rsidR="00E73A7C">
              <w:rPr>
                <w:rFonts w:asciiTheme="minorHAnsi" w:hAnsiTheme="minorHAnsi" w:cstheme="minorHAnsi"/>
                <w:b/>
                <w:bCs/>
                <w:sz w:val="14"/>
                <w:szCs w:val="14"/>
                <w:lang w:val="fr-FR"/>
              </w:rPr>
              <w:t xml:space="preserve"> le 28 septembre</w:t>
            </w:r>
            <w:r w:rsidRPr="00C73365">
              <w:rPr>
                <w:rFonts w:asciiTheme="minorHAnsi" w:hAnsiTheme="minorHAnsi" w:cstheme="minorHAnsi"/>
                <w:b/>
                <w:bCs/>
                <w:sz w:val="14"/>
                <w:szCs w:val="14"/>
                <w:lang w:val="fr-FR"/>
              </w:rPr>
              <w:t xml:space="preserve"> 2017 montrent une diminution statistiquement significative (p&lt;0.01) de l’ADN viral dans les cellules de sang périphériques CD4+. Un deuxième groupe de patients recevant ABX464 pendant 84 jours est en cours de recrutement. Les résultats préliminaires de ce deuxième groupe sont attendus </w:t>
            </w:r>
            <w:r w:rsidR="001F273E" w:rsidRPr="00C73365">
              <w:rPr>
                <w:rFonts w:asciiTheme="minorHAnsi" w:hAnsiTheme="minorHAnsi" w:cstheme="minorHAnsi"/>
                <w:b/>
                <w:bCs/>
                <w:sz w:val="14"/>
                <w:szCs w:val="14"/>
                <w:lang w:val="fr-FR"/>
              </w:rPr>
              <w:t xml:space="preserve">au </w:t>
            </w:r>
            <w:r w:rsidR="003704A6">
              <w:rPr>
                <w:rFonts w:asciiTheme="minorHAnsi" w:hAnsiTheme="minorHAnsi" w:cstheme="minorHAnsi"/>
                <w:b/>
                <w:bCs/>
                <w:sz w:val="14"/>
                <w:szCs w:val="14"/>
                <w:lang w:val="fr-FR"/>
              </w:rPr>
              <w:t xml:space="preserve">début du </w:t>
            </w:r>
            <w:r w:rsidR="001F273E" w:rsidRPr="00C73365">
              <w:rPr>
                <w:rFonts w:asciiTheme="minorHAnsi" w:hAnsiTheme="minorHAnsi" w:cstheme="minorHAnsi"/>
                <w:b/>
                <w:bCs/>
                <w:sz w:val="14"/>
                <w:szCs w:val="14"/>
                <w:lang w:val="fr-FR"/>
              </w:rPr>
              <w:t>3</w:t>
            </w:r>
            <w:r w:rsidR="001F273E" w:rsidRPr="00C73365">
              <w:rPr>
                <w:rFonts w:asciiTheme="minorHAnsi" w:hAnsiTheme="minorHAnsi" w:cstheme="minorHAnsi"/>
                <w:b/>
                <w:bCs/>
                <w:sz w:val="14"/>
                <w:szCs w:val="14"/>
                <w:vertAlign w:val="superscript"/>
                <w:lang w:val="fr-FR"/>
              </w:rPr>
              <w:t>ème</w:t>
            </w:r>
            <w:r w:rsidR="001F273E" w:rsidRPr="00C73365">
              <w:rPr>
                <w:rFonts w:asciiTheme="minorHAnsi" w:hAnsiTheme="minorHAnsi" w:cstheme="minorHAnsi"/>
                <w:b/>
                <w:bCs/>
                <w:sz w:val="14"/>
                <w:szCs w:val="14"/>
                <w:lang w:val="fr-FR"/>
              </w:rPr>
              <w:t xml:space="preserve"> trimestre 2018</w:t>
            </w:r>
            <w:r w:rsidRPr="00C73365">
              <w:rPr>
                <w:rFonts w:asciiTheme="minorHAnsi" w:hAnsiTheme="minorHAnsi" w:cstheme="minorHAnsi"/>
                <w:b/>
                <w:bCs/>
                <w:sz w:val="14"/>
                <w:szCs w:val="14"/>
                <w:lang w:val="fr-FR"/>
              </w:rPr>
              <w:t xml:space="preserve">. </w:t>
            </w:r>
          </w:p>
          <w:p w:rsidR="00940C88" w:rsidRPr="00C73365" w:rsidRDefault="00940C88" w:rsidP="00D16FD8">
            <w:pPr>
              <w:pStyle w:val="NormalWeb"/>
              <w:shd w:val="clear" w:color="auto" w:fill="FFFFFF"/>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4"/>
                <w:szCs w:val="14"/>
                <w:lang w:val="fr-FR"/>
              </w:rPr>
            </w:pPr>
            <w:r w:rsidRPr="00C73365">
              <w:rPr>
                <w:rFonts w:asciiTheme="minorHAnsi" w:hAnsiTheme="minorHAnsi" w:cstheme="minorHAnsi"/>
                <w:b/>
                <w:bCs/>
                <w:sz w:val="14"/>
                <w:szCs w:val="14"/>
                <w:lang w:val="fr-FR"/>
              </w:rPr>
              <w:t xml:space="preserve">Inflammation : </w:t>
            </w:r>
            <w:r w:rsidRPr="00C73365">
              <w:rPr>
                <w:rFonts w:asciiTheme="minorHAnsi" w:hAnsiTheme="minorHAnsi" w:cstheme="minorHAnsi"/>
                <w:b/>
                <w:sz w:val="14"/>
                <w:szCs w:val="14"/>
                <w:lang w:val="fr-FR"/>
              </w:rPr>
              <w:t>la société a initié au</w:t>
            </w:r>
            <w:r w:rsidR="003704A6">
              <w:rPr>
                <w:rFonts w:asciiTheme="minorHAnsi" w:hAnsiTheme="minorHAnsi" w:cstheme="minorHAnsi"/>
                <w:b/>
                <w:sz w:val="14"/>
                <w:szCs w:val="14"/>
                <w:lang w:val="fr-FR"/>
              </w:rPr>
              <w:t xml:space="preserve"> cours </w:t>
            </w:r>
            <w:r w:rsidRPr="00C73365">
              <w:rPr>
                <w:rFonts w:asciiTheme="minorHAnsi" w:hAnsiTheme="minorHAnsi" w:cstheme="minorHAnsi"/>
                <w:b/>
                <w:sz w:val="14"/>
                <w:szCs w:val="14"/>
                <w:lang w:val="fr-FR"/>
              </w:rPr>
              <w:t xml:space="preserve">du troisième trimestre 2017 une étude clinique de preuve de concept </w:t>
            </w:r>
            <w:r w:rsidR="00E32CFE" w:rsidRPr="00C73365">
              <w:rPr>
                <w:rFonts w:asciiTheme="minorHAnsi" w:hAnsiTheme="minorHAnsi" w:cstheme="minorHAnsi"/>
                <w:b/>
                <w:sz w:val="14"/>
                <w:szCs w:val="14"/>
                <w:lang w:val="fr-FR"/>
              </w:rPr>
              <w:t>ABX464</w:t>
            </w:r>
            <w:r w:rsidRPr="00C73365">
              <w:rPr>
                <w:rFonts w:asciiTheme="minorHAnsi" w:hAnsiTheme="minorHAnsi" w:cstheme="minorHAnsi"/>
                <w:b/>
                <w:sz w:val="14"/>
                <w:szCs w:val="14"/>
                <w:lang w:val="fr-FR"/>
              </w:rPr>
              <w:t xml:space="preserve">-101 dans 8 pays européens. Les résultats de cette étude clinique d’induction sont attendus en </w:t>
            </w:r>
            <w:r w:rsidR="00E73A7C">
              <w:rPr>
                <w:rFonts w:asciiTheme="minorHAnsi" w:hAnsiTheme="minorHAnsi" w:cstheme="minorHAnsi"/>
                <w:b/>
                <w:sz w:val="14"/>
                <w:szCs w:val="14"/>
                <w:lang w:val="fr-FR"/>
              </w:rPr>
              <w:t>septembre</w:t>
            </w:r>
            <w:r w:rsidRPr="00C73365">
              <w:rPr>
                <w:rFonts w:asciiTheme="minorHAnsi" w:hAnsiTheme="minorHAnsi" w:cstheme="minorHAnsi"/>
                <w:b/>
                <w:sz w:val="14"/>
                <w:szCs w:val="14"/>
                <w:lang w:val="fr-FR"/>
              </w:rPr>
              <w:t xml:space="preserve"> 2018. Cette étude d’induction est suivie d’une étude de maintenance, ABX464-102, offrant la possibilité aux patients d’être traité</w:t>
            </w:r>
            <w:r w:rsidR="00F53425">
              <w:rPr>
                <w:rFonts w:asciiTheme="minorHAnsi" w:hAnsiTheme="minorHAnsi" w:cstheme="minorHAnsi"/>
                <w:b/>
                <w:sz w:val="14"/>
                <w:szCs w:val="14"/>
                <w:lang w:val="fr-FR"/>
              </w:rPr>
              <w:t>s</w:t>
            </w:r>
            <w:r w:rsidRPr="00C73365">
              <w:rPr>
                <w:rFonts w:asciiTheme="minorHAnsi" w:hAnsiTheme="minorHAnsi" w:cstheme="minorHAnsi"/>
                <w:b/>
                <w:sz w:val="14"/>
                <w:szCs w:val="14"/>
                <w:lang w:val="fr-FR"/>
              </w:rPr>
              <w:t xml:space="preserve"> par </w:t>
            </w:r>
            <w:r w:rsidR="00E32CFE" w:rsidRPr="00C73365">
              <w:rPr>
                <w:rFonts w:asciiTheme="minorHAnsi" w:hAnsiTheme="minorHAnsi" w:cstheme="minorHAnsi"/>
                <w:b/>
                <w:sz w:val="14"/>
                <w:szCs w:val="14"/>
                <w:lang w:val="fr-FR"/>
              </w:rPr>
              <w:t>ABX464</w:t>
            </w:r>
            <w:r w:rsidRPr="00C73365">
              <w:rPr>
                <w:rFonts w:asciiTheme="minorHAnsi" w:hAnsiTheme="minorHAnsi" w:cstheme="minorHAnsi"/>
                <w:b/>
                <w:sz w:val="14"/>
                <w:szCs w:val="14"/>
                <w:lang w:val="fr-FR"/>
              </w:rPr>
              <w:t xml:space="preserve"> pendant une période d’une année. Les résultats de cette étude clinique de maintenance sont attendus </w:t>
            </w:r>
            <w:r w:rsidR="001F273E" w:rsidRPr="00C73365">
              <w:rPr>
                <w:rFonts w:asciiTheme="minorHAnsi" w:hAnsiTheme="minorHAnsi" w:cstheme="minorHAnsi"/>
                <w:b/>
                <w:sz w:val="14"/>
                <w:szCs w:val="14"/>
                <w:lang w:val="fr-FR"/>
              </w:rPr>
              <w:t>à mi-2019</w:t>
            </w:r>
            <w:r w:rsidRPr="00C73365">
              <w:rPr>
                <w:rFonts w:asciiTheme="minorHAnsi" w:hAnsiTheme="minorHAnsi" w:cstheme="minorHAnsi"/>
                <w:b/>
                <w:sz w:val="14"/>
                <w:szCs w:val="14"/>
                <w:lang w:val="fr-FR"/>
              </w:rPr>
              <w:t>.</w:t>
            </w:r>
          </w:p>
        </w:tc>
      </w:tr>
      <w:tr w:rsidR="00882FD7" w:rsidRPr="008C1A4A" w:rsidTr="00882FD7">
        <w:trPr>
          <w:trHeight w:val="1729"/>
        </w:trPr>
        <w:tc>
          <w:tcPr>
            <w:cnfStyle w:val="001000000000" w:firstRow="0" w:lastRow="0" w:firstColumn="1" w:lastColumn="0" w:oddVBand="0" w:evenVBand="0" w:oddHBand="0" w:evenHBand="0" w:firstRowFirstColumn="0" w:firstRowLastColumn="0" w:lastRowFirstColumn="0" w:lastRowLastColumn="0"/>
            <w:tcW w:w="14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rsidR="00693528" w:rsidRPr="00C73365" w:rsidRDefault="00693528" w:rsidP="00693528">
            <w:pPr>
              <w:spacing w:after="0"/>
              <w:rPr>
                <w:rFonts w:asciiTheme="minorHAnsi" w:hAnsiTheme="minorHAnsi" w:cstheme="minorHAnsi"/>
                <w:b w:val="0"/>
                <w:bCs w:val="0"/>
                <w:color w:val="000000"/>
                <w:sz w:val="14"/>
                <w:szCs w:val="14"/>
                <w:lang w:val="fr-FR" w:eastAsia="fr-FR"/>
              </w:rPr>
            </w:pPr>
            <w:r w:rsidRPr="00C73365">
              <w:rPr>
                <w:rFonts w:asciiTheme="minorHAnsi" w:hAnsiTheme="minorHAnsi" w:cstheme="minorHAnsi"/>
                <w:color w:val="000000"/>
                <w:sz w:val="14"/>
                <w:szCs w:val="14"/>
                <w:lang w:eastAsia="fr-FR"/>
              </w:rPr>
              <w:t>ABX196</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rsidR="00693528" w:rsidRPr="00C73365" w:rsidRDefault="00693528" w:rsidP="006935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Agoniste iNKT</w:t>
            </w:r>
          </w:p>
        </w:tc>
        <w:tc>
          <w:tcPr>
            <w:tcW w:w="212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rsidR="00693528" w:rsidRPr="00C73365" w:rsidRDefault="00693528" w:rsidP="006935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Adjuvant vaccinal –Stimulant Immunitaire</w:t>
            </w:r>
          </w:p>
        </w:tc>
        <w:tc>
          <w:tcPr>
            <w:tcW w:w="208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rsidR="00693528" w:rsidRPr="00C73365" w:rsidRDefault="00693528" w:rsidP="006935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Premier essai de Ph I finalisé en 2013 – Nouvelles voies d’administration (spray nasal, microneedles) en cours de validation préclinique– Nouvel essai de Phase I prévu en 2016</w:t>
            </w:r>
          </w:p>
        </w:tc>
        <w:tc>
          <w:tcPr>
            <w:tcW w:w="24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rsidR="00693528" w:rsidRPr="00C73365" w:rsidRDefault="00EF089C" w:rsidP="006935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ABIVAX</w:t>
            </w:r>
            <w:r w:rsidR="00693528" w:rsidRPr="00C73365">
              <w:rPr>
                <w:rFonts w:asciiTheme="minorHAnsi" w:hAnsiTheme="minorHAnsi" w:cstheme="minorHAnsi"/>
                <w:b/>
                <w:bCs/>
                <w:color w:val="000000"/>
                <w:sz w:val="14"/>
                <w:szCs w:val="14"/>
                <w:lang w:val="fr-FR" w:eastAsia="fr-FR"/>
              </w:rPr>
              <w:t xml:space="preserve"> conduit des tests de preuve de concept précliniques pour des applications immuno-oncologiques et concentrent ses efforts sur ce domaine thérapeutique qui lui parait prioritaire dans le contexte actuel des thérapies anti-cancéreuses. En ce qui concerne les applications anti-infectieuses, de nouvelles études précliniques sont prévues en 2017</w:t>
            </w:r>
          </w:p>
        </w:tc>
        <w:tc>
          <w:tcPr>
            <w:tcW w:w="300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rsidR="00693528" w:rsidRPr="00C73365" w:rsidRDefault="00EF089C" w:rsidP="006935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highlight w:val="yellow"/>
                <w:lang w:val="fr-FR" w:eastAsia="fr-FR"/>
              </w:rPr>
            </w:pPr>
            <w:r w:rsidRPr="00C73365">
              <w:rPr>
                <w:rFonts w:asciiTheme="minorHAnsi" w:hAnsiTheme="minorHAnsi" w:cstheme="minorHAnsi"/>
                <w:b/>
                <w:bCs/>
                <w:color w:val="000000"/>
                <w:sz w:val="14"/>
                <w:szCs w:val="14"/>
                <w:lang w:val="fr-FR" w:eastAsia="fr-FR"/>
              </w:rPr>
              <w:t>ABIVAX</w:t>
            </w:r>
            <w:r w:rsidR="00693528" w:rsidRPr="00C73365">
              <w:rPr>
                <w:rFonts w:asciiTheme="minorHAnsi" w:hAnsiTheme="minorHAnsi" w:cstheme="minorHAnsi"/>
                <w:b/>
                <w:bCs/>
                <w:color w:val="000000"/>
                <w:sz w:val="14"/>
                <w:szCs w:val="14"/>
                <w:lang w:val="fr-FR" w:eastAsia="fr-FR"/>
              </w:rPr>
              <w:t xml:space="preserve"> conduit des tests de preuve de concept précliniques pour des applications immuno-oncologiques et concentrent ses efforts sur ce domaine thérapeutique qui lui parait prioritaire dans le contexte actuel des thérapies anti-cancéreuses - suite à la décision de la société de proposer le produit en licence, une recherche active de partenaire est actuellement en cours dans le domaine de l’immuno-oncologie   </w:t>
            </w:r>
          </w:p>
        </w:tc>
        <w:tc>
          <w:tcPr>
            <w:tcW w:w="3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3B5C5D" w:rsidRPr="00C73365" w:rsidRDefault="003B5C5D" w:rsidP="003B5C5D">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4"/>
                <w:szCs w:val="14"/>
                <w:lang w:val="fr-FR" w:eastAsia="fr-FR"/>
              </w:rPr>
            </w:pPr>
            <w:r w:rsidRPr="00C73365">
              <w:rPr>
                <w:rFonts w:asciiTheme="minorHAnsi" w:hAnsiTheme="minorHAnsi" w:cstheme="minorHAnsi"/>
                <w:b/>
                <w:color w:val="000000"/>
                <w:sz w:val="14"/>
                <w:szCs w:val="14"/>
                <w:lang w:val="fr-FR" w:eastAsia="fr-FR"/>
              </w:rPr>
              <w:t xml:space="preserve">Données d’efficacité Pré-Cliniques générées en 2017 pour l’hépatocarcinome. </w:t>
            </w:r>
            <w:r w:rsidR="00116EAF" w:rsidRPr="00116EAF">
              <w:rPr>
                <w:rFonts w:asciiTheme="minorHAnsi" w:hAnsiTheme="minorHAnsi" w:cstheme="minorHAnsi"/>
                <w:b/>
                <w:color w:val="000000"/>
                <w:sz w:val="14"/>
                <w:szCs w:val="14"/>
                <w:lang w:val="fr-FR" w:eastAsia="fr-FR"/>
              </w:rPr>
              <w:t>ABIVAX prépare actuellement une étude de Phase I de preuve de concept pour l’hépatocarcinome avancé avec un lancement prévu en fin d’année 2018.</w:t>
            </w:r>
          </w:p>
          <w:p w:rsidR="00693528" w:rsidRPr="00C73365" w:rsidRDefault="003B5C5D" w:rsidP="003B5C5D">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color w:val="000000"/>
                <w:sz w:val="14"/>
                <w:szCs w:val="14"/>
                <w:lang w:val="fr-FR" w:eastAsia="fr-FR"/>
              </w:rPr>
              <w:t>Recherche de partenaires dans l’immuno-oncologie</w:t>
            </w:r>
            <w:r w:rsidR="001F273E" w:rsidRPr="00C73365">
              <w:rPr>
                <w:rFonts w:asciiTheme="minorHAnsi" w:hAnsiTheme="minorHAnsi" w:cstheme="minorHAnsi"/>
                <w:b/>
                <w:color w:val="000000"/>
                <w:sz w:val="14"/>
                <w:szCs w:val="14"/>
                <w:lang w:val="fr-FR" w:eastAsia="fr-FR"/>
              </w:rPr>
              <w:t xml:space="preserve">, après </w:t>
            </w:r>
            <w:r w:rsidR="004F6B63" w:rsidRPr="00C73365">
              <w:rPr>
                <w:rFonts w:asciiTheme="minorHAnsi" w:hAnsiTheme="minorHAnsi" w:cstheme="minorHAnsi"/>
                <w:b/>
                <w:color w:val="000000"/>
                <w:sz w:val="14"/>
                <w:szCs w:val="14"/>
                <w:lang w:val="fr-FR" w:eastAsia="fr-FR"/>
              </w:rPr>
              <w:t xml:space="preserve">atteinte des </w:t>
            </w:r>
            <w:r w:rsidR="001F273E" w:rsidRPr="00C73365">
              <w:rPr>
                <w:rFonts w:asciiTheme="minorHAnsi" w:hAnsiTheme="minorHAnsi" w:cstheme="minorHAnsi"/>
                <w:b/>
                <w:color w:val="000000"/>
                <w:sz w:val="14"/>
                <w:szCs w:val="14"/>
                <w:lang w:val="fr-FR" w:eastAsia="fr-FR"/>
              </w:rPr>
              <w:t>premiers résultats cliniques d’efficacité dans l’hépatocarcinome</w:t>
            </w:r>
            <w:r w:rsidR="004F6B63" w:rsidRPr="00C73365">
              <w:rPr>
                <w:rFonts w:asciiTheme="minorHAnsi" w:hAnsiTheme="minorHAnsi" w:cstheme="minorHAnsi"/>
                <w:b/>
                <w:color w:val="000000"/>
                <w:sz w:val="14"/>
                <w:szCs w:val="14"/>
                <w:lang w:val="fr-FR" w:eastAsia="fr-FR"/>
              </w:rPr>
              <w:t xml:space="preserve"> avancé</w:t>
            </w:r>
            <w:r w:rsidR="001F273E" w:rsidRPr="00C73365">
              <w:rPr>
                <w:rFonts w:asciiTheme="minorHAnsi" w:hAnsiTheme="minorHAnsi" w:cstheme="minorHAnsi"/>
                <w:b/>
                <w:color w:val="000000"/>
                <w:sz w:val="14"/>
                <w:szCs w:val="14"/>
                <w:lang w:val="fr-FR" w:eastAsia="fr-FR"/>
              </w:rPr>
              <w:t>.</w:t>
            </w:r>
          </w:p>
        </w:tc>
      </w:tr>
      <w:tr w:rsidR="00882FD7" w:rsidRPr="008C1A4A" w:rsidTr="00882FD7">
        <w:trPr>
          <w:cnfStyle w:val="000000100000" w:firstRow="0" w:lastRow="0" w:firstColumn="0" w:lastColumn="0" w:oddVBand="0" w:evenVBand="0" w:oddHBand="1" w:evenHBand="0" w:firstRowFirstColumn="0" w:firstRowLastColumn="0" w:lastRowFirstColumn="0" w:lastRowLastColumn="0"/>
          <w:trHeight w:val="1729"/>
        </w:trPr>
        <w:tc>
          <w:tcPr>
            <w:cnfStyle w:val="001000000000" w:firstRow="0" w:lastRow="0" w:firstColumn="1" w:lastColumn="0" w:oddVBand="0" w:evenVBand="0" w:oddHBand="0" w:evenHBand="0" w:firstRowFirstColumn="0" w:firstRowLastColumn="0" w:lastRowFirstColumn="0" w:lastRowLastColumn="0"/>
            <w:tcW w:w="1409" w:type="dxa"/>
            <w:tcBorders>
              <w:left w:val="single" w:sz="4" w:space="0" w:color="5B9BD5" w:themeColor="accent1"/>
              <w:right w:val="single" w:sz="4" w:space="0" w:color="5B9BD5" w:themeColor="accent1"/>
            </w:tcBorders>
          </w:tcPr>
          <w:p w:rsidR="00882FD7" w:rsidRPr="00C73365" w:rsidRDefault="00882FD7" w:rsidP="00882FD7">
            <w:pPr>
              <w:spacing w:after="0"/>
              <w:rPr>
                <w:rFonts w:asciiTheme="minorHAnsi" w:hAnsiTheme="minorHAnsi" w:cstheme="minorHAnsi"/>
                <w:b w:val="0"/>
                <w:bCs w:val="0"/>
                <w:color w:val="000000"/>
                <w:sz w:val="14"/>
                <w:szCs w:val="14"/>
                <w:lang w:eastAsia="fr-FR"/>
              </w:rPr>
            </w:pPr>
            <w:r w:rsidRPr="00C73365">
              <w:rPr>
                <w:rFonts w:asciiTheme="minorHAnsi" w:hAnsiTheme="minorHAnsi" w:cstheme="minorHAnsi"/>
                <w:color w:val="000000"/>
                <w:sz w:val="14"/>
                <w:szCs w:val="14"/>
                <w:lang w:eastAsia="fr-FR"/>
              </w:rPr>
              <w:t>ABX544</w:t>
            </w:r>
          </w:p>
        </w:tc>
        <w:tc>
          <w:tcPr>
            <w:tcW w:w="1418" w:type="dxa"/>
            <w:tcBorders>
              <w:left w:val="single" w:sz="4" w:space="0" w:color="5B9BD5" w:themeColor="accent1"/>
              <w:right w:val="single" w:sz="4" w:space="0" w:color="5B9BD5" w:themeColor="accent1"/>
            </w:tcBorders>
          </w:tcPr>
          <w:p w:rsidR="00882FD7" w:rsidRPr="00C73365" w:rsidRDefault="00882FD7" w:rsidP="00882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Anticorps Polyclonaux</w:t>
            </w:r>
          </w:p>
        </w:tc>
        <w:tc>
          <w:tcPr>
            <w:tcW w:w="2123" w:type="dxa"/>
            <w:tcBorders>
              <w:left w:val="single" w:sz="4" w:space="0" w:color="5B9BD5" w:themeColor="accent1"/>
              <w:right w:val="single" w:sz="4" w:space="0" w:color="5B9BD5" w:themeColor="accent1"/>
            </w:tcBorders>
          </w:tcPr>
          <w:p w:rsidR="00882FD7" w:rsidRPr="00C73365" w:rsidRDefault="00882FD7" w:rsidP="00882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Traitement de l’Ebola</w:t>
            </w:r>
          </w:p>
        </w:tc>
        <w:tc>
          <w:tcPr>
            <w:tcW w:w="2088" w:type="dxa"/>
            <w:tcBorders>
              <w:left w:val="single" w:sz="4" w:space="0" w:color="5B9BD5" w:themeColor="accent1"/>
              <w:right w:val="single" w:sz="4" w:space="0" w:color="5B9BD5" w:themeColor="accent1"/>
            </w:tcBorders>
          </w:tcPr>
          <w:p w:rsidR="00882FD7" w:rsidRPr="00C73365" w:rsidRDefault="00882FD7" w:rsidP="00882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Stade préclinique -  Phase I prévue pour 2016</w:t>
            </w:r>
          </w:p>
        </w:tc>
        <w:tc>
          <w:tcPr>
            <w:tcW w:w="2486" w:type="dxa"/>
            <w:tcBorders>
              <w:left w:val="single" w:sz="4" w:space="0" w:color="5B9BD5" w:themeColor="accent1"/>
              <w:right w:val="single" w:sz="4" w:space="0" w:color="5B9BD5" w:themeColor="accent1"/>
            </w:tcBorders>
          </w:tcPr>
          <w:p w:rsidR="00882FD7" w:rsidRPr="00C73365" w:rsidRDefault="00882FD7" w:rsidP="00882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 xml:space="preserve">La technologie d’expression d’anticorps, polyclonaux est maintenant opérationnelle. Un brevet </w:t>
            </w:r>
            <w:r w:rsidR="00EF089C" w:rsidRPr="00C73365">
              <w:rPr>
                <w:rFonts w:asciiTheme="minorHAnsi" w:hAnsiTheme="minorHAnsi" w:cstheme="minorHAnsi"/>
                <w:b/>
                <w:bCs/>
                <w:color w:val="000000"/>
                <w:sz w:val="14"/>
                <w:szCs w:val="14"/>
                <w:lang w:val="fr-FR" w:eastAsia="fr-FR"/>
              </w:rPr>
              <w:t>ABIVAX</w:t>
            </w:r>
            <w:r w:rsidRPr="00C73365">
              <w:rPr>
                <w:rFonts w:asciiTheme="minorHAnsi" w:hAnsiTheme="minorHAnsi" w:cstheme="minorHAnsi"/>
                <w:b/>
                <w:bCs/>
                <w:color w:val="000000"/>
                <w:sz w:val="14"/>
                <w:szCs w:val="14"/>
                <w:lang w:val="fr-FR" w:eastAsia="fr-FR"/>
              </w:rPr>
              <w:t xml:space="preserve"> a été déposé pour la protéger. Des anticorps neutralisants ont été détectés dans le sérum. Des études précliniques de toxicité et d’efficacité seront conduites début 2017 et le démarrage de la Phase 1 est prévu pour la fin 2017-début 2018.</w:t>
            </w:r>
          </w:p>
        </w:tc>
        <w:tc>
          <w:tcPr>
            <w:tcW w:w="3004" w:type="dxa"/>
            <w:tcBorders>
              <w:left w:val="single" w:sz="4" w:space="0" w:color="5B9BD5" w:themeColor="accent1"/>
              <w:right w:val="single" w:sz="4" w:space="0" w:color="5B9BD5" w:themeColor="accent1"/>
            </w:tcBorders>
          </w:tcPr>
          <w:p w:rsidR="00882FD7" w:rsidRPr="00C73365" w:rsidRDefault="00882FD7" w:rsidP="00882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 xml:space="preserve">La technologie d’expression d’anticorps, polyclonaux est maintenant opérationnelle. Un brevet </w:t>
            </w:r>
            <w:r w:rsidR="00EF089C" w:rsidRPr="00C73365">
              <w:rPr>
                <w:rFonts w:asciiTheme="minorHAnsi" w:hAnsiTheme="minorHAnsi" w:cstheme="minorHAnsi"/>
                <w:b/>
                <w:bCs/>
                <w:color w:val="000000"/>
                <w:sz w:val="14"/>
                <w:szCs w:val="14"/>
                <w:lang w:val="fr-FR" w:eastAsia="fr-FR"/>
              </w:rPr>
              <w:t>ABIVAX</w:t>
            </w:r>
            <w:r w:rsidRPr="00C73365">
              <w:rPr>
                <w:rFonts w:asciiTheme="minorHAnsi" w:hAnsiTheme="minorHAnsi" w:cstheme="minorHAnsi"/>
                <w:b/>
                <w:bCs/>
                <w:color w:val="000000"/>
                <w:sz w:val="14"/>
                <w:szCs w:val="14"/>
                <w:lang w:val="fr-FR" w:eastAsia="fr-FR"/>
              </w:rPr>
              <w:t xml:space="preserve"> a été déposé pour la protéger. Des anticorps neutralisants ont été détectés dans le sérum. Des études précliniques de toxicité et d’efficacité seront conduites à compter du deuxième trimestre 2017</w:t>
            </w:r>
          </w:p>
        </w:tc>
        <w:tc>
          <w:tcPr>
            <w:tcW w:w="3410" w:type="dxa"/>
            <w:tcBorders>
              <w:left w:val="single" w:sz="4" w:space="0" w:color="5B9BD5" w:themeColor="accent1"/>
              <w:right w:val="single" w:sz="4" w:space="0" w:color="5B9BD5" w:themeColor="accent1"/>
            </w:tcBorders>
          </w:tcPr>
          <w:p w:rsidR="00882FD7" w:rsidRPr="00C73365" w:rsidRDefault="00882FD7" w:rsidP="00882FD7">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4"/>
                <w:szCs w:val="14"/>
                <w:lang w:val="fr-FR" w:eastAsia="fr-FR"/>
              </w:rPr>
            </w:pPr>
            <w:r w:rsidRPr="00C73365">
              <w:rPr>
                <w:rFonts w:asciiTheme="minorHAnsi" w:hAnsiTheme="minorHAnsi" w:cstheme="minorHAnsi"/>
                <w:b/>
                <w:bCs/>
                <w:color w:val="000000"/>
                <w:sz w:val="14"/>
                <w:szCs w:val="14"/>
                <w:lang w:val="fr-FR" w:eastAsia="fr-FR"/>
              </w:rPr>
              <w:t>Prétests de Toxicité effectués en 2017 pour évaluer la possibilité d’une réaction croisée des anticorps purifiés contre des tissus humains ont été menées. Les données n’indiquent pas de risque spécifique à ce stade</w:t>
            </w:r>
          </w:p>
        </w:tc>
      </w:tr>
    </w:tbl>
    <w:tbl>
      <w:tblPr>
        <w:tblStyle w:val="ListTable3-Accent1"/>
        <w:tblpPr w:leftFromText="180" w:rightFromText="180" w:vertAnchor="text" w:horzAnchor="margin" w:tblpX="-572" w:tblpY="-627"/>
        <w:tblW w:w="1573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409"/>
        <w:gridCol w:w="1209"/>
        <w:gridCol w:w="2212"/>
        <w:gridCol w:w="2104"/>
        <w:gridCol w:w="2580"/>
        <w:gridCol w:w="2975"/>
        <w:gridCol w:w="3246"/>
      </w:tblGrid>
      <w:tr w:rsidR="00882FD7" w:rsidRPr="008C1A4A" w:rsidTr="002F629B">
        <w:trPr>
          <w:cnfStyle w:val="100000000000" w:firstRow="1" w:lastRow="0" w:firstColumn="0" w:lastColumn="0" w:oddVBand="0" w:evenVBand="0" w:oddHBand="0" w:evenHBand="0" w:firstRowFirstColumn="0" w:firstRowLastColumn="0" w:lastRowFirstColumn="0" w:lastRowLastColumn="0"/>
          <w:trHeight w:val="56"/>
        </w:trPr>
        <w:tc>
          <w:tcPr>
            <w:cnfStyle w:val="001000000100" w:firstRow="0" w:lastRow="0" w:firstColumn="1" w:lastColumn="0" w:oddVBand="0" w:evenVBand="0" w:oddHBand="0" w:evenHBand="0" w:firstRowFirstColumn="1" w:firstRowLastColumn="0" w:lastRowFirstColumn="0" w:lastRowLastColumn="0"/>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B5C5D" w:rsidRPr="00C73365" w:rsidRDefault="003B5C5D" w:rsidP="00940C88">
            <w:pPr>
              <w:spacing w:after="0"/>
              <w:jc w:val="center"/>
              <w:rPr>
                <w:rFonts w:asciiTheme="minorHAnsi" w:hAnsiTheme="minorHAnsi" w:cstheme="minorHAnsi"/>
                <w:b w:val="0"/>
                <w:bCs w:val="0"/>
                <w:szCs w:val="20"/>
                <w:lang w:eastAsia="fr-FR"/>
              </w:rPr>
            </w:pPr>
            <w:r w:rsidRPr="00C73365">
              <w:rPr>
                <w:rFonts w:asciiTheme="minorHAnsi" w:hAnsiTheme="minorHAnsi" w:cstheme="minorHAnsi"/>
                <w:szCs w:val="20"/>
                <w:lang w:eastAsia="fr-FR"/>
              </w:rPr>
              <w:lastRenderedPageBreak/>
              <w:t>Dénomination</w:t>
            </w: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B5C5D" w:rsidRPr="00C73365" w:rsidRDefault="003B5C5D" w:rsidP="00940C8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lang w:eastAsia="fr-FR"/>
              </w:rPr>
            </w:pPr>
            <w:r w:rsidRPr="00C73365">
              <w:rPr>
                <w:rFonts w:asciiTheme="minorHAnsi" w:hAnsiTheme="minorHAnsi" w:cstheme="minorHAnsi"/>
                <w:szCs w:val="20"/>
                <w:lang w:eastAsia="fr-FR"/>
              </w:rPr>
              <w:t>Mécanisme d’action</w:t>
            </w:r>
          </w:p>
        </w:tc>
        <w:tc>
          <w:tcPr>
            <w:tcW w:w="2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B5C5D" w:rsidRPr="00C73365" w:rsidRDefault="003B5C5D" w:rsidP="00940C8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lang w:eastAsia="fr-FR"/>
              </w:rPr>
            </w:pPr>
            <w:r w:rsidRPr="00C73365">
              <w:rPr>
                <w:rFonts w:asciiTheme="minorHAnsi" w:hAnsiTheme="minorHAnsi" w:cstheme="minorHAnsi"/>
                <w:szCs w:val="20"/>
                <w:lang w:eastAsia="fr-FR"/>
              </w:rPr>
              <w:t>Indications visées</w:t>
            </w:r>
          </w:p>
        </w:tc>
        <w:tc>
          <w:tcPr>
            <w:tcW w:w="21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B5C5D" w:rsidRPr="00C73365" w:rsidRDefault="003B5C5D" w:rsidP="00940C8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lang w:val="fr-FR" w:eastAsia="fr-FR"/>
              </w:rPr>
            </w:pPr>
            <w:r w:rsidRPr="00C73365">
              <w:rPr>
                <w:rFonts w:asciiTheme="minorHAnsi" w:hAnsiTheme="minorHAnsi" w:cstheme="minorHAnsi"/>
                <w:szCs w:val="20"/>
                <w:lang w:val="fr-FR" w:eastAsia="fr-FR"/>
              </w:rPr>
              <w:t>Stade de développement indiqué dans le Document de Base du 19 Mai 2015</w:t>
            </w:r>
          </w:p>
        </w:tc>
        <w:tc>
          <w:tcPr>
            <w:tcW w:w="2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B5C5D" w:rsidRPr="00C73365" w:rsidRDefault="003B5C5D" w:rsidP="00940C8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lang w:val="fr-FR" w:eastAsia="fr-FR"/>
              </w:rPr>
            </w:pPr>
            <w:r w:rsidRPr="00C73365">
              <w:rPr>
                <w:rFonts w:asciiTheme="minorHAnsi" w:hAnsiTheme="minorHAnsi" w:cstheme="minorHAnsi"/>
                <w:szCs w:val="20"/>
                <w:lang w:val="fr-FR" w:eastAsia="fr-FR"/>
              </w:rPr>
              <w:t>Impact à la date du Document de Référence 2016 sur les projets</w:t>
            </w:r>
          </w:p>
        </w:tc>
        <w:tc>
          <w:tcPr>
            <w:tcW w:w="2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B5C5D" w:rsidRPr="00C73365" w:rsidRDefault="003B5C5D" w:rsidP="00940C8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lang w:val="fr-FR" w:eastAsia="fr-FR"/>
              </w:rPr>
            </w:pPr>
            <w:r w:rsidRPr="00C73365">
              <w:rPr>
                <w:rFonts w:asciiTheme="minorHAnsi" w:hAnsiTheme="minorHAnsi" w:cstheme="minorHAnsi"/>
                <w:szCs w:val="20"/>
                <w:lang w:val="fr-FR" w:eastAsia="fr-FR"/>
              </w:rPr>
              <w:t>Impact à la date du Document de Référence 2017 sur les projets</w:t>
            </w:r>
          </w:p>
        </w:tc>
        <w:tc>
          <w:tcPr>
            <w:tcW w:w="32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B5C5D" w:rsidRPr="00C73365" w:rsidRDefault="003B5C5D" w:rsidP="00940C8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0"/>
                <w:lang w:val="fr-FR" w:eastAsia="fr-FR"/>
              </w:rPr>
            </w:pPr>
            <w:r w:rsidRPr="00C73365">
              <w:rPr>
                <w:rFonts w:asciiTheme="minorHAnsi" w:hAnsiTheme="minorHAnsi" w:cstheme="minorHAnsi"/>
                <w:szCs w:val="20"/>
                <w:lang w:val="fr-FR" w:eastAsia="fr-FR"/>
              </w:rPr>
              <w:t>Impact à la date du Document de Référence 201</w:t>
            </w:r>
            <w:r w:rsidRPr="00C73365">
              <w:rPr>
                <w:rFonts w:asciiTheme="minorHAnsi" w:hAnsiTheme="minorHAnsi" w:cstheme="minorHAnsi"/>
                <w:b w:val="0"/>
                <w:bCs w:val="0"/>
                <w:szCs w:val="20"/>
                <w:lang w:val="fr-FR" w:eastAsia="fr-FR"/>
              </w:rPr>
              <w:t xml:space="preserve">8 </w:t>
            </w:r>
            <w:r w:rsidRPr="00C73365">
              <w:rPr>
                <w:rFonts w:asciiTheme="minorHAnsi" w:hAnsiTheme="minorHAnsi" w:cstheme="minorHAnsi"/>
                <w:szCs w:val="20"/>
                <w:lang w:val="fr-FR" w:eastAsia="fr-FR"/>
              </w:rPr>
              <w:t>sur les projets</w:t>
            </w:r>
          </w:p>
        </w:tc>
      </w:tr>
      <w:tr w:rsidR="00882FD7" w:rsidRPr="008C1A4A" w:rsidTr="00882FD7">
        <w:trPr>
          <w:cnfStyle w:val="000000100000" w:firstRow="0" w:lastRow="0" w:firstColumn="0" w:lastColumn="0" w:oddVBand="0" w:evenVBand="0" w:oddHBand="1" w:evenHBand="0" w:firstRowFirstColumn="0" w:firstRowLastColumn="0" w:lastRowFirstColumn="0" w:lastRowLastColumn="0"/>
          <w:trHeight w:val="2734"/>
        </w:trPr>
        <w:tc>
          <w:tcPr>
            <w:cnfStyle w:val="001000000000" w:firstRow="0" w:lastRow="0" w:firstColumn="1" w:lastColumn="0" w:oddVBand="0" w:evenVBand="0" w:oddHBand="0" w:evenHBand="0" w:firstRowFirstColumn="0" w:firstRowLastColumn="0" w:lastRowFirstColumn="0" w:lastRowLastColumn="0"/>
            <w:tcW w:w="1409" w:type="dxa"/>
            <w:hideMark/>
          </w:tcPr>
          <w:p w:rsidR="00882FD7" w:rsidRPr="00C73365" w:rsidRDefault="00882FD7" w:rsidP="00940C88">
            <w:pPr>
              <w:spacing w:after="0"/>
              <w:rPr>
                <w:rFonts w:asciiTheme="minorHAnsi" w:hAnsiTheme="minorHAnsi" w:cstheme="minorHAnsi"/>
                <w:sz w:val="14"/>
                <w:szCs w:val="14"/>
                <w:lang w:val="fr-FR" w:eastAsia="fr-FR"/>
              </w:rPr>
            </w:pPr>
            <w:r w:rsidRPr="00C73365">
              <w:rPr>
                <w:rFonts w:asciiTheme="minorHAnsi" w:hAnsiTheme="minorHAnsi" w:cstheme="minorHAnsi"/>
                <w:b w:val="0"/>
                <w:bCs w:val="0"/>
                <w:color w:val="000000"/>
                <w:sz w:val="14"/>
                <w:szCs w:val="14"/>
                <w:lang w:val="fr-FR" w:eastAsia="fr-FR"/>
              </w:rPr>
              <w:t>Pas de dénomination avant l’entrée en phase Pré-Clinique</w:t>
            </w: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spacing w:after="0"/>
              <w:rPr>
                <w:rFonts w:asciiTheme="minorHAnsi" w:hAnsiTheme="minorHAnsi" w:cstheme="minorHAnsi"/>
                <w:sz w:val="16"/>
                <w:szCs w:val="16"/>
                <w:lang w:val="fr-FR" w:eastAsia="fr-FR"/>
              </w:rPr>
            </w:pPr>
          </w:p>
          <w:p w:rsidR="00882FD7" w:rsidRPr="00C73365" w:rsidRDefault="00882FD7" w:rsidP="00940C88">
            <w:pPr>
              <w:tabs>
                <w:tab w:val="left" w:pos="1102"/>
              </w:tabs>
              <w:spacing w:after="0"/>
              <w:rPr>
                <w:rFonts w:asciiTheme="minorHAnsi" w:hAnsiTheme="minorHAnsi" w:cstheme="minorHAnsi"/>
                <w:sz w:val="16"/>
                <w:szCs w:val="16"/>
                <w:lang w:val="fr-FR" w:eastAsia="fr-FR"/>
              </w:rPr>
            </w:pPr>
          </w:p>
        </w:tc>
        <w:tc>
          <w:tcPr>
            <w:tcW w:w="1209" w:type="dxa"/>
            <w:hideMark/>
          </w:tcPr>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Petite molécule antivirale</w:t>
            </w: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tc>
        <w:tc>
          <w:tcPr>
            <w:tcW w:w="2212" w:type="dxa"/>
            <w:hideMark/>
          </w:tcPr>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Traitement de la dengue</w:t>
            </w: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fr-FR" w:eastAsia="fr-FR"/>
              </w:rPr>
            </w:pPr>
          </w:p>
        </w:tc>
        <w:tc>
          <w:tcPr>
            <w:tcW w:w="2104" w:type="dxa"/>
            <w:hideMark/>
          </w:tcPr>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Stade préclinique – Phase I p</w:t>
            </w:r>
            <w:r w:rsidR="002F629B" w:rsidRPr="00C73365">
              <w:rPr>
                <w:rFonts w:asciiTheme="minorHAnsi" w:hAnsiTheme="minorHAnsi" w:cstheme="minorHAnsi"/>
                <w:b/>
                <w:bCs/>
                <w:color w:val="000000"/>
                <w:sz w:val="14"/>
                <w:szCs w:val="14"/>
                <w:lang w:val="fr-FR" w:eastAsia="fr-FR"/>
              </w:rPr>
              <w:t>r</w:t>
            </w:r>
            <w:r w:rsidRPr="00C73365">
              <w:rPr>
                <w:rFonts w:asciiTheme="minorHAnsi" w:hAnsiTheme="minorHAnsi" w:cstheme="minorHAnsi"/>
                <w:b/>
                <w:bCs/>
                <w:color w:val="000000"/>
                <w:sz w:val="14"/>
                <w:szCs w:val="14"/>
                <w:lang w:val="fr-FR" w:eastAsia="fr-FR"/>
              </w:rPr>
              <w:t>évue pour 2016</w:t>
            </w:r>
          </w:p>
        </w:tc>
        <w:tc>
          <w:tcPr>
            <w:tcW w:w="2580" w:type="dxa"/>
            <w:hideMark/>
          </w:tcPr>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Un nouveau criblage de toute la chimiothèque antivirale d’</w:t>
            </w:r>
            <w:r w:rsidR="00EF089C" w:rsidRPr="00C73365">
              <w:rPr>
                <w:rFonts w:asciiTheme="minorHAnsi" w:hAnsiTheme="minorHAnsi" w:cstheme="minorHAnsi"/>
                <w:b/>
                <w:bCs/>
                <w:color w:val="000000"/>
                <w:sz w:val="14"/>
                <w:szCs w:val="14"/>
                <w:lang w:val="fr-FR" w:eastAsia="fr-FR"/>
              </w:rPr>
              <w:t>ABIVAX</w:t>
            </w:r>
            <w:r w:rsidRPr="00C73365">
              <w:rPr>
                <w:rFonts w:asciiTheme="minorHAnsi" w:hAnsiTheme="minorHAnsi" w:cstheme="minorHAnsi"/>
                <w:b/>
                <w:bCs/>
                <w:color w:val="000000"/>
                <w:sz w:val="14"/>
                <w:szCs w:val="14"/>
                <w:lang w:val="fr-FR" w:eastAsia="fr-FR"/>
              </w:rPr>
              <w:t xml:space="preserve"> est en cours et devrait conduire à la sélection de nouveaux </w:t>
            </w:r>
            <w:r w:rsidR="008F3550">
              <w:rPr>
                <w:rFonts w:asciiTheme="minorHAnsi" w:hAnsiTheme="minorHAnsi" w:cstheme="minorHAnsi"/>
                <w:b/>
                <w:bCs/>
                <w:color w:val="000000"/>
                <w:sz w:val="14"/>
                <w:szCs w:val="14"/>
                <w:lang w:val="fr-FR" w:eastAsia="fr-FR"/>
              </w:rPr>
              <w:t>hits</w:t>
            </w:r>
            <w:r w:rsidRPr="00C73365">
              <w:rPr>
                <w:rFonts w:asciiTheme="minorHAnsi" w:hAnsiTheme="minorHAnsi" w:cstheme="minorHAnsi"/>
                <w:b/>
                <w:bCs/>
                <w:color w:val="000000"/>
                <w:sz w:val="14"/>
                <w:szCs w:val="14"/>
                <w:lang w:val="fr-FR" w:eastAsia="fr-FR"/>
              </w:rPr>
              <w:t xml:space="preserve"> à optimiser dans les mois qui viennent.  Projet toujours actif chez </w:t>
            </w:r>
            <w:r w:rsidR="00EF089C" w:rsidRPr="00C73365">
              <w:rPr>
                <w:rFonts w:asciiTheme="minorHAnsi" w:hAnsiTheme="minorHAnsi" w:cstheme="minorHAnsi"/>
                <w:b/>
                <w:bCs/>
                <w:color w:val="000000"/>
                <w:sz w:val="14"/>
                <w:szCs w:val="14"/>
                <w:lang w:val="fr-FR" w:eastAsia="fr-FR"/>
              </w:rPr>
              <w:t>ABIVAX</w:t>
            </w:r>
            <w:r w:rsidRPr="00C73365">
              <w:rPr>
                <w:rFonts w:asciiTheme="minorHAnsi" w:hAnsiTheme="minorHAnsi" w:cstheme="minorHAnsi"/>
                <w:b/>
                <w:bCs/>
                <w:color w:val="000000"/>
                <w:sz w:val="14"/>
                <w:szCs w:val="14"/>
                <w:lang w:val="fr-FR" w:eastAsia="fr-FR"/>
              </w:rPr>
              <w:t xml:space="preserve"> mais encore au stade de « lead generation ».</w:t>
            </w: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lang w:val="fr-FR" w:eastAsia="fr-FR"/>
              </w:rPr>
            </w:pPr>
          </w:p>
        </w:tc>
        <w:tc>
          <w:tcPr>
            <w:tcW w:w="2975" w:type="dxa"/>
            <w:hideMark/>
          </w:tcPr>
          <w:p w:rsidR="00882FD7" w:rsidRPr="00C73365" w:rsidRDefault="00EF089C"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ABIVAX</w:t>
            </w:r>
            <w:r w:rsidR="00882FD7" w:rsidRPr="00C73365">
              <w:rPr>
                <w:rFonts w:asciiTheme="minorHAnsi" w:hAnsiTheme="minorHAnsi" w:cstheme="minorHAnsi"/>
                <w:b/>
                <w:bCs/>
                <w:color w:val="000000"/>
                <w:sz w:val="14"/>
                <w:szCs w:val="14"/>
                <w:lang w:val="fr-FR" w:eastAsia="fr-FR"/>
              </w:rPr>
              <w:t xml:space="preserve"> est actuellement en train d’explorer sa chimiothèque antivirale ciblant la biogénèse des ARN pour identifier des molécules qui sont actives contre 4 sérotypes du virus. Au cours d’un premier screening, la société a identifié plusieurs molécules actives contre le sérotype 2 et commence à analyser cette piste quant à leur capacité à inhiber la réplication d’autres sérotypes.</w:t>
            </w:r>
          </w:p>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p>
          <w:p w:rsidR="00882FD7" w:rsidRPr="00C73365" w:rsidRDefault="00882FD7" w:rsidP="006372F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val="fr-FR" w:eastAsia="fr-FR"/>
              </w:rPr>
            </w:pPr>
            <w:r w:rsidRPr="00C73365">
              <w:rPr>
                <w:rFonts w:asciiTheme="minorHAnsi" w:hAnsiTheme="minorHAnsi" w:cstheme="minorHAnsi"/>
                <w:b/>
                <w:bCs/>
                <w:color w:val="000000"/>
                <w:sz w:val="14"/>
                <w:szCs w:val="14"/>
                <w:lang w:val="fr-FR" w:eastAsia="fr-FR"/>
              </w:rPr>
              <w:t>L</w:t>
            </w:r>
            <w:r w:rsidR="004572A0" w:rsidRPr="00C73365">
              <w:rPr>
                <w:rFonts w:asciiTheme="minorHAnsi" w:hAnsiTheme="minorHAnsi" w:cstheme="minorHAnsi"/>
                <w:b/>
                <w:bCs/>
                <w:color w:val="000000"/>
                <w:sz w:val="14"/>
                <w:szCs w:val="14"/>
                <w:lang w:val="fr-FR" w:eastAsia="fr-FR"/>
              </w:rPr>
              <w:t>’</w:t>
            </w:r>
            <w:r w:rsidRPr="00C73365">
              <w:rPr>
                <w:rFonts w:asciiTheme="minorHAnsi" w:hAnsiTheme="minorHAnsi" w:cstheme="minorHAnsi"/>
                <w:b/>
                <w:bCs/>
                <w:color w:val="000000"/>
                <w:sz w:val="14"/>
                <w:szCs w:val="14"/>
                <w:lang w:val="fr-FR" w:eastAsia="fr-FR"/>
              </w:rPr>
              <w:t>objectif d</w:t>
            </w:r>
            <w:r w:rsidR="004572A0" w:rsidRPr="00C73365">
              <w:rPr>
                <w:rFonts w:asciiTheme="minorHAnsi" w:hAnsiTheme="minorHAnsi" w:cstheme="minorHAnsi"/>
                <w:b/>
                <w:bCs/>
                <w:color w:val="000000"/>
                <w:sz w:val="14"/>
                <w:szCs w:val="14"/>
                <w:lang w:val="fr-FR" w:eastAsia="fr-FR"/>
              </w:rPr>
              <w:t>’</w:t>
            </w:r>
            <w:r w:rsidR="00EF089C" w:rsidRPr="00C73365">
              <w:rPr>
                <w:rFonts w:asciiTheme="minorHAnsi" w:hAnsiTheme="minorHAnsi" w:cstheme="minorHAnsi"/>
                <w:b/>
                <w:bCs/>
                <w:color w:val="000000"/>
                <w:sz w:val="14"/>
                <w:szCs w:val="14"/>
                <w:lang w:val="fr-FR" w:eastAsia="fr-FR"/>
              </w:rPr>
              <w:t>ABIVAX</w:t>
            </w:r>
            <w:r w:rsidRPr="00C73365">
              <w:rPr>
                <w:rFonts w:asciiTheme="minorHAnsi" w:hAnsiTheme="minorHAnsi" w:cstheme="minorHAnsi"/>
                <w:b/>
                <w:bCs/>
                <w:color w:val="000000"/>
                <w:sz w:val="14"/>
                <w:szCs w:val="14"/>
                <w:lang w:val="fr-FR" w:eastAsia="fr-FR"/>
              </w:rPr>
              <w:t xml:space="preserve"> est de développer une seule molécule active contre tous les sérotypes de la dengue. Le projet passera en </w:t>
            </w:r>
            <w:r w:rsidR="004572A0" w:rsidRPr="00C73365">
              <w:rPr>
                <w:rFonts w:asciiTheme="minorHAnsi" w:hAnsiTheme="minorHAnsi" w:cstheme="minorHAnsi"/>
                <w:b/>
                <w:bCs/>
                <w:color w:val="000000"/>
                <w:sz w:val="14"/>
                <w:szCs w:val="14"/>
                <w:lang w:val="fr-FR" w:eastAsia="fr-FR"/>
              </w:rPr>
              <w:t>« </w:t>
            </w:r>
            <w:r w:rsidRPr="00C73365">
              <w:rPr>
                <w:rFonts w:asciiTheme="minorHAnsi" w:hAnsiTheme="minorHAnsi" w:cstheme="minorHAnsi"/>
                <w:b/>
                <w:bCs/>
                <w:color w:val="000000"/>
                <w:sz w:val="14"/>
                <w:szCs w:val="14"/>
                <w:lang w:val="fr-FR" w:eastAsia="fr-FR"/>
              </w:rPr>
              <w:t>lead optimization</w:t>
            </w:r>
            <w:r w:rsidR="004572A0" w:rsidRPr="00C73365">
              <w:rPr>
                <w:rFonts w:asciiTheme="minorHAnsi" w:hAnsiTheme="minorHAnsi" w:cstheme="minorHAnsi"/>
                <w:b/>
                <w:bCs/>
                <w:color w:val="000000"/>
                <w:sz w:val="14"/>
                <w:szCs w:val="14"/>
                <w:lang w:val="fr-FR" w:eastAsia="fr-FR"/>
              </w:rPr>
              <w:t> »</w:t>
            </w:r>
            <w:r w:rsidRPr="00C73365">
              <w:rPr>
                <w:rFonts w:asciiTheme="minorHAnsi" w:hAnsiTheme="minorHAnsi" w:cstheme="minorHAnsi"/>
                <w:b/>
                <w:bCs/>
                <w:color w:val="000000"/>
                <w:sz w:val="14"/>
                <w:szCs w:val="14"/>
                <w:lang w:val="fr-FR" w:eastAsia="fr-FR"/>
              </w:rPr>
              <w:t xml:space="preserve"> courant 2017</w:t>
            </w:r>
          </w:p>
        </w:tc>
        <w:tc>
          <w:tcPr>
            <w:tcW w:w="3246" w:type="dxa"/>
          </w:tcPr>
          <w:p w:rsidR="00882FD7" w:rsidRPr="00C73365" w:rsidRDefault="00882FD7" w:rsidP="00940C88">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val="fr-FR" w:eastAsia="fr-FR"/>
              </w:rPr>
              <w:t xml:space="preserve">Le projet est en phase de </w:t>
            </w:r>
            <w:r w:rsidR="004572A0" w:rsidRPr="00C73365">
              <w:rPr>
                <w:rFonts w:asciiTheme="minorHAnsi" w:hAnsiTheme="minorHAnsi" w:cstheme="minorHAnsi"/>
                <w:b/>
                <w:bCs/>
                <w:color w:val="000000"/>
                <w:sz w:val="14"/>
                <w:szCs w:val="14"/>
                <w:lang w:val="fr-FR" w:eastAsia="fr-FR"/>
              </w:rPr>
              <w:t>« </w:t>
            </w:r>
            <w:r w:rsidRPr="00C73365">
              <w:rPr>
                <w:rFonts w:asciiTheme="minorHAnsi" w:hAnsiTheme="minorHAnsi" w:cstheme="minorHAnsi"/>
                <w:b/>
                <w:bCs/>
                <w:color w:val="000000"/>
                <w:sz w:val="14"/>
                <w:szCs w:val="14"/>
                <w:lang w:val="fr-FR" w:eastAsia="fr-FR"/>
              </w:rPr>
              <w:t xml:space="preserve">lead </w:t>
            </w:r>
            <w:r w:rsidR="008F3550">
              <w:rPr>
                <w:rFonts w:asciiTheme="minorHAnsi" w:hAnsiTheme="minorHAnsi" w:cstheme="minorHAnsi"/>
                <w:b/>
                <w:bCs/>
                <w:color w:val="000000"/>
                <w:sz w:val="14"/>
                <w:szCs w:val="14"/>
                <w:lang w:val="fr-FR" w:eastAsia="fr-FR"/>
              </w:rPr>
              <w:t>generation</w:t>
            </w:r>
            <w:r w:rsidR="004572A0" w:rsidRPr="00C73365">
              <w:rPr>
                <w:rFonts w:asciiTheme="minorHAnsi" w:hAnsiTheme="minorHAnsi" w:cstheme="minorHAnsi"/>
                <w:b/>
                <w:bCs/>
                <w:color w:val="000000"/>
                <w:sz w:val="14"/>
                <w:szCs w:val="14"/>
                <w:lang w:val="fr-FR" w:eastAsia="fr-FR"/>
              </w:rPr>
              <w:t> »</w:t>
            </w:r>
            <w:r w:rsidRPr="00C73365">
              <w:rPr>
                <w:rFonts w:asciiTheme="minorHAnsi" w:hAnsiTheme="minorHAnsi" w:cstheme="minorHAnsi"/>
                <w:b/>
                <w:bCs/>
                <w:color w:val="000000"/>
                <w:sz w:val="14"/>
                <w:szCs w:val="14"/>
                <w:lang w:val="fr-FR" w:eastAsia="fr-FR"/>
              </w:rPr>
              <w:t xml:space="preserve"> courant 2017</w:t>
            </w:r>
          </w:p>
        </w:tc>
      </w:tr>
      <w:tr w:rsidR="00294ACE" w:rsidRPr="007C507C" w:rsidTr="00294ACE">
        <w:trPr>
          <w:trHeight w:val="683"/>
        </w:trPr>
        <w:tc>
          <w:tcPr>
            <w:cnfStyle w:val="001000000000" w:firstRow="0" w:lastRow="0" w:firstColumn="1" w:lastColumn="0" w:oddVBand="0" w:evenVBand="0" w:oddHBand="0" w:evenHBand="0" w:firstRowFirstColumn="0" w:firstRowLastColumn="0" w:lastRowFirstColumn="0" w:lastRowLastColumn="0"/>
            <w:tcW w:w="1409" w:type="dxa"/>
          </w:tcPr>
          <w:p w:rsidR="00294ACE" w:rsidRPr="00294ACE" w:rsidRDefault="00294ACE" w:rsidP="00294ACE">
            <w:pPr>
              <w:spacing w:after="0"/>
              <w:rPr>
                <w:rFonts w:asciiTheme="minorHAnsi" w:hAnsiTheme="minorHAnsi" w:cstheme="minorHAnsi"/>
                <w:sz w:val="14"/>
                <w:szCs w:val="14"/>
                <w:lang w:val="fr-FR" w:eastAsia="fr-FR"/>
              </w:rPr>
            </w:pPr>
            <w:r w:rsidRPr="00C73365">
              <w:rPr>
                <w:rFonts w:asciiTheme="minorHAnsi" w:hAnsiTheme="minorHAnsi" w:cstheme="minorHAnsi"/>
                <w:b w:val="0"/>
                <w:bCs w:val="0"/>
                <w:color w:val="000000"/>
                <w:sz w:val="14"/>
                <w:szCs w:val="14"/>
                <w:lang w:val="fr-FR" w:eastAsia="fr-FR"/>
              </w:rPr>
              <w:t>Pas de dénomination avant l’entrée en phase Pré-Clinique</w:t>
            </w:r>
          </w:p>
        </w:tc>
        <w:tc>
          <w:tcPr>
            <w:tcW w:w="1209"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Petite molécule antivirale</w:t>
            </w:r>
          </w:p>
          <w:p w:rsidR="00294ACE" w:rsidRPr="00294ACE"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2212" w:type="dxa"/>
          </w:tcPr>
          <w:p w:rsidR="00294ACE" w:rsidRPr="00294ACE"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Pr>
                <w:rFonts w:asciiTheme="minorHAnsi" w:hAnsiTheme="minorHAnsi" w:cstheme="minorHAnsi"/>
                <w:b/>
                <w:bCs/>
                <w:color w:val="000000"/>
                <w:sz w:val="14"/>
                <w:szCs w:val="14"/>
                <w:lang w:val="fr-FR" w:eastAsia="fr-FR"/>
              </w:rPr>
              <w:t>Traitement de la grippe</w:t>
            </w:r>
          </w:p>
        </w:tc>
        <w:tc>
          <w:tcPr>
            <w:tcW w:w="2104"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2580"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2975"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3246" w:type="dxa"/>
          </w:tcPr>
          <w:p w:rsidR="00294ACE" w:rsidRPr="00294ACE"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szCs w:val="14"/>
                <w:lang w:val="fr-FR" w:eastAsia="fr-FR"/>
              </w:rPr>
            </w:pPr>
            <w:r>
              <w:rPr>
                <w:rFonts w:asciiTheme="minorHAnsi" w:hAnsiTheme="minorHAnsi" w:cstheme="minorHAnsi"/>
                <w:b/>
                <w:bCs/>
                <w:color w:val="000000"/>
                <w:sz w:val="14"/>
                <w:szCs w:val="14"/>
                <w:lang w:val="fr-FR" w:eastAsia="fr-FR"/>
              </w:rPr>
              <w:t>Stade préclinique : u</w:t>
            </w:r>
            <w:r w:rsidRPr="00294ACE">
              <w:rPr>
                <w:rFonts w:asciiTheme="minorHAnsi" w:hAnsiTheme="minorHAnsi" w:cstheme="minorHAnsi"/>
                <w:b/>
                <w:bCs/>
                <w:color w:val="000000"/>
                <w:sz w:val="14"/>
                <w:szCs w:val="14"/>
                <w:lang w:val="fr-FR" w:eastAsia="fr-FR"/>
              </w:rPr>
              <w:t>n cribl</w:t>
            </w:r>
            <w:r>
              <w:rPr>
                <w:rFonts w:asciiTheme="minorHAnsi" w:hAnsiTheme="minorHAnsi" w:cstheme="minorHAnsi"/>
                <w:b/>
                <w:bCs/>
                <w:color w:val="000000"/>
                <w:sz w:val="14"/>
                <w:szCs w:val="14"/>
                <w:lang w:val="fr-FR" w:eastAsia="fr-FR"/>
              </w:rPr>
              <w:t>a</w:t>
            </w:r>
            <w:r w:rsidRPr="00294ACE">
              <w:rPr>
                <w:rFonts w:asciiTheme="minorHAnsi" w:hAnsiTheme="minorHAnsi" w:cstheme="minorHAnsi"/>
                <w:b/>
                <w:bCs/>
                <w:color w:val="000000"/>
                <w:sz w:val="14"/>
                <w:szCs w:val="14"/>
                <w:lang w:val="fr-FR" w:eastAsia="fr-FR"/>
              </w:rPr>
              <w:t>ge de la chimiothèque à permis d’identifier des molécules contre le virus de la grippe</w:t>
            </w:r>
            <w:r>
              <w:rPr>
                <w:rFonts w:asciiTheme="minorHAnsi" w:hAnsiTheme="minorHAnsi" w:cstheme="minorHAnsi"/>
                <w:b/>
                <w:bCs/>
                <w:color w:val="000000"/>
                <w:sz w:val="14"/>
                <w:szCs w:val="14"/>
                <w:lang w:val="fr-FR" w:eastAsia="fr-FR"/>
              </w:rPr>
              <w:t>.  La phase de lead generation sera initiée en 2018</w:t>
            </w:r>
          </w:p>
        </w:tc>
      </w:tr>
      <w:tr w:rsidR="00294ACE" w:rsidRPr="007C507C" w:rsidTr="00294ACE">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409" w:type="dxa"/>
          </w:tcPr>
          <w:p w:rsidR="00294ACE" w:rsidRPr="00C73365" w:rsidRDefault="00294ACE" w:rsidP="00294ACE">
            <w:pPr>
              <w:spacing w:after="0"/>
              <w:rPr>
                <w:rFonts w:asciiTheme="minorHAnsi" w:hAnsiTheme="minorHAnsi" w:cstheme="minorHAnsi"/>
                <w:b w:val="0"/>
                <w:bCs w:val="0"/>
                <w:color w:val="000000"/>
                <w:sz w:val="14"/>
                <w:szCs w:val="14"/>
                <w:lang w:val="fr-FR" w:eastAsia="fr-FR"/>
              </w:rPr>
            </w:pPr>
            <w:r w:rsidRPr="00C73365">
              <w:rPr>
                <w:rFonts w:asciiTheme="minorHAnsi" w:hAnsiTheme="minorHAnsi" w:cstheme="minorHAnsi"/>
                <w:b w:val="0"/>
                <w:bCs w:val="0"/>
                <w:color w:val="000000"/>
                <w:sz w:val="14"/>
                <w:szCs w:val="14"/>
                <w:lang w:val="fr-FR" w:eastAsia="fr-FR"/>
              </w:rPr>
              <w:t>Pas de dénomination avant l’entrée en phase Pré-Clinique</w:t>
            </w:r>
          </w:p>
        </w:tc>
        <w:tc>
          <w:tcPr>
            <w:tcW w:w="1209"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szCs w:val="14"/>
                <w:lang w:val="fr-FR" w:eastAsia="fr-FR"/>
              </w:rPr>
            </w:pPr>
            <w:r w:rsidRPr="00C73365">
              <w:rPr>
                <w:rFonts w:asciiTheme="minorHAnsi" w:hAnsiTheme="minorHAnsi" w:cstheme="minorHAnsi"/>
                <w:b/>
                <w:bCs/>
                <w:color w:val="000000"/>
                <w:sz w:val="14"/>
                <w:szCs w:val="14"/>
                <w:lang w:eastAsia="fr-FR"/>
              </w:rPr>
              <w:t>Petite molécule antivirale</w:t>
            </w:r>
          </w:p>
          <w:p w:rsidR="00294ACE" w:rsidRPr="00294ACE"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2212" w:type="dxa"/>
          </w:tcPr>
          <w:p w:rsidR="00294ACE" w:rsidRPr="00294ACE"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r>
              <w:rPr>
                <w:rFonts w:asciiTheme="minorHAnsi" w:hAnsiTheme="minorHAnsi" w:cstheme="minorHAnsi"/>
                <w:b/>
                <w:bCs/>
                <w:color w:val="000000"/>
                <w:sz w:val="14"/>
                <w:szCs w:val="14"/>
                <w:lang w:val="fr-FR" w:eastAsia="fr-FR"/>
              </w:rPr>
              <w:t>Traitement du virus r</w:t>
            </w:r>
            <w:r w:rsidRPr="00294ACE">
              <w:rPr>
                <w:rFonts w:asciiTheme="minorHAnsi" w:hAnsiTheme="minorHAnsi" w:cstheme="minorHAnsi"/>
                <w:b/>
                <w:bCs/>
                <w:color w:val="000000"/>
                <w:sz w:val="14"/>
                <w:szCs w:val="14"/>
                <w:lang w:val="fr-FR" w:eastAsia="fr-FR"/>
              </w:rPr>
              <w:t xml:space="preserve">espiratoire </w:t>
            </w:r>
            <w:r>
              <w:rPr>
                <w:rFonts w:asciiTheme="minorHAnsi" w:hAnsiTheme="minorHAnsi" w:cstheme="minorHAnsi"/>
                <w:b/>
                <w:bCs/>
                <w:color w:val="000000"/>
                <w:sz w:val="14"/>
                <w:szCs w:val="14"/>
                <w:lang w:val="fr-FR" w:eastAsia="fr-FR"/>
              </w:rPr>
              <w:t>s</w:t>
            </w:r>
            <w:r w:rsidRPr="00294ACE">
              <w:rPr>
                <w:rFonts w:asciiTheme="minorHAnsi" w:hAnsiTheme="minorHAnsi" w:cstheme="minorHAnsi"/>
                <w:b/>
                <w:bCs/>
                <w:color w:val="000000"/>
                <w:sz w:val="14"/>
                <w:szCs w:val="14"/>
                <w:lang w:val="fr-FR" w:eastAsia="fr-FR"/>
              </w:rPr>
              <w:t>yncitial</w:t>
            </w:r>
            <w:r>
              <w:rPr>
                <w:rFonts w:asciiTheme="minorHAnsi" w:hAnsiTheme="minorHAnsi" w:cstheme="minorHAnsi"/>
                <w:b/>
                <w:bCs/>
                <w:color w:val="000000"/>
                <w:sz w:val="14"/>
                <w:szCs w:val="14"/>
                <w:lang w:val="fr-FR" w:eastAsia="fr-FR"/>
              </w:rPr>
              <w:t xml:space="preserve"> (VRS)</w:t>
            </w:r>
          </w:p>
        </w:tc>
        <w:tc>
          <w:tcPr>
            <w:tcW w:w="2104"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2580"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2975"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p>
        </w:tc>
        <w:tc>
          <w:tcPr>
            <w:tcW w:w="3246"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4"/>
                <w:szCs w:val="14"/>
                <w:lang w:val="fr-FR" w:eastAsia="fr-FR"/>
              </w:rPr>
            </w:pPr>
            <w:r>
              <w:rPr>
                <w:rFonts w:asciiTheme="minorHAnsi" w:hAnsiTheme="minorHAnsi" w:cstheme="minorHAnsi"/>
                <w:b/>
                <w:bCs/>
                <w:color w:val="000000"/>
                <w:sz w:val="14"/>
                <w:szCs w:val="14"/>
                <w:lang w:val="fr-FR" w:eastAsia="fr-FR"/>
              </w:rPr>
              <w:t>Stade préclinique : u</w:t>
            </w:r>
            <w:r w:rsidRPr="00294ACE">
              <w:rPr>
                <w:rFonts w:asciiTheme="minorHAnsi" w:hAnsiTheme="minorHAnsi" w:cstheme="minorHAnsi"/>
                <w:b/>
                <w:bCs/>
                <w:color w:val="000000"/>
                <w:sz w:val="14"/>
                <w:szCs w:val="14"/>
                <w:lang w:val="fr-FR" w:eastAsia="fr-FR"/>
              </w:rPr>
              <w:t>n cribl</w:t>
            </w:r>
            <w:r>
              <w:rPr>
                <w:rFonts w:asciiTheme="minorHAnsi" w:hAnsiTheme="minorHAnsi" w:cstheme="minorHAnsi"/>
                <w:b/>
                <w:bCs/>
                <w:color w:val="000000"/>
                <w:sz w:val="14"/>
                <w:szCs w:val="14"/>
                <w:lang w:val="fr-FR" w:eastAsia="fr-FR"/>
              </w:rPr>
              <w:t>a</w:t>
            </w:r>
            <w:r w:rsidRPr="00294ACE">
              <w:rPr>
                <w:rFonts w:asciiTheme="minorHAnsi" w:hAnsiTheme="minorHAnsi" w:cstheme="minorHAnsi"/>
                <w:b/>
                <w:bCs/>
                <w:color w:val="000000"/>
                <w:sz w:val="14"/>
                <w:szCs w:val="14"/>
                <w:lang w:val="fr-FR" w:eastAsia="fr-FR"/>
              </w:rPr>
              <w:t>ge de la chimiothèque à permis d’identifier des molécules contre le</w:t>
            </w:r>
            <w:r>
              <w:rPr>
                <w:rFonts w:asciiTheme="minorHAnsi" w:hAnsiTheme="minorHAnsi" w:cstheme="minorHAnsi"/>
                <w:b/>
                <w:bCs/>
                <w:color w:val="000000"/>
                <w:sz w:val="14"/>
                <w:szCs w:val="14"/>
                <w:lang w:val="fr-FR" w:eastAsia="fr-FR"/>
              </w:rPr>
              <w:t xml:space="preserve"> VRS. Le projet est enphase de lead generation.</w:t>
            </w:r>
          </w:p>
        </w:tc>
      </w:tr>
      <w:tr w:rsidR="00294ACE" w:rsidRPr="008C1A4A" w:rsidTr="00882FD7">
        <w:trPr>
          <w:trHeight w:val="1025"/>
        </w:trPr>
        <w:tc>
          <w:tcPr>
            <w:cnfStyle w:val="001000000000" w:firstRow="0" w:lastRow="0" w:firstColumn="1" w:lastColumn="0" w:oddVBand="0" w:evenVBand="0" w:oddHBand="0" w:evenHBand="0" w:firstRowFirstColumn="0" w:firstRowLastColumn="0" w:lastRowFirstColumn="0" w:lastRowLastColumn="0"/>
            <w:tcW w:w="1409" w:type="dxa"/>
            <w:hideMark/>
          </w:tcPr>
          <w:p w:rsidR="00294ACE" w:rsidRPr="00C73365" w:rsidRDefault="00294ACE" w:rsidP="00294ACE">
            <w:pPr>
              <w:spacing w:after="0"/>
              <w:rPr>
                <w:rFonts w:asciiTheme="minorHAnsi" w:hAnsiTheme="minorHAnsi" w:cstheme="minorHAnsi"/>
                <w:b w:val="0"/>
                <w:sz w:val="14"/>
                <w:szCs w:val="14"/>
                <w:lang w:val="fr-FR" w:eastAsia="fr-FR"/>
              </w:rPr>
            </w:pPr>
            <w:r w:rsidRPr="00C73365">
              <w:rPr>
                <w:rFonts w:asciiTheme="minorHAnsi" w:hAnsiTheme="minorHAnsi" w:cstheme="minorHAnsi"/>
                <w:b w:val="0"/>
                <w:bCs w:val="0"/>
                <w:color w:val="000000"/>
                <w:sz w:val="14"/>
                <w:szCs w:val="14"/>
                <w:lang w:val="fr-FR" w:eastAsia="fr-FR"/>
              </w:rPr>
              <w:t>Pas de dénomination avant l’entrée en phase Pré-Clinique</w:t>
            </w:r>
          </w:p>
          <w:p w:rsidR="00294ACE" w:rsidRPr="00C73365" w:rsidRDefault="00294ACE" w:rsidP="00294ACE">
            <w:pPr>
              <w:spacing w:after="0"/>
              <w:rPr>
                <w:rFonts w:asciiTheme="minorHAnsi" w:hAnsiTheme="minorHAnsi" w:cstheme="minorHAnsi"/>
                <w:b w:val="0"/>
                <w:bCs w:val="0"/>
                <w:color w:val="000000"/>
                <w:sz w:val="14"/>
                <w:szCs w:val="14"/>
                <w:lang w:val="fr-FR" w:eastAsia="fr-FR"/>
              </w:rPr>
            </w:pPr>
          </w:p>
        </w:tc>
        <w:tc>
          <w:tcPr>
            <w:tcW w:w="1209" w:type="dxa"/>
            <w:hideMark/>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eastAsia="fr-FR"/>
              </w:rPr>
              <w:t xml:space="preserve">Petite molécule antivirale </w:t>
            </w:r>
          </w:p>
        </w:tc>
        <w:tc>
          <w:tcPr>
            <w:tcW w:w="2212" w:type="dxa"/>
            <w:hideMark/>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eastAsia="fr-FR"/>
              </w:rPr>
              <w:t>Traitement du Chikungunya</w:t>
            </w:r>
          </w:p>
        </w:tc>
        <w:tc>
          <w:tcPr>
            <w:tcW w:w="2104" w:type="dxa"/>
            <w:hideMark/>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Stade préclinique – Phase I prévue pour 2017</w:t>
            </w:r>
          </w:p>
        </w:tc>
        <w:tc>
          <w:tcPr>
            <w:tcW w:w="2580" w:type="dxa"/>
            <w:hideMark/>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ABX 311 est le nom du nouveau lead. Le projet est en phase préclinique. </w:t>
            </w:r>
          </w:p>
        </w:tc>
        <w:tc>
          <w:tcPr>
            <w:tcW w:w="2975" w:type="dxa"/>
            <w:hideMark/>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ABX 311 est le nom du nouveau lead.</w:t>
            </w:r>
          </w:p>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Le projet est en phase préclinique. </w:t>
            </w:r>
          </w:p>
        </w:tc>
        <w:tc>
          <w:tcPr>
            <w:tcW w:w="3246"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color w:val="000000"/>
                <w:sz w:val="14"/>
                <w:szCs w:val="14"/>
                <w:lang w:val="fr-FR" w:eastAsia="fr-FR"/>
              </w:rPr>
              <w:t>Programme de développement suspendu à la suite de la réévaluation à la baisse des perspectives d’incidence et de marché.</w:t>
            </w:r>
          </w:p>
        </w:tc>
      </w:tr>
      <w:tr w:rsidR="00294ACE" w:rsidRPr="00C73365" w:rsidTr="00882FD7">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1409" w:type="dxa"/>
          </w:tcPr>
          <w:p w:rsidR="00294ACE" w:rsidRPr="00C73365" w:rsidRDefault="00294ACE" w:rsidP="00294ACE">
            <w:pPr>
              <w:spacing w:after="0"/>
              <w:rPr>
                <w:rFonts w:asciiTheme="minorHAnsi" w:hAnsiTheme="minorHAnsi" w:cstheme="minorHAnsi"/>
                <w:b w:val="0"/>
                <w:bCs w:val="0"/>
                <w:color w:val="000000"/>
                <w:sz w:val="14"/>
                <w:szCs w:val="14"/>
                <w:lang w:val="fr-FR" w:eastAsia="fr-FR"/>
              </w:rPr>
            </w:pPr>
            <w:r w:rsidRPr="00C73365">
              <w:rPr>
                <w:rFonts w:asciiTheme="minorHAnsi" w:hAnsiTheme="minorHAnsi" w:cstheme="minorHAnsi"/>
                <w:b w:val="0"/>
                <w:color w:val="000000"/>
                <w:sz w:val="14"/>
                <w:szCs w:val="14"/>
                <w:lang w:eastAsia="fr-FR"/>
              </w:rPr>
              <w:t>ABX 220</w:t>
            </w:r>
          </w:p>
        </w:tc>
        <w:tc>
          <w:tcPr>
            <w:tcW w:w="1209"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Peptide inhibant l’entrée du virus de la dengue</w:t>
            </w:r>
          </w:p>
        </w:tc>
        <w:tc>
          <w:tcPr>
            <w:tcW w:w="2212"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eastAsia="fr-FR"/>
              </w:rPr>
            </w:pPr>
            <w:r w:rsidRPr="00C73365">
              <w:rPr>
                <w:rFonts w:asciiTheme="minorHAnsi" w:hAnsiTheme="minorHAnsi" w:cstheme="minorHAnsi"/>
                <w:bCs/>
                <w:color w:val="000000"/>
                <w:sz w:val="14"/>
                <w:szCs w:val="14"/>
                <w:lang w:eastAsia="fr-FR"/>
              </w:rPr>
              <w:t>Traitement de la dengue</w:t>
            </w:r>
          </w:p>
        </w:tc>
        <w:tc>
          <w:tcPr>
            <w:tcW w:w="2104"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Stade préclinique – Phase I prévue pour 2016</w:t>
            </w:r>
          </w:p>
        </w:tc>
        <w:tc>
          <w:tcPr>
            <w:tcW w:w="2580"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Le contrat n’a pas été encore formellement dénoncé dans l’attente d’informations contradictoires probantes de la part du partenaire cubain. Notre partenaire doit conduire une nouvelle série de tests afin de conclure définitivement sur l’activité ou non antivirale de ce peptide anti Dengue. En attendant, le produit est exclu du portefeuille d’ABIVAX.</w:t>
            </w:r>
          </w:p>
        </w:tc>
        <w:tc>
          <w:tcPr>
            <w:tcW w:w="2975"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Le contrat n’a pas été encore formellement dénoncé dans l’attente d’informations contradictoires probantes de la part du partenaire cubain. Notre partenaire doit conduire une nouvelle série de tests afin de conclure définitivement sur l’activité ou non antivirale de ce peptide anti Dengue. En attendant, le produit est exclu du portefeuille d’ABIVAX.</w:t>
            </w:r>
          </w:p>
        </w:tc>
        <w:tc>
          <w:tcPr>
            <w:tcW w:w="3246" w:type="dxa"/>
          </w:tcPr>
          <w:p w:rsidR="00294ACE" w:rsidRPr="00C73365" w:rsidRDefault="00294ACE" w:rsidP="00294AC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4"/>
                <w:szCs w:val="14"/>
                <w:lang w:val="fr-FR" w:eastAsia="fr-FR"/>
              </w:rPr>
            </w:pPr>
            <w:r w:rsidRPr="00C73365">
              <w:rPr>
                <w:rFonts w:asciiTheme="minorHAnsi" w:hAnsiTheme="minorHAnsi" w:cstheme="minorHAnsi"/>
                <w:bCs/>
                <w:color w:val="000000"/>
                <w:sz w:val="14"/>
                <w:szCs w:val="14"/>
                <w:lang w:val="fr-FR" w:eastAsia="fr-FR"/>
              </w:rPr>
              <w:t xml:space="preserve">Position inchangée. </w:t>
            </w:r>
          </w:p>
        </w:tc>
      </w:tr>
      <w:tr w:rsidR="00294ACE" w:rsidRPr="00C73365" w:rsidTr="00882FD7">
        <w:trPr>
          <w:trHeight w:val="1025"/>
        </w:trPr>
        <w:tc>
          <w:tcPr>
            <w:cnfStyle w:val="001000000000" w:firstRow="0" w:lastRow="0" w:firstColumn="1" w:lastColumn="0" w:oddVBand="0" w:evenVBand="0" w:oddHBand="0" w:evenHBand="0" w:firstRowFirstColumn="0" w:firstRowLastColumn="0" w:lastRowFirstColumn="0" w:lastRowLastColumn="0"/>
            <w:tcW w:w="1409" w:type="dxa"/>
          </w:tcPr>
          <w:p w:rsidR="00294ACE" w:rsidRPr="00C73365" w:rsidRDefault="00294ACE" w:rsidP="00294ACE">
            <w:pPr>
              <w:spacing w:after="0"/>
              <w:rPr>
                <w:rFonts w:asciiTheme="minorHAnsi" w:hAnsiTheme="minorHAnsi" w:cstheme="minorHAnsi"/>
                <w:b w:val="0"/>
                <w:bCs w:val="0"/>
                <w:color w:val="000000"/>
                <w:sz w:val="14"/>
                <w:szCs w:val="14"/>
                <w:lang w:eastAsia="fr-FR"/>
              </w:rPr>
            </w:pPr>
            <w:r w:rsidRPr="00C73365">
              <w:rPr>
                <w:rFonts w:asciiTheme="minorHAnsi" w:hAnsiTheme="minorHAnsi" w:cstheme="minorHAnsi"/>
                <w:b w:val="0"/>
                <w:color w:val="000000"/>
                <w:sz w:val="14"/>
                <w:szCs w:val="14"/>
                <w:lang w:eastAsia="fr-FR"/>
              </w:rPr>
              <w:t>ABX203</w:t>
            </w:r>
          </w:p>
        </w:tc>
        <w:tc>
          <w:tcPr>
            <w:tcW w:w="1209"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Vaccin thérapeutique combinant deux antigènes du virus de l’hépatite B (HBsAg, HBcAg)</w:t>
            </w:r>
          </w:p>
        </w:tc>
        <w:tc>
          <w:tcPr>
            <w:tcW w:w="2212"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Traitement fonctionnel de l’Hépatite B Chronique</w:t>
            </w:r>
          </w:p>
        </w:tc>
        <w:tc>
          <w:tcPr>
            <w:tcW w:w="2104"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Phases I et  II finalisées par le CIGB</w:t>
            </w:r>
          </w:p>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Ph  IIb/III en cours par ABIVAX dans 9 pays d’Asie Pacifique– Résultats attendus au troisième trimestre 2016</w:t>
            </w:r>
          </w:p>
        </w:tc>
        <w:tc>
          <w:tcPr>
            <w:tcW w:w="2580"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Essai de Phase IIb/III réalisée dans 9 pays d’Asie Pacifique qui n’a pas démontré d’efficacité. Projet suspendu dans l’attente d’informations complémentaires de la part des partenaires cubains.</w:t>
            </w:r>
          </w:p>
        </w:tc>
        <w:tc>
          <w:tcPr>
            <w:tcW w:w="2975"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Essai de Phase IIb/III réalisée dans 9 pays d’Asie Pacifique qui n’a pas démontré d’efficacité. Projet suspendu dans l’attente d’informations complémentaires de la part des partenaires cubains.</w:t>
            </w:r>
          </w:p>
        </w:tc>
        <w:tc>
          <w:tcPr>
            <w:tcW w:w="3246" w:type="dxa"/>
          </w:tcPr>
          <w:p w:rsidR="00294ACE" w:rsidRPr="00C73365" w:rsidRDefault="00294ACE" w:rsidP="00294AC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14"/>
                <w:szCs w:val="14"/>
                <w:lang w:val="fr-FR" w:eastAsia="fr-FR"/>
              </w:rPr>
            </w:pPr>
            <w:r w:rsidRPr="00C73365">
              <w:rPr>
                <w:rFonts w:asciiTheme="minorHAnsi" w:hAnsiTheme="minorHAnsi" w:cstheme="minorHAnsi"/>
                <w:bCs/>
                <w:color w:val="000000"/>
                <w:sz w:val="14"/>
                <w:szCs w:val="14"/>
                <w:lang w:val="fr-FR" w:eastAsia="fr-FR"/>
              </w:rPr>
              <w:t>Position inchangée.</w:t>
            </w:r>
          </w:p>
        </w:tc>
      </w:tr>
    </w:tbl>
    <w:p w:rsidR="00693528" w:rsidRPr="00C73365" w:rsidRDefault="00693528" w:rsidP="00693528">
      <w:pPr>
        <w:rPr>
          <w:rFonts w:asciiTheme="minorHAnsi" w:hAnsiTheme="minorHAnsi" w:cstheme="minorHAnsi"/>
          <w:lang w:val="fr-FR"/>
        </w:rPr>
      </w:pPr>
    </w:p>
    <w:p w:rsidR="00693528" w:rsidRPr="00C73365" w:rsidRDefault="00693528" w:rsidP="00693528">
      <w:pPr>
        <w:rPr>
          <w:rFonts w:asciiTheme="minorHAnsi" w:hAnsiTheme="minorHAnsi" w:cstheme="minorHAnsi"/>
          <w:lang w:val="fr-FR"/>
        </w:rPr>
      </w:pPr>
    </w:p>
    <w:p w:rsidR="00693528" w:rsidRPr="00ED5051" w:rsidRDefault="00693528" w:rsidP="00ED5051">
      <w:pPr>
        <w:tabs>
          <w:tab w:val="left" w:pos="8760"/>
        </w:tabs>
        <w:outlineLvl w:val="2"/>
        <w:rPr>
          <w:rFonts w:asciiTheme="minorHAnsi" w:hAnsiTheme="minorHAnsi" w:cstheme="minorHAnsi"/>
          <w:b/>
          <w:color w:val="7030A0"/>
          <w:szCs w:val="22"/>
          <w:lang w:val="fr-FR"/>
        </w:rPr>
        <w:sectPr w:rsidR="00693528" w:rsidRPr="00ED5051" w:rsidSect="001F73EF">
          <w:headerReference w:type="even" r:id="rId18"/>
          <w:headerReference w:type="default" r:id="rId19"/>
          <w:footerReference w:type="even" r:id="rId20"/>
          <w:footerReference w:type="default" r:id="rId21"/>
          <w:headerReference w:type="first" r:id="rId22"/>
          <w:footerReference w:type="first" r:id="rId23"/>
          <w:type w:val="continuous"/>
          <w:pgSz w:w="16840" w:h="11907" w:orient="landscape" w:code="9"/>
          <w:pgMar w:top="1134" w:right="1134" w:bottom="1134" w:left="1134" w:header="709" w:footer="709" w:gutter="0"/>
          <w:cols w:space="708"/>
          <w:docGrid w:linePitch="360"/>
        </w:sectPr>
      </w:pPr>
    </w:p>
    <w:p w:rsidR="00F46C7B" w:rsidRPr="00C73365" w:rsidRDefault="00F46C7B" w:rsidP="007A1897">
      <w:pPr>
        <w:pStyle w:val="ConmainL3"/>
        <w:numPr>
          <w:ilvl w:val="2"/>
          <w:numId w:val="9"/>
        </w:numPr>
        <w:spacing w:after="120"/>
        <w:ind w:left="1276" w:hanging="556"/>
        <w:rPr>
          <w:rFonts w:asciiTheme="minorHAnsi" w:hAnsiTheme="minorHAnsi" w:cstheme="minorHAnsi"/>
          <w:b/>
          <w:color w:val="7030A0"/>
          <w:lang w:val="fr-FR"/>
        </w:rPr>
      </w:pPr>
      <w:bookmarkStart w:id="282" w:name="_Hlk509508778"/>
      <w:r w:rsidRPr="00C73365">
        <w:rPr>
          <w:rFonts w:asciiTheme="minorHAnsi" w:hAnsiTheme="minorHAnsi" w:cstheme="minorHAnsi"/>
          <w:b/>
          <w:color w:val="7030A0"/>
          <w:lang w:val="fr-FR"/>
        </w:rPr>
        <w:lastRenderedPageBreak/>
        <w:t>ABX464, une petite molécule novatrice capable d’inhiber la réplication du VIH</w:t>
      </w:r>
    </w:p>
    <w:bookmarkEnd w:id="282"/>
    <w:p w:rsidR="000161A1" w:rsidRPr="00C73365" w:rsidRDefault="000161A1" w:rsidP="004572A0">
      <w:pPr>
        <w:pStyle w:val="BodyText"/>
        <w:rPr>
          <w:rFonts w:asciiTheme="minorHAnsi" w:hAnsiTheme="minorHAnsi" w:cstheme="minorHAnsi"/>
          <w:lang w:val="fr-FR"/>
        </w:rPr>
      </w:pPr>
      <w:r w:rsidRPr="00C73365">
        <w:rPr>
          <w:rFonts w:asciiTheme="minorHAnsi" w:hAnsiTheme="minorHAnsi" w:cstheme="minorHAnsi"/>
          <w:lang w:val="fr-FR"/>
        </w:rPr>
        <w:t>ABX464 est une petite molécule novatrice « </w:t>
      </w:r>
      <w:r w:rsidRPr="00C73365">
        <w:rPr>
          <w:rFonts w:asciiTheme="minorHAnsi" w:hAnsiTheme="minorHAnsi" w:cstheme="minorHAnsi"/>
          <w:i/>
          <w:lang w:val="fr-FR"/>
        </w:rPr>
        <w:t>First-in-class</w:t>
      </w:r>
      <w:r w:rsidRPr="00C73365">
        <w:rPr>
          <w:rFonts w:asciiTheme="minorHAnsi" w:hAnsiTheme="minorHAnsi" w:cstheme="minorHAnsi"/>
          <w:lang w:val="fr-FR"/>
        </w:rPr>
        <w:t xml:space="preserve"> » aux propriétés et mode d’action uniques qui est issue de sa chimiothèque propriétaire d’antiviraux générée par sa plateforme « antivirale ».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a non seulement démontré qu</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elle inhibait la réplication virale </w:t>
      </w:r>
      <w:r w:rsidRPr="00C73365">
        <w:rPr>
          <w:rFonts w:asciiTheme="minorHAnsi" w:hAnsiTheme="minorHAnsi" w:cstheme="minorHAnsi"/>
          <w:i/>
          <w:lang w:val="fr-FR"/>
        </w:rPr>
        <w:t>in vitro</w:t>
      </w:r>
      <w:r w:rsidRPr="00C73365">
        <w:rPr>
          <w:rFonts w:asciiTheme="minorHAnsi" w:hAnsiTheme="minorHAnsi" w:cstheme="minorHAnsi"/>
          <w:lang w:val="fr-FR"/>
        </w:rPr>
        <w:t xml:space="preserve"> et </w:t>
      </w:r>
      <w:r w:rsidRPr="00C73365">
        <w:rPr>
          <w:rFonts w:asciiTheme="minorHAnsi" w:hAnsiTheme="minorHAnsi" w:cstheme="minorHAnsi"/>
          <w:i/>
          <w:lang w:val="fr-FR"/>
        </w:rPr>
        <w:t>in vivo</w:t>
      </w:r>
      <w:r w:rsidRPr="00C73365">
        <w:rPr>
          <w:rFonts w:asciiTheme="minorHAnsi" w:hAnsiTheme="minorHAnsi" w:cstheme="minorHAnsi"/>
          <w:lang w:val="fr-FR"/>
        </w:rPr>
        <w:t>, mais également qu</w:t>
      </w:r>
      <w:r w:rsidR="004572A0" w:rsidRPr="00C73365">
        <w:rPr>
          <w:rFonts w:asciiTheme="minorHAnsi" w:hAnsiTheme="minorHAnsi" w:cstheme="minorHAnsi"/>
          <w:lang w:val="fr-FR"/>
        </w:rPr>
        <w:t>’</w:t>
      </w:r>
      <w:r w:rsidRPr="00C73365">
        <w:rPr>
          <w:rFonts w:asciiTheme="minorHAnsi" w:hAnsiTheme="minorHAnsi" w:cstheme="minorHAnsi"/>
          <w:lang w:val="fr-FR"/>
        </w:rPr>
        <w:t>elle induisait, dans un modèle animal, une réduction à long terme de la charge virale après arrêt du traitement chez la souris, sans toutefois induire de résistances.</w:t>
      </w:r>
    </w:p>
    <w:p w:rsidR="000161A1" w:rsidRPr="00C73365" w:rsidRDefault="000161A1" w:rsidP="004572A0">
      <w:pPr>
        <w:pStyle w:val="BodyText"/>
        <w:rPr>
          <w:rFonts w:asciiTheme="minorHAnsi" w:hAnsiTheme="minorHAnsi" w:cstheme="minorHAnsi"/>
          <w:lang w:val="fr-FR"/>
        </w:rPr>
      </w:pPr>
      <w:r w:rsidRPr="00C73365">
        <w:rPr>
          <w:rFonts w:asciiTheme="minorHAnsi" w:hAnsiTheme="minorHAnsi" w:cstheme="minorHAnsi"/>
          <w:lang w:val="fr-FR"/>
        </w:rPr>
        <w:t>Cette molécule dispose d</w:t>
      </w:r>
      <w:r w:rsidR="004572A0" w:rsidRPr="00C73365">
        <w:rPr>
          <w:rFonts w:asciiTheme="minorHAnsi" w:hAnsiTheme="minorHAnsi" w:cstheme="minorHAnsi"/>
          <w:lang w:val="fr-FR"/>
        </w:rPr>
        <w:t>’</w:t>
      </w:r>
      <w:r w:rsidRPr="00C73365">
        <w:rPr>
          <w:rFonts w:asciiTheme="minorHAnsi" w:hAnsiTheme="minorHAnsi" w:cstheme="minorHAnsi"/>
          <w:lang w:val="fr-FR"/>
        </w:rPr>
        <w:t>un important potentiel dans le cadre du développement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une nouvelle classe de médicaments antirétroviraux, susceptibles éventuellement de conduire à une guérison fonctionnelle des patients. </w:t>
      </w:r>
    </w:p>
    <w:p w:rsidR="000161A1" w:rsidRPr="00C73365" w:rsidRDefault="000161A1" w:rsidP="004572A0">
      <w:pPr>
        <w:pStyle w:val="BodyText"/>
        <w:rPr>
          <w:rFonts w:asciiTheme="minorHAnsi" w:hAnsiTheme="minorHAnsi" w:cstheme="minorHAnsi"/>
          <w:lang w:val="fr-FR"/>
        </w:rPr>
      </w:pPr>
      <w:r w:rsidRPr="00C73365">
        <w:rPr>
          <w:rFonts w:asciiTheme="minorHAnsi" w:hAnsiTheme="minorHAnsi" w:cstheme="minorHAnsi"/>
          <w:lang w:val="fr-FR"/>
        </w:rPr>
        <w:t>Deux études de phase I réalisées sur 72 sujets sains ont démontré que le produit était bien toléré aux doses thérapeutiques prévues. Une première étude de phase IIa sur 66 sujets infectés par le VIH-1 conduite en 2015 a apporté une première preuve de l’activité antivirale de l’ABX464 chez l’homme tout en confirmant sa bonne tolérance.</w:t>
      </w:r>
    </w:p>
    <w:p w:rsidR="000161A1" w:rsidRPr="00C73365" w:rsidRDefault="000161A1" w:rsidP="004572A0">
      <w:pPr>
        <w:pStyle w:val="BodyText"/>
        <w:rPr>
          <w:rFonts w:asciiTheme="minorHAnsi" w:hAnsiTheme="minorHAnsi" w:cstheme="minorHAnsi"/>
          <w:lang w:val="fr-FR"/>
        </w:rPr>
      </w:pPr>
      <w:r w:rsidRPr="00C73365">
        <w:rPr>
          <w:rFonts w:asciiTheme="minorHAnsi" w:hAnsiTheme="minorHAnsi" w:cstheme="minorHAnsi"/>
          <w:lang w:val="fr-FR"/>
        </w:rPr>
        <w:t>Une deuxième étude de phase IIa (ABX464-004) a été lancée à partir d’Avril 2016 en Espagne, en Belgique et en France pour explorer l’effet thérapeutique à long terme de l’ABX464 lorsqu’il est utilisé en combinaison avec d’autres antiviraux. Les résultats préliminaires de cette étude ont été communiqués le 2 mai 2017. Ils mettent en évidence une baisse des réservoirs du VIH induite par ABX464.</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bCs/>
          <w:lang w:val="fr-FR"/>
        </w:rPr>
      </w:pPr>
      <w:r w:rsidRPr="00C73365">
        <w:rPr>
          <w:rFonts w:asciiTheme="minorHAnsi" w:hAnsiTheme="minorHAnsi" w:cstheme="minorHAnsi"/>
          <w:lang w:val="fr-FR"/>
        </w:rPr>
        <w:t xml:space="preserve">Par ailleurs et afin de mieux comprendre le mode d’action de la molécule sur les cellules « réservoirs » du virus, une étude clinique spécifique de Phase IIa (ABX464-005) est conduite depuis avril 2017 dans un centre d’excellence en Espagne (étude dite « compartimentale »). </w:t>
      </w:r>
      <w:r w:rsidRPr="00C73365">
        <w:rPr>
          <w:rFonts w:asciiTheme="minorHAnsi" w:hAnsiTheme="minorHAnsi" w:cstheme="minorHAnsi"/>
          <w:bCs/>
          <w:lang w:val="fr-FR"/>
        </w:rPr>
        <w:t xml:space="preserve">Les résultats provenant d’un premier groupe de 11 patients ont été communiqués </w:t>
      </w:r>
      <w:r w:rsidR="00E73A7C">
        <w:rPr>
          <w:rFonts w:asciiTheme="minorHAnsi" w:hAnsiTheme="minorHAnsi" w:cstheme="minorHAnsi"/>
          <w:bCs/>
          <w:lang w:val="fr-FR"/>
        </w:rPr>
        <w:t>le 28 septembre</w:t>
      </w:r>
      <w:r w:rsidRPr="00C73365">
        <w:rPr>
          <w:rFonts w:asciiTheme="minorHAnsi" w:hAnsiTheme="minorHAnsi" w:cstheme="minorHAnsi"/>
          <w:bCs/>
          <w:lang w:val="fr-FR"/>
        </w:rPr>
        <w:t xml:space="preserve"> 2017. Ils confirment </w:t>
      </w:r>
      <w:r w:rsidRPr="00C73365">
        <w:rPr>
          <w:rFonts w:asciiTheme="minorHAnsi" w:hAnsiTheme="minorHAnsi" w:cstheme="minorHAnsi"/>
          <w:lang w:val="fr-FR"/>
        </w:rPr>
        <w:t xml:space="preserve">une baisse des réservoirs du VIH induite par ABX464. </w:t>
      </w:r>
      <w:r w:rsidRPr="00C73365">
        <w:rPr>
          <w:rFonts w:asciiTheme="minorHAnsi" w:hAnsiTheme="minorHAnsi" w:cstheme="minorHAnsi"/>
          <w:bCs/>
          <w:lang w:val="fr-FR"/>
        </w:rPr>
        <w:t xml:space="preserve">Un deuxième groupe de patients recevant une dose de 50mg d’ABX464 pendant 84 jours en plus de leur traitement antirétroviral est en cours de recrutement. Les résultats préliminaires de ce deuxième groupe sont attendus </w:t>
      </w:r>
      <w:r w:rsidR="001F273E" w:rsidRPr="00C73365">
        <w:rPr>
          <w:rFonts w:asciiTheme="minorHAnsi" w:hAnsiTheme="minorHAnsi" w:cstheme="minorHAnsi"/>
          <w:bCs/>
          <w:lang w:val="fr-FR"/>
        </w:rPr>
        <w:t>au 3</w:t>
      </w:r>
      <w:r w:rsidR="001F273E" w:rsidRPr="00C73365">
        <w:rPr>
          <w:rFonts w:asciiTheme="minorHAnsi" w:hAnsiTheme="minorHAnsi" w:cstheme="minorHAnsi"/>
          <w:bCs/>
          <w:vertAlign w:val="superscript"/>
          <w:lang w:val="fr-FR"/>
        </w:rPr>
        <w:t>ème</w:t>
      </w:r>
      <w:r w:rsidR="001F273E" w:rsidRPr="00C73365">
        <w:rPr>
          <w:rFonts w:asciiTheme="minorHAnsi" w:hAnsiTheme="minorHAnsi" w:cstheme="minorHAnsi"/>
          <w:bCs/>
          <w:lang w:val="fr-FR"/>
        </w:rPr>
        <w:t xml:space="preserve"> trimestre </w:t>
      </w:r>
      <w:r w:rsidRPr="00C73365">
        <w:rPr>
          <w:rFonts w:asciiTheme="minorHAnsi" w:hAnsiTheme="minorHAnsi" w:cstheme="minorHAnsi"/>
          <w:bCs/>
          <w:lang w:val="fr-FR"/>
        </w:rPr>
        <w:t>2018.</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Les résultats des études ABX464-004 et 005 sont de nature à justifier le démarrage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une étude de phase IIb (ABX464-006) en Europe et aux Etats-Unis </w:t>
      </w:r>
      <w:r w:rsidR="001F273E" w:rsidRPr="00C73365">
        <w:rPr>
          <w:rFonts w:asciiTheme="minorHAnsi" w:hAnsiTheme="minorHAnsi" w:cstheme="minorHAnsi"/>
          <w:szCs w:val="20"/>
          <w:lang w:val="fr-FR"/>
        </w:rPr>
        <w:t xml:space="preserve">à </w:t>
      </w:r>
      <w:r w:rsidRPr="00C73365">
        <w:rPr>
          <w:rFonts w:asciiTheme="minorHAnsi" w:hAnsiTheme="minorHAnsi" w:cstheme="minorHAnsi"/>
          <w:szCs w:val="20"/>
          <w:lang w:val="fr-FR"/>
        </w:rPr>
        <w:t>la fin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année 2018.</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En conséquence, </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xml:space="preserve"> prévoit de soumettre en 2018 une demande d’IND (Investigational New Drug) auprès de la Food and Drug Administration (FDA) qui permettrait la conduite de l’étude de phase IIb (ABX464-006) aux Etats-Unis.</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lang w:val="fr-FR"/>
        </w:rPr>
        <w:t xml:space="preserve">Par ailleurs, </w:t>
      </w:r>
      <w:r w:rsidRPr="00C73365">
        <w:rPr>
          <w:rFonts w:asciiTheme="minorHAnsi" w:hAnsiTheme="minorHAnsi" w:cstheme="minorHAnsi"/>
          <w:szCs w:val="20"/>
          <w:lang w:val="fr-FR"/>
        </w:rPr>
        <w:t>de nouvelles données précliniques sur ABX464 ont démontré que la molécule a un fort effet anti-inflammatoire. Dans les macrophages, il a été mis en évidence que cet effet était attribuable à une multiplication par 50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expression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IL-22, une cytokine connue pour être un puissant inhibiteur des processus inflammatoires.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inflammation est un élément clé des pathologies observées, non seulement dans le VIH mais également dans de nombreuses autres maladies telles que la maladie inflammatoire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intestin (dont la </w:t>
      </w:r>
      <w:r w:rsidR="00357A37" w:rsidRPr="00C73365">
        <w:rPr>
          <w:rFonts w:asciiTheme="minorHAnsi" w:hAnsiTheme="minorHAnsi" w:cstheme="minorHAnsi"/>
          <w:szCs w:val="20"/>
          <w:lang w:val="fr-FR"/>
        </w:rPr>
        <w:t>rectocolite hémorragique</w:t>
      </w:r>
      <w:r w:rsidRPr="00C73365">
        <w:rPr>
          <w:rFonts w:asciiTheme="minorHAnsi" w:hAnsiTheme="minorHAnsi" w:cstheme="minorHAnsi"/>
          <w:szCs w:val="20"/>
          <w:lang w:val="fr-FR"/>
        </w:rPr>
        <w:t xml:space="preserve"> et la maladie de Crohn). ABX464 a démontré un effet durable sur la prévention de symptômes typiquement observés dans le cas de colite inflammatoire (dont des modifications histologiques) dans des modèles murins de maladie inflammatoire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intestin. </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Sur la base de ces résultats, la société a initié au cours du troisième trimestre 2017 une étude clinique de preuve de concept ABX464-101</w:t>
      </w:r>
      <w:r w:rsidR="00E011E7" w:rsidRPr="00C73365">
        <w:rPr>
          <w:rFonts w:asciiTheme="minorHAnsi" w:hAnsiTheme="minorHAnsi" w:cstheme="minorHAnsi"/>
          <w:b/>
          <w:szCs w:val="20"/>
          <w:lang w:val="fr-FR"/>
        </w:rPr>
        <w:t xml:space="preserve"> </w:t>
      </w:r>
      <w:r w:rsidR="00E011E7" w:rsidRPr="00C73365">
        <w:rPr>
          <w:rFonts w:asciiTheme="minorHAnsi" w:hAnsiTheme="minorHAnsi" w:cstheme="minorHAnsi"/>
          <w:szCs w:val="20"/>
          <w:lang w:val="fr-FR"/>
        </w:rPr>
        <w:t xml:space="preserve">sur la propriété anti-inflammatoire à destination de la Maladie Inflammatoire Chronique de l’Intestin (MICI) ou Inflammatory Bowel Disease (IBD) dont fait partie la </w:t>
      </w:r>
      <w:r w:rsidR="00357A37" w:rsidRPr="00C73365">
        <w:rPr>
          <w:rFonts w:asciiTheme="minorHAnsi" w:hAnsiTheme="minorHAnsi" w:cstheme="minorHAnsi"/>
          <w:szCs w:val="20"/>
          <w:lang w:val="fr-FR"/>
        </w:rPr>
        <w:t>rectocolite hémorragique</w:t>
      </w:r>
      <w:r w:rsidR="00E011E7" w:rsidRPr="00C73365">
        <w:rPr>
          <w:rFonts w:asciiTheme="minorHAnsi" w:hAnsiTheme="minorHAnsi" w:cstheme="minorHAnsi"/>
          <w:szCs w:val="20"/>
          <w:lang w:val="fr-FR"/>
        </w:rPr>
        <w:t xml:space="preserve">. </w:t>
      </w:r>
      <w:r w:rsidRPr="00C73365">
        <w:rPr>
          <w:rFonts w:asciiTheme="minorHAnsi" w:hAnsiTheme="minorHAnsi" w:cstheme="minorHAnsi"/>
          <w:szCs w:val="20"/>
          <w:lang w:val="fr-FR"/>
        </w:rPr>
        <w:t>Cette étude est conduite dans 8 pays européens (France, Belgique, Allemagne, Espagne, Autriche, République tchèque, Hongrie et Pologne) et évalue d’activité et la tolérance d’ABX464 à la dose de 50mg par jour administré durant 8 semaines chez des patients atteints d’une rectocolite hémorragique active et résistante aux traitements actuels. Le premier patient a été inclus en Novembre 2017.</w:t>
      </w:r>
    </w:p>
    <w:p w:rsidR="000161A1" w:rsidRPr="00C73365" w:rsidRDefault="000161A1" w:rsidP="00A96CCA">
      <w:pPr>
        <w:pStyle w:val="NormalWeb"/>
        <w:shd w:val="clear" w:color="auto" w:fill="FFFFFF"/>
        <w:spacing w:before="0" w:beforeAutospacing="0" w:after="120" w:afterAutospacing="0"/>
        <w:rPr>
          <w:rFonts w:asciiTheme="minorHAnsi" w:hAnsiTheme="minorHAnsi" w:cstheme="minorHAnsi"/>
          <w:szCs w:val="20"/>
          <w:lang w:val="fr-FR"/>
        </w:rPr>
      </w:pPr>
      <w:bookmarkStart w:id="283" w:name="_Hlk509508760"/>
      <w:r w:rsidRPr="00C73365">
        <w:rPr>
          <w:rFonts w:asciiTheme="minorHAnsi" w:hAnsiTheme="minorHAnsi" w:cstheme="minorHAnsi"/>
          <w:szCs w:val="20"/>
          <w:lang w:val="fr-FR"/>
        </w:rPr>
        <w:t xml:space="preserve">Les résultats de cette étude clinique d’induction sont attendus en </w:t>
      </w:r>
      <w:r w:rsidR="00E73A7C">
        <w:rPr>
          <w:rFonts w:asciiTheme="minorHAnsi" w:hAnsiTheme="minorHAnsi" w:cstheme="minorHAnsi"/>
          <w:szCs w:val="20"/>
          <w:lang w:val="fr-FR"/>
        </w:rPr>
        <w:t>septembre</w:t>
      </w:r>
      <w:r w:rsidRPr="00C73365">
        <w:rPr>
          <w:rFonts w:asciiTheme="minorHAnsi" w:hAnsiTheme="minorHAnsi" w:cstheme="minorHAnsi"/>
          <w:szCs w:val="20"/>
          <w:lang w:val="fr-FR"/>
        </w:rPr>
        <w:t xml:space="preserve"> 2018.</w:t>
      </w:r>
    </w:p>
    <w:p w:rsidR="000161A1" w:rsidRPr="00C73365" w:rsidRDefault="00EF089C" w:rsidP="00A96CCA">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w:t>
      </w:r>
      <w:r w:rsidR="001F64B5" w:rsidRPr="00C73365">
        <w:rPr>
          <w:rFonts w:asciiTheme="minorHAnsi" w:hAnsiTheme="minorHAnsi" w:cstheme="minorHAnsi"/>
          <w:lang w:val="fr-FR"/>
        </w:rPr>
        <w:t xml:space="preserve"> estime que les résultats obtenus au cours des études successives de phase IIa et IIb dans le HIV ainsi que d</w:t>
      </w:r>
      <w:r w:rsidR="000161A1" w:rsidRPr="00C73365">
        <w:rPr>
          <w:rFonts w:asciiTheme="minorHAnsi" w:hAnsiTheme="minorHAnsi" w:cstheme="minorHAnsi"/>
          <w:szCs w:val="20"/>
          <w:lang w:val="fr-FR"/>
        </w:rPr>
        <w:t>es résultats cliniques</w:t>
      </w:r>
      <w:r w:rsidR="001F64B5" w:rsidRPr="00C73365">
        <w:rPr>
          <w:rFonts w:asciiTheme="minorHAnsi" w:hAnsiTheme="minorHAnsi" w:cstheme="minorHAnsi"/>
          <w:szCs w:val="20"/>
          <w:lang w:val="fr-FR"/>
        </w:rPr>
        <w:t xml:space="preserve"> de phase I</w:t>
      </w:r>
      <w:r w:rsidR="001219E1" w:rsidRPr="00C73365">
        <w:rPr>
          <w:rFonts w:asciiTheme="minorHAnsi" w:hAnsiTheme="minorHAnsi" w:cstheme="minorHAnsi"/>
          <w:szCs w:val="20"/>
          <w:lang w:val="fr-FR"/>
        </w:rPr>
        <w:t>I</w:t>
      </w:r>
      <w:r w:rsidR="001F64B5" w:rsidRPr="00C73365">
        <w:rPr>
          <w:rFonts w:asciiTheme="minorHAnsi" w:hAnsiTheme="minorHAnsi" w:cstheme="minorHAnsi"/>
          <w:szCs w:val="20"/>
          <w:lang w:val="fr-FR"/>
        </w:rPr>
        <w:t xml:space="preserve">a </w:t>
      </w:r>
      <w:r w:rsidR="000161A1" w:rsidRPr="00C73365">
        <w:rPr>
          <w:rFonts w:asciiTheme="minorHAnsi" w:hAnsiTheme="minorHAnsi" w:cstheme="minorHAnsi"/>
          <w:szCs w:val="20"/>
          <w:lang w:val="fr-FR"/>
        </w:rPr>
        <w:t>positifs dans</w:t>
      </w:r>
      <w:r w:rsidR="001F64B5" w:rsidRPr="00C73365">
        <w:rPr>
          <w:rFonts w:asciiTheme="minorHAnsi" w:hAnsiTheme="minorHAnsi" w:cstheme="minorHAnsi"/>
          <w:szCs w:val="20"/>
          <w:lang w:val="fr-FR"/>
        </w:rPr>
        <w:t xml:space="preserve"> l’</w:t>
      </w:r>
      <w:r w:rsidR="000161A1" w:rsidRPr="00C73365">
        <w:rPr>
          <w:rFonts w:asciiTheme="minorHAnsi" w:hAnsiTheme="minorHAnsi" w:cstheme="minorHAnsi"/>
          <w:szCs w:val="20"/>
          <w:lang w:val="fr-FR"/>
        </w:rPr>
        <w:t>indication</w:t>
      </w:r>
      <w:r w:rsidR="001F64B5" w:rsidRPr="00C73365">
        <w:rPr>
          <w:rFonts w:asciiTheme="minorHAnsi" w:hAnsiTheme="minorHAnsi" w:cstheme="minorHAnsi"/>
          <w:szCs w:val="20"/>
          <w:lang w:val="fr-FR"/>
        </w:rPr>
        <w:t xml:space="preserve"> rectocolite hémorragique </w:t>
      </w:r>
      <w:r w:rsidR="000161A1" w:rsidRPr="00C73365">
        <w:rPr>
          <w:rFonts w:asciiTheme="minorHAnsi" w:hAnsiTheme="minorHAnsi" w:cstheme="minorHAnsi"/>
          <w:lang w:val="fr-FR"/>
        </w:rPr>
        <w:t>permettraient</w:t>
      </w:r>
      <w:r w:rsidR="00B22DA2" w:rsidRPr="00C73365">
        <w:rPr>
          <w:rFonts w:asciiTheme="minorHAnsi" w:hAnsiTheme="minorHAnsi" w:cstheme="minorHAnsi"/>
          <w:lang w:val="fr-FR"/>
        </w:rPr>
        <w:t xml:space="preserve"> d’accélérer</w:t>
      </w:r>
      <w:r w:rsidR="000161A1" w:rsidRPr="00C73365">
        <w:rPr>
          <w:rFonts w:asciiTheme="minorHAnsi" w:hAnsiTheme="minorHAnsi" w:cstheme="minorHAnsi"/>
          <w:lang w:val="fr-FR"/>
        </w:rPr>
        <w:t xml:space="preserve"> la conclusion d’un accord de licence, ou de co-développement et de co-commercialisation, avant l’entrée en phase III, avec une ou plusieurs grandes sociétés pharmaceutiques ou des sociétés de biotechnologie actives dans le domaine du VIH et/ou des MICI.</w:t>
      </w:r>
    </w:p>
    <w:bookmarkEnd w:id="283"/>
    <w:p w:rsidR="00F46C7B" w:rsidRPr="00C73365" w:rsidRDefault="00F46C7B" w:rsidP="008C1ECB">
      <w:pPr>
        <w:pStyle w:val="ConmainL3"/>
        <w:numPr>
          <w:ilvl w:val="2"/>
          <w:numId w:val="9"/>
        </w:numPr>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 xml:space="preserve">Trois plateformes technologiques de pointe </w:t>
      </w:r>
    </w:p>
    <w:p w:rsidR="00056EF5"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056EF5" w:rsidRPr="00C73365">
        <w:rPr>
          <w:rFonts w:asciiTheme="minorHAnsi" w:hAnsiTheme="minorHAnsi" w:cstheme="minorHAnsi"/>
          <w:lang w:val="fr-FR"/>
        </w:rPr>
        <w:t>, en collaboration avec des centres de recherche académiques de premier plan mondial,</w:t>
      </w:r>
      <w:r w:rsidR="00A94ACE" w:rsidRPr="00C73365">
        <w:rPr>
          <w:rFonts w:asciiTheme="minorHAnsi" w:hAnsiTheme="minorHAnsi" w:cstheme="minorHAnsi"/>
          <w:lang w:val="fr-FR"/>
        </w:rPr>
        <w:t xml:space="preserve"> </w:t>
      </w:r>
      <w:r w:rsidR="00056EF5" w:rsidRPr="00C73365">
        <w:rPr>
          <w:rFonts w:asciiTheme="minorHAnsi" w:hAnsiTheme="minorHAnsi" w:cstheme="minorHAnsi"/>
          <w:lang w:val="fr-FR"/>
        </w:rPr>
        <w:t>a développé des plateformes technologiques uniques, permettant de générer des antiviraux et des immuno-stimulateurs novateurs qui alimentent le pipeline de produits en développement de la Société.</w:t>
      </w:r>
    </w:p>
    <w:p w:rsidR="00A640BD" w:rsidRPr="00C73365" w:rsidRDefault="00A640BD">
      <w:pPr>
        <w:rPr>
          <w:rFonts w:asciiTheme="minorHAnsi" w:hAnsiTheme="minorHAnsi" w:cstheme="minorHAnsi"/>
          <w:b/>
          <w:color w:val="7030A0"/>
          <w:szCs w:val="22"/>
          <w:lang w:val="fr-FR"/>
        </w:rPr>
      </w:pPr>
    </w:p>
    <w:p w:rsidR="007F48F1" w:rsidRPr="00C73365" w:rsidRDefault="00103D8C">
      <w:pPr>
        <w:jc w:val="center"/>
        <w:rPr>
          <w:rFonts w:asciiTheme="minorHAnsi" w:hAnsiTheme="minorHAnsi" w:cstheme="minorHAnsi"/>
          <w:b/>
          <w:color w:val="7030A0"/>
          <w:szCs w:val="22"/>
          <w:lang w:val="fr-FR"/>
        </w:rPr>
      </w:pPr>
      <w:r w:rsidRPr="00C73365">
        <w:rPr>
          <w:rFonts w:asciiTheme="minorHAnsi" w:hAnsiTheme="minorHAnsi" w:cstheme="minorHAnsi"/>
          <w:noProof/>
          <w:lang w:val="fr-FR" w:eastAsia="fr-FR"/>
        </w:rPr>
        <w:lastRenderedPageBreak/>
        <w:drawing>
          <wp:inline distT="0" distB="0" distL="0" distR="0" wp14:anchorId="2B955205" wp14:editId="1A7858CB">
            <wp:extent cx="4594860" cy="2766060"/>
            <wp:effectExtent l="0" t="0" r="0" b="0"/>
            <wp:docPr id="12"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4860" cy="2766060"/>
                    </a:xfrm>
                    <a:prstGeom prst="rect">
                      <a:avLst/>
                    </a:prstGeom>
                    <a:noFill/>
                  </pic:spPr>
                </pic:pic>
              </a:graphicData>
            </a:graphic>
          </wp:inline>
        </w:drawing>
      </w:r>
    </w:p>
    <w:p w:rsidR="007F48F1" w:rsidRPr="00C73365" w:rsidRDefault="007F48F1" w:rsidP="004572A0">
      <w:pPr>
        <w:pStyle w:val="BodyText"/>
        <w:rPr>
          <w:rFonts w:asciiTheme="minorHAnsi" w:hAnsiTheme="minorHAnsi" w:cstheme="minorHAnsi"/>
          <w:i/>
          <w:lang w:val="fr-FR"/>
        </w:rPr>
      </w:pPr>
      <w:r w:rsidRPr="00C73365">
        <w:rPr>
          <w:rFonts w:asciiTheme="minorHAnsi" w:hAnsiTheme="minorHAnsi" w:cstheme="minorHAnsi"/>
          <w:i/>
          <w:lang w:val="fr-FR"/>
        </w:rPr>
        <w:t xml:space="preserve">Source : </w:t>
      </w:r>
      <w:r w:rsidR="00EF089C" w:rsidRPr="00C73365">
        <w:rPr>
          <w:rFonts w:asciiTheme="minorHAnsi" w:hAnsiTheme="minorHAnsi" w:cstheme="minorHAnsi"/>
          <w:i/>
          <w:lang w:val="fr-FR"/>
        </w:rPr>
        <w:t>ABIVAX</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plateforme technologique «Antivirale»: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plateforme technologique antivirale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(auparavant nommée « épissage » mais renommée pour prendre en compte les autres mécanismes d’action antivirale de sa chimiothèque) est dédiée à la génération de petites molécules antivirales mettant en œuvre un mode d</w:t>
      </w:r>
      <w:r w:rsidR="004572A0" w:rsidRPr="00C73365">
        <w:rPr>
          <w:rFonts w:asciiTheme="minorHAnsi" w:hAnsiTheme="minorHAnsi" w:cstheme="minorHAnsi"/>
          <w:lang w:val="fr-FR"/>
        </w:rPr>
        <w:t>’</w:t>
      </w:r>
      <w:r w:rsidRPr="00C73365">
        <w:rPr>
          <w:rFonts w:asciiTheme="minorHAnsi" w:hAnsiTheme="minorHAnsi" w:cstheme="minorHAnsi"/>
          <w:lang w:val="fr-FR"/>
        </w:rPr>
        <w:t>action novateur. Elle est basée sur une connaissance approfondie des processus de transformation de l</w:t>
      </w:r>
      <w:r w:rsidR="004572A0" w:rsidRPr="00C73365">
        <w:rPr>
          <w:rFonts w:asciiTheme="minorHAnsi" w:hAnsiTheme="minorHAnsi" w:cstheme="minorHAnsi"/>
          <w:lang w:val="fr-FR"/>
        </w:rPr>
        <w:t>’</w:t>
      </w:r>
      <w:r w:rsidRPr="00C73365">
        <w:rPr>
          <w:rFonts w:asciiTheme="minorHAnsi" w:hAnsiTheme="minorHAnsi" w:cstheme="minorHAnsi"/>
          <w:lang w:val="fr-FR"/>
        </w:rPr>
        <w:t>ARN viral à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intérieur des cellules humaines hôtes et de la capacité de ces composés chimiques propriétaires à moduler les interactions ARN/protéines. Cette plateforme permet à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 s’intéresser à un large éventail de cibles virales. Cette plateforme a généré une chimiothèque propriétaire ciblée constituée de plus de 1 </w:t>
      </w:r>
      <w:r w:rsidR="008B16FF" w:rsidRPr="00C73365">
        <w:rPr>
          <w:rFonts w:asciiTheme="minorHAnsi" w:hAnsiTheme="minorHAnsi" w:cstheme="minorHAnsi"/>
          <w:lang w:val="fr-FR"/>
        </w:rPr>
        <w:t>2</w:t>
      </w:r>
      <w:r w:rsidRPr="00C73365">
        <w:rPr>
          <w:rFonts w:asciiTheme="minorHAnsi" w:hAnsiTheme="minorHAnsi" w:cstheme="minorHAnsi"/>
          <w:lang w:val="fr-FR"/>
        </w:rPr>
        <w:t>00 petites molécules disposant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 potentiel thérapeutique contre les maladies infectieuses. Le programme de découverte de candidats-médicaments se focalise sur une cible médicamenteuse prometteuse, le complexe ribonucléoprotéinique (RNP) et sur l’altération de la biogénèse des ARN.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En plus de l’ABX464 contre le VIH/SIDA, </w:t>
      </w:r>
      <w:r w:rsidR="008B16FF" w:rsidRPr="00C73365">
        <w:rPr>
          <w:rFonts w:asciiTheme="minorHAnsi" w:hAnsiTheme="minorHAnsi" w:cstheme="minorHAnsi"/>
          <w:lang w:val="fr-FR"/>
        </w:rPr>
        <w:t>et contre les MICI, l</w:t>
      </w:r>
      <w:r w:rsidRPr="00C73365">
        <w:rPr>
          <w:rFonts w:asciiTheme="minorHAnsi" w:hAnsiTheme="minorHAnsi" w:cstheme="minorHAnsi"/>
          <w:lang w:val="fr-FR"/>
        </w:rPr>
        <w:t>a Plateforme Antivirale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pourrait à terme permettre l’élaboration de médicaments permettant de traiter d</w:t>
      </w:r>
      <w:r w:rsidR="004572A0" w:rsidRPr="00C73365">
        <w:rPr>
          <w:rFonts w:asciiTheme="minorHAnsi" w:hAnsiTheme="minorHAnsi" w:cstheme="minorHAnsi"/>
          <w:lang w:val="fr-FR"/>
        </w:rPr>
        <w:t>’</w:t>
      </w:r>
      <w:r w:rsidRPr="00C73365">
        <w:rPr>
          <w:rFonts w:asciiTheme="minorHAnsi" w:hAnsiTheme="minorHAnsi" w:cstheme="minorHAnsi"/>
          <w:lang w:val="fr-FR"/>
        </w:rPr>
        <w:t>autres grands virus, comme la Dengue, le Virus Respiratoire Syncitial (VRS), le Virus de l’Hépatite B (HBV), le Virus de l’Herpès (HSV), le Cytomégalovirus (CMV) ou le Virus de la Grippe. Il est probable que certaines de ces autres indications potentielles soient développées au travers de collaborations.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plateforme technologique «Stimulation Immunitaire»:</w:t>
      </w:r>
    </w:p>
    <w:p w:rsidR="00056EF5"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056EF5" w:rsidRPr="00C73365">
        <w:rPr>
          <w:rFonts w:asciiTheme="minorHAnsi" w:hAnsiTheme="minorHAnsi" w:cstheme="minorHAnsi"/>
          <w:lang w:val="fr-FR"/>
        </w:rPr>
        <w:t xml:space="preserve"> développe également une plateforme susceptible d</w:t>
      </w:r>
      <w:r w:rsidR="004572A0" w:rsidRPr="00C73365">
        <w:rPr>
          <w:rFonts w:asciiTheme="minorHAnsi" w:hAnsiTheme="minorHAnsi" w:cstheme="minorHAnsi"/>
          <w:lang w:val="fr-FR"/>
        </w:rPr>
        <w:t>’</w:t>
      </w:r>
      <w:r w:rsidR="00056EF5" w:rsidRPr="00C73365">
        <w:rPr>
          <w:rFonts w:asciiTheme="minorHAnsi" w:hAnsiTheme="minorHAnsi" w:cstheme="minorHAnsi"/>
          <w:lang w:val="fr-FR"/>
        </w:rPr>
        <w:t xml:space="preserve">aboutir à une nouvelle classe de Stimulants Immunitaires pour une utilisation dans les domaines de l’immuno-oncologie et de l’immuno-virologie. Cette plateforme (auparavant dénommée </w:t>
      </w:r>
      <w:r w:rsidR="00E16C9A" w:rsidRPr="00C73365">
        <w:rPr>
          <w:rFonts w:asciiTheme="minorHAnsi" w:hAnsiTheme="minorHAnsi" w:cstheme="minorHAnsi"/>
          <w:lang w:val="fr-FR"/>
        </w:rPr>
        <w:t>plateforme adjuvante</w:t>
      </w:r>
      <w:r w:rsidR="00056EF5" w:rsidRPr="00C73365">
        <w:rPr>
          <w:rFonts w:asciiTheme="minorHAnsi" w:hAnsiTheme="minorHAnsi" w:cstheme="minorHAnsi"/>
          <w:lang w:val="fr-FR"/>
        </w:rPr>
        <w:t>, mais renommée pour prendre en compte les applications possibles en immuno-oncologie des composés) s</w:t>
      </w:r>
      <w:r w:rsidR="004572A0" w:rsidRPr="00C73365">
        <w:rPr>
          <w:rFonts w:asciiTheme="minorHAnsi" w:hAnsiTheme="minorHAnsi" w:cstheme="minorHAnsi"/>
          <w:lang w:val="fr-FR"/>
        </w:rPr>
        <w:t>’</w:t>
      </w:r>
      <w:r w:rsidR="00056EF5" w:rsidRPr="00C73365">
        <w:rPr>
          <w:rFonts w:asciiTheme="minorHAnsi" w:hAnsiTheme="minorHAnsi" w:cstheme="minorHAnsi"/>
          <w:lang w:val="fr-FR"/>
        </w:rPr>
        <w:t>appuie sur une technologie et des droits exclusifs acquis auprès du Scripps Research Institute, de l</w:t>
      </w:r>
      <w:r w:rsidR="004572A0" w:rsidRPr="00C73365">
        <w:rPr>
          <w:rFonts w:asciiTheme="minorHAnsi" w:hAnsiTheme="minorHAnsi" w:cstheme="minorHAnsi"/>
          <w:lang w:val="fr-FR"/>
        </w:rPr>
        <w:t>’</w:t>
      </w:r>
      <w:r w:rsidR="00056EF5" w:rsidRPr="00C73365">
        <w:rPr>
          <w:rFonts w:asciiTheme="minorHAnsi" w:hAnsiTheme="minorHAnsi" w:cstheme="minorHAnsi"/>
          <w:lang w:val="fr-FR"/>
        </w:rPr>
        <w:t>Université de Chicago et de la Brigham Young University.</w:t>
      </w:r>
    </w:p>
    <w:p w:rsidR="00056EF5" w:rsidRPr="00C73365" w:rsidRDefault="00056EF5" w:rsidP="004572A0">
      <w:pPr>
        <w:pStyle w:val="BodyText"/>
        <w:rPr>
          <w:rFonts w:asciiTheme="minorHAnsi" w:hAnsiTheme="minorHAnsi" w:cstheme="minorHAnsi"/>
          <w:lang w:val="fr-FR"/>
        </w:rPr>
      </w:pPr>
      <w:r w:rsidRPr="00C73365">
        <w:rPr>
          <w:rFonts w:asciiTheme="minorHAnsi" w:hAnsiTheme="minorHAnsi" w:cstheme="minorHAnsi"/>
          <w:lang w:val="fr-FR"/>
        </w:rPr>
        <w:t>La technologie d</w:t>
      </w:r>
      <w:r w:rsidR="004572A0" w:rsidRPr="00C73365">
        <w:rPr>
          <w:rFonts w:asciiTheme="minorHAnsi" w:hAnsiTheme="minorHAnsi" w:cstheme="minorHAnsi"/>
          <w:lang w:val="fr-FR"/>
        </w:rPr>
        <w:t>’</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se sert d’agonistes des cellules iNKT comme stimulants, afin de renforcer et moduler la réponse immunitaire à un antigène. Les agonistes iNKT sont capables de stimuler de manière spécifique un petit sous-ensemble de lymphocytes régulateurs appelé cellules NKT (cellules « Natural Killer T »), qui constituent de puissants stimulant</w:t>
      </w:r>
      <w:r w:rsidR="001F64B5" w:rsidRPr="00C73365">
        <w:rPr>
          <w:rFonts w:asciiTheme="minorHAnsi" w:hAnsiTheme="minorHAnsi" w:cstheme="minorHAnsi"/>
          <w:lang w:val="fr-FR"/>
        </w:rPr>
        <w:t xml:space="preserve">s </w:t>
      </w:r>
      <w:r w:rsidRPr="00C73365">
        <w:rPr>
          <w:rFonts w:asciiTheme="minorHAnsi" w:hAnsiTheme="minorHAnsi" w:cstheme="minorHAnsi"/>
          <w:lang w:val="fr-FR"/>
        </w:rPr>
        <w:t>immunitaires.</w:t>
      </w:r>
    </w:p>
    <w:p w:rsidR="00056EF5" w:rsidRPr="00C73365" w:rsidRDefault="00056EF5" w:rsidP="004572A0">
      <w:pPr>
        <w:pStyle w:val="BodyText"/>
        <w:rPr>
          <w:rFonts w:asciiTheme="minorHAnsi" w:hAnsiTheme="minorHAnsi" w:cstheme="minorHAnsi"/>
          <w:lang w:val="fr-FR"/>
        </w:rPr>
      </w:pPr>
      <w:r w:rsidRPr="00C73365">
        <w:rPr>
          <w:rFonts w:asciiTheme="minorHAnsi" w:hAnsiTheme="minorHAnsi" w:cstheme="minorHAnsi"/>
          <w:lang w:val="fr-FR"/>
        </w:rPr>
        <w:t>ABX196 est un candidat-stimulant immunitaire novateur pour la vaccination basée sur les agonistes des cellules NKT. Un essai clinique de phase I avec un vaccin prophylactique contre l</w:t>
      </w:r>
      <w:r w:rsidR="004572A0" w:rsidRPr="00C73365">
        <w:rPr>
          <w:rFonts w:asciiTheme="minorHAnsi" w:hAnsiTheme="minorHAnsi" w:cstheme="minorHAnsi"/>
          <w:lang w:val="fr-FR"/>
        </w:rPr>
        <w:t>’</w:t>
      </w:r>
      <w:r w:rsidRPr="00C73365">
        <w:rPr>
          <w:rFonts w:asciiTheme="minorHAnsi" w:hAnsiTheme="minorHAnsi" w:cstheme="minorHAnsi"/>
          <w:lang w:val="fr-FR"/>
        </w:rPr>
        <w:t>hépatite B a été réalisé en 2013. L</w:t>
      </w:r>
      <w:r w:rsidR="004572A0" w:rsidRPr="00C73365">
        <w:rPr>
          <w:rFonts w:asciiTheme="minorHAnsi" w:hAnsiTheme="minorHAnsi" w:cstheme="minorHAnsi"/>
          <w:lang w:val="fr-FR"/>
        </w:rPr>
        <w:t>’</w:t>
      </w:r>
      <w:r w:rsidRPr="00C73365">
        <w:rPr>
          <w:rFonts w:asciiTheme="minorHAnsi" w:hAnsiTheme="minorHAnsi" w:cstheme="minorHAnsi"/>
          <w:lang w:val="fr-FR"/>
        </w:rPr>
        <w:t>ajout d</w:t>
      </w:r>
      <w:r w:rsidR="004572A0" w:rsidRPr="00C73365">
        <w:rPr>
          <w:rFonts w:asciiTheme="minorHAnsi" w:hAnsiTheme="minorHAnsi" w:cstheme="minorHAnsi"/>
          <w:lang w:val="fr-FR"/>
        </w:rPr>
        <w:t>’</w:t>
      </w:r>
      <w:r w:rsidRPr="00C73365">
        <w:rPr>
          <w:rFonts w:asciiTheme="minorHAnsi" w:hAnsiTheme="minorHAnsi" w:cstheme="minorHAnsi"/>
          <w:lang w:val="fr-FR"/>
        </w:rPr>
        <w:t>ABX196 à l</w:t>
      </w:r>
      <w:r w:rsidR="004572A0" w:rsidRPr="00C73365">
        <w:rPr>
          <w:rFonts w:asciiTheme="minorHAnsi" w:hAnsiTheme="minorHAnsi" w:cstheme="minorHAnsi"/>
          <w:lang w:val="fr-FR"/>
        </w:rPr>
        <w:t>’</w:t>
      </w:r>
      <w:r w:rsidRPr="00C73365">
        <w:rPr>
          <w:rFonts w:asciiTheme="minorHAnsi" w:hAnsiTheme="minorHAnsi" w:cstheme="minorHAnsi"/>
          <w:lang w:val="fr-FR"/>
        </w:rPr>
        <w:t>antigène HBs immunogène a causé une réponse protectrice des anticorps anti-HBs chez la majorité des patients. Les résultats de l</w:t>
      </w:r>
      <w:r w:rsidR="004572A0" w:rsidRPr="00C73365">
        <w:rPr>
          <w:rFonts w:asciiTheme="minorHAnsi" w:hAnsiTheme="minorHAnsi" w:cstheme="minorHAnsi"/>
          <w:lang w:val="fr-FR"/>
        </w:rPr>
        <w:t>’</w:t>
      </w:r>
      <w:r w:rsidRPr="00C73365">
        <w:rPr>
          <w:rFonts w:asciiTheme="minorHAnsi" w:hAnsiTheme="minorHAnsi" w:cstheme="minorHAnsi"/>
          <w:lang w:val="fr-FR"/>
        </w:rPr>
        <w:t>étude indiquent que chez les patients/volontaires ayant reçu ABX196 accompagné d</w:t>
      </w:r>
      <w:r w:rsidR="004572A0" w:rsidRPr="00C73365">
        <w:rPr>
          <w:rFonts w:asciiTheme="minorHAnsi" w:hAnsiTheme="minorHAnsi" w:cstheme="minorHAnsi"/>
          <w:lang w:val="fr-FR"/>
        </w:rPr>
        <w:t>’</w:t>
      </w:r>
      <w:r w:rsidRPr="00C73365">
        <w:rPr>
          <w:rFonts w:asciiTheme="minorHAnsi" w:hAnsiTheme="minorHAnsi" w:cstheme="minorHAnsi"/>
          <w:lang w:val="fr-FR"/>
        </w:rPr>
        <w:t>un antigène HBs, une injection unique semble suffisante pour procurer une protection contre l’hépatite B. Cette plateforme offre la possibilité d</w:t>
      </w:r>
      <w:r w:rsidR="004572A0" w:rsidRPr="00C73365">
        <w:rPr>
          <w:rFonts w:asciiTheme="minorHAnsi" w:hAnsiTheme="minorHAnsi" w:cstheme="minorHAnsi"/>
          <w:lang w:val="fr-FR"/>
        </w:rPr>
        <w:t>’</w:t>
      </w:r>
      <w:r w:rsidRPr="00C73365">
        <w:rPr>
          <w:rFonts w:asciiTheme="minorHAnsi" w:hAnsiTheme="minorHAnsi" w:cstheme="minorHAnsi"/>
          <w:lang w:val="fr-FR"/>
        </w:rPr>
        <w:t>être également utilisée dans une gamme plus large d</w:t>
      </w:r>
      <w:r w:rsidR="004572A0" w:rsidRPr="00C73365">
        <w:rPr>
          <w:rFonts w:asciiTheme="minorHAnsi" w:hAnsiTheme="minorHAnsi" w:cstheme="minorHAnsi"/>
          <w:lang w:val="fr-FR"/>
        </w:rPr>
        <w:t>’</w:t>
      </w:r>
      <w:r w:rsidRPr="00C73365">
        <w:rPr>
          <w:rFonts w:asciiTheme="minorHAnsi" w:hAnsiTheme="minorHAnsi" w:cstheme="minorHAnsi"/>
          <w:lang w:val="fr-FR"/>
        </w:rPr>
        <w:t>indications dans le domaine des infections (grippe, chlamydia), et pour la potentialisation immunitaire spécifique ou non dans les domaines des maladies auto-immunes, des allergies et du cancer.</w:t>
      </w:r>
    </w:p>
    <w:p w:rsidR="001F64B5" w:rsidRPr="00C73365" w:rsidRDefault="00056EF5"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E</w:t>
      </w:r>
      <w:r w:rsidR="001F64B5" w:rsidRPr="00C73365">
        <w:rPr>
          <w:rFonts w:asciiTheme="minorHAnsi" w:hAnsiTheme="minorHAnsi" w:cstheme="minorHAnsi"/>
          <w:lang w:val="fr-FR"/>
        </w:rPr>
        <w:t>nfin</w:t>
      </w:r>
      <w:r w:rsidRPr="00C73365">
        <w:rPr>
          <w:rFonts w:asciiTheme="minorHAnsi" w:hAnsiTheme="minorHAnsi" w:cstheme="minorHAnsi"/>
          <w:lang w:val="fr-FR"/>
        </w:rPr>
        <w:t xml:space="preserve">, de nouvelles études pré-cliniques en immuno-oncologie ont </w:t>
      </w:r>
      <w:r w:rsidR="001F64B5" w:rsidRPr="00C73365">
        <w:rPr>
          <w:rFonts w:asciiTheme="minorHAnsi" w:hAnsiTheme="minorHAnsi" w:cstheme="minorHAnsi"/>
          <w:lang w:val="fr-FR"/>
        </w:rPr>
        <w:t xml:space="preserve">été </w:t>
      </w:r>
      <w:r w:rsidRPr="00C73365">
        <w:rPr>
          <w:rFonts w:asciiTheme="minorHAnsi" w:hAnsiTheme="minorHAnsi" w:cstheme="minorHAnsi"/>
          <w:lang w:val="fr-FR"/>
        </w:rPr>
        <w:t xml:space="preserve">réalisées afin de démontrer le potentiel </w:t>
      </w:r>
      <w:r w:rsidR="00CA7218" w:rsidRPr="00C73365">
        <w:rPr>
          <w:rFonts w:asciiTheme="minorHAnsi" w:hAnsiTheme="minorHAnsi" w:cstheme="minorHAnsi"/>
          <w:lang w:val="fr-FR"/>
        </w:rPr>
        <w:t>antitumoral</w:t>
      </w:r>
      <w:r w:rsidRPr="00C73365">
        <w:rPr>
          <w:rFonts w:asciiTheme="minorHAnsi" w:hAnsiTheme="minorHAnsi" w:cstheme="minorHAnsi"/>
          <w:lang w:val="fr-FR"/>
        </w:rPr>
        <w:t xml:space="preserve"> d’ABX196. Dans ce cadre,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en recherche de partenaires pour octroi de licence sur l’utilisation d’ABX196 dans une indication immuno-oncologie</w:t>
      </w:r>
      <w:r w:rsidR="008B16FF" w:rsidRPr="00C73365">
        <w:rPr>
          <w:rFonts w:asciiTheme="minorHAnsi" w:hAnsiTheme="minorHAnsi" w:cstheme="minorHAnsi"/>
          <w:lang w:val="fr-FR"/>
        </w:rPr>
        <w:t xml:space="preserve">, </w:t>
      </w:r>
      <w:r w:rsidR="001F64B5" w:rsidRPr="00C73365">
        <w:rPr>
          <w:rFonts w:asciiTheme="minorHAnsi" w:hAnsiTheme="minorHAnsi" w:cstheme="minorHAnsi"/>
          <w:lang w:val="fr-FR"/>
        </w:rPr>
        <w:t>après atteinte des premiers résultats cliniques d’efficacité dans l’hépatocarcinome avancé.</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La plateforme « Anticorps Polyclonaux »</w:t>
      </w:r>
    </w:p>
    <w:p w:rsidR="00F46C7B" w:rsidRPr="00C73365" w:rsidRDefault="00F46C7B" w:rsidP="004572A0">
      <w:pPr>
        <w:pStyle w:val="BodyText"/>
        <w:rPr>
          <w:rFonts w:asciiTheme="minorHAnsi" w:eastAsiaTheme="minorEastAsia" w:hAnsiTheme="minorHAnsi" w:cstheme="minorHAnsi"/>
          <w:lang w:val="fr-FR"/>
        </w:rPr>
      </w:pPr>
      <w:r w:rsidRPr="00C73365">
        <w:rPr>
          <w:rFonts w:asciiTheme="minorHAnsi" w:eastAsiaTheme="minorEastAsia" w:hAnsiTheme="minorHAnsi" w:cstheme="minorHAnsi"/>
          <w:lang w:val="fr-FR"/>
        </w:rPr>
        <w:t>Sur la base de l</w:t>
      </w:r>
      <w:r w:rsidR="004572A0" w:rsidRPr="00C73365">
        <w:rPr>
          <w:rFonts w:asciiTheme="minorHAnsi" w:eastAsiaTheme="minorEastAsia" w:hAnsiTheme="minorHAnsi" w:cstheme="minorHAnsi"/>
          <w:lang w:val="fr-FR"/>
        </w:rPr>
        <w:t>’</w:t>
      </w:r>
      <w:r w:rsidRPr="00C73365">
        <w:rPr>
          <w:rFonts w:asciiTheme="minorHAnsi" w:eastAsiaTheme="minorEastAsia" w:hAnsiTheme="minorHAnsi" w:cstheme="minorHAnsi"/>
          <w:lang w:val="fr-FR"/>
        </w:rPr>
        <w:t>expertise précédemment acquise dans le développement d</w:t>
      </w:r>
      <w:r w:rsidR="004572A0" w:rsidRPr="00C73365">
        <w:rPr>
          <w:rFonts w:asciiTheme="minorHAnsi" w:eastAsiaTheme="minorEastAsia" w:hAnsiTheme="minorHAnsi" w:cstheme="minorHAnsi"/>
          <w:lang w:val="fr-FR"/>
        </w:rPr>
        <w:t>’</w:t>
      </w:r>
      <w:r w:rsidRPr="00C73365">
        <w:rPr>
          <w:rFonts w:asciiTheme="minorHAnsi" w:eastAsiaTheme="minorEastAsia" w:hAnsiTheme="minorHAnsi" w:cstheme="minorHAnsi"/>
          <w:lang w:val="fr-FR"/>
        </w:rPr>
        <w:t xml:space="preserve">anticorps polyclonaux employés dans la prévention des rejets de greffe, </w:t>
      </w:r>
      <w:r w:rsidR="00EF089C" w:rsidRPr="00C73365">
        <w:rPr>
          <w:rFonts w:asciiTheme="minorHAnsi" w:eastAsiaTheme="minorEastAsia" w:hAnsiTheme="minorHAnsi" w:cstheme="minorHAnsi"/>
          <w:lang w:val="fr-FR"/>
        </w:rPr>
        <w:t>ABIVAX</w:t>
      </w:r>
      <w:r w:rsidRPr="00C73365">
        <w:rPr>
          <w:rFonts w:asciiTheme="minorHAnsi" w:eastAsiaTheme="minorEastAsia" w:hAnsiTheme="minorHAnsi" w:cstheme="minorHAnsi"/>
          <w:lang w:val="fr-FR"/>
        </w:rPr>
        <w:t xml:space="preserve"> a décidé de développer des anticorps polyclonaux destinés au traitement des personnes infectées par le virus Ebola et à la protection des personnes en contact avec les malades </w:t>
      </w:r>
      <w:r w:rsidR="00E16C9A" w:rsidRPr="00C73365">
        <w:rPr>
          <w:rFonts w:asciiTheme="minorHAnsi" w:eastAsiaTheme="minorEastAsia" w:hAnsiTheme="minorHAnsi" w:cstheme="minorHAnsi"/>
          <w:lang w:val="fr-FR"/>
        </w:rPr>
        <w:t>et le</w:t>
      </w:r>
      <w:r w:rsidRPr="00C73365">
        <w:rPr>
          <w:rFonts w:asciiTheme="minorHAnsi" w:eastAsiaTheme="minorEastAsia" w:hAnsiTheme="minorHAnsi" w:cstheme="minorHAnsi"/>
          <w:lang w:val="fr-FR"/>
        </w:rPr>
        <w:t xml:space="preserve"> personnel soignant. </w:t>
      </w:r>
      <w:r w:rsidR="00EF089C" w:rsidRPr="00C73365">
        <w:rPr>
          <w:rFonts w:asciiTheme="minorHAnsi" w:eastAsiaTheme="minorEastAsia" w:hAnsiTheme="minorHAnsi" w:cstheme="minorHAnsi"/>
          <w:lang w:val="fr-FR"/>
        </w:rPr>
        <w:t>ABIVAX</w:t>
      </w:r>
      <w:r w:rsidRPr="00C73365">
        <w:rPr>
          <w:rFonts w:asciiTheme="minorHAnsi" w:eastAsiaTheme="minorEastAsia" w:hAnsiTheme="minorHAnsi" w:cstheme="minorHAnsi"/>
          <w:lang w:val="fr-FR"/>
        </w:rPr>
        <w:t xml:space="preserve"> est l’une des rares compagnies de biotechnologie internationales qui a l’expertise dans ce domaine.</w:t>
      </w:r>
    </w:p>
    <w:p w:rsidR="000C5E80" w:rsidRPr="00C73365" w:rsidRDefault="000C5E80" w:rsidP="000C5E80">
      <w:pPr>
        <w:pStyle w:val="ListParagraph"/>
        <w:numPr>
          <w:ilvl w:val="2"/>
          <w:numId w:val="9"/>
        </w:numPr>
        <w:spacing w:after="0"/>
        <w:outlineLvl w:val="2"/>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Un partenariat avec des organismes cubains des sciences de la vie</w:t>
      </w:r>
    </w:p>
    <w:p w:rsidR="000C5E80" w:rsidRPr="00C73365" w:rsidRDefault="000C5E80" w:rsidP="000C5E80">
      <w:pPr>
        <w:pStyle w:val="ListParagraph"/>
        <w:ind w:left="0"/>
        <w:rPr>
          <w:rFonts w:asciiTheme="minorHAnsi" w:hAnsiTheme="minorHAnsi" w:cstheme="minorHAnsi"/>
          <w:color w:val="7030A0"/>
          <w:szCs w:val="22"/>
          <w:lang w:val="fr-FR"/>
        </w:rPr>
      </w:pPr>
    </w:p>
    <w:p w:rsidR="000C5E80" w:rsidRPr="00C73365" w:rsidRDefault="000C5E80" w:rsidP="000C5E80">
      <w:pPr>
        <w:pStyle w:val="ListParagraph"/>
        <w:numPr>
          <w:ilvl w:val="3"/>
          <w:numId w:val="9"/>
        </w:numPr>
        <w:spacing w:after="0"/>
        <w:outlineLvl w:val="2"/>
        <w:rPr>
          <w:rFonts w:asciiTheme="minorHAnsi" w:hAnsiTheme="minorHAnsi" w:cstheme="minorHAnsi"/>
          <w:color w:val="000000" w:themeColor="text1"/>
          <w:szCs w:val="22"/>
          <w:lang w:val="fr-FR"/>
        </w:rPr>
      </w:pPr>
      <w:r w:rsidRPr="00C73365">
        <w:rPr>
          <w:rFonts w:asciiTheme="minorHAnsi" w:hAnsiTheme="minorHAnsi" w:cstheme="minorHAnsi"/>
          <w:color w:val="000000" w:themeColor="text1"/>
          <w:szCs w:val="22"/>
          <w:lang w:val="fr-FR"/>
        </w:rPr>
        <w:t>Un partenariat avec le Centre d’Ingénierie Génétique et Biotechnologique de Cuba</w:t>
      </w:r>
      <w:r w:rsidRPr="00C73365" w:rsidDel="00CE0F50">
        <w:rPr>
          <w:rFonts w:asciiTheme="minorHAnsi" w:hAnsiTheme="minorHAnsi" w:cstheme="minorHAnsi"/>
          <w:color w:val="000000" w:themeColor="text1"/>
          <w:szCs w:val="22"/>
          <w:lang w:val="fr-FR"/>
        </w:rPr>
        <w:t xml:space="preserve"> </w:t>
      </w:r>
    </w:p>
    <w:p w:rsidR="000C5E80" w:rsidRPr="00C73365" w:rsidRDefault="000C5E80" w:rsidP="000C5E80">
      <w:pPr>
        <w:pStyle w:val="ConmainL5"/>
        <w:widowControl w:val="0"/>
        <w:tabs>
          <w:tab w:val="num" w:pos="567"/>
        </w:tabs>
        <w:spacing w:after="0" w:line="240" w:lineRule="atLeast"/>
        <w:outlineLvl w:val="9"/>
        <w:rPr>
          <w:rFonts w:asciiTheme="minorHAnsi" w:eastAsiaTheme="minorEastAsia" w:hAnsiTheme="minorHAnsi" w:cstheme="minorHAnsi"/>
          <w:bCs/>
          <w:i w:val="0"/>
          <w:color w:val="000000"/>
          <w:lang w:val="fr-FR" w:eastAsia="fr-FR"/>
        </w:rPr>
      </w:pPr>
    </w:p>
    <w:p w:rsidR="000C5E80" w:rsidRPr="00C73365" w:rsidRDefault="00EF089C" w:rsidP="000C5E80">
      <w:pPr>
        <w:pStyle w:val="ConmainL5"/>
        <w:widowControl w:val="0"/>
        <w:spacing w:after="0" w:line="240" w:lineRule="atLeast"/>
        <w:outlineLvl w:val="9"/>
        <w:rPr>
          <w:rFonts w:asciiTheme="minorHAnsi" w:eastAsiaTheme="minorEastAsia" w:hAnsiTheme="minorHAnsi" w:cstheme="minorHAnsi"/>
          <w:bCs/>
          <w:i w:val="0"/>
          <w:color w:val="000000"/>
          <w:lang w:val="fr-FR" w:eastAsia="fr-FR"/>
        </w:rPr>
      </w:pPr>
      <w:r w:rsidRPr="00C73365">
        <w:rPr>
          <w:rFonts w:asciiTheme="minorHAnsi" w:eastAsiaTheme="minorEastAsia" w:hAnsiTheme="minorHAnsi" w:cstheme="minorHAnsi"/>
          <w:bCs/>
          <w:i w:val="0"/>
          <w:color w:val="000000"/>
          <w:lang w:val="fr-FR" w:eastAsia="fr-FR"/>
        </w:rPr>
        <w:t>ABIVAX</w:t>
      </w:r>
      <w:r w:rsidR="000C5E80" w:rsidRPr="00C73365">
        <w:rPr>
          <w:rFonts w:asciiTheme="minorHAnsi" w:eastAsiaTheme="minorEastAsia" w:hAnsiTheme="minorHAnsi" w:cstheme="minorHAnsi"/>
          <w:bCs/>
          <w:i w:val="0"/>
          <w:color w:val="000000"/>
          <w:lang w:val="fr-FR" w:eastAsia="fr-FR"/>
        </w:rPr>
        <w:t xml:space="preserve"> avait établi un partenariat avec le Centre d’Ingénierie en Génétique et Biotechnologie (CIGB) de Cuba, avec lequel elle co-développe </w:t>
      </w:r>
      <w:r w:rsidR="00E32CFE" w:rsidRPr="00C73365">
        <w:rPr>
          <w:rFonts w:asciiTheme="minorHAnsi" w:eastAsiaTheme="minorEastAsia" w:hAnsiTheme="minorHAnsi" w:cstheme="minorHAnsi"/>
          <w:bCs/>
          <w:i w:val="0"/>
          <w:color w:val="000000"/>
          <w:lang w:val="fr-FR" w:eastAsia="fr-FR"/>
        </w:rPr>
        <w:t>ABX203</w:t>
      </w:r>
      <w:r w:rsidR="000C5E80" w:rsidRPr="00C73365">
        <w:rPr>
          <w:rFonts w:asciiTheme="minorHAnsi" w:eastAsiaTheme="minorEastAsia" w:hAnsiTheme="minorHAnsi" w:cstheme="minorHAnsi"/>
          <w:bCs/>
          <w:i w:val="0"/>
          <w:color w:val="000000"/>
          <w:lang w:val="fr-FR" w:eastAsia="fr-FR"/>
        </w:rPr>
        <w:t>, un produit d’immunothérapie pour le traitement de l’Hépatite B Chronique.</w:t>
      </w:r>
    </w:p>
    <w:p w:rsidR="000C5E80"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 xml:space="preserve">Heber Biotec, S.A., créée en 1991 en tant qu’entreprise de valorisation et commercialisation des produits biotechnologiques découvert par le CIGB, dispose des droits exclusifs de commercialisation des brevets et technologies du CIGB et d’autres centres académiques cubains, dont les droits portant sur le vaccin contre l’hépatite B, objet de l’accord de partenariat avec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rsidR="000C5E80"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 xml:space="preserve">Début 2015,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mis en place une étude pivot (</w:t>
      </w:r>
      <w:r w:rsidR="00E32CFE" w:rsidRPr="00C73365">
        <w:rPr>
          <w:rFonts w:asciiTheme="minorHAnsi" w:hAnsiTheme="minorHAnsi" w:cstheme="minorHAnsi"/>
          <w:lang w:val="fr-FR"/>
        </w:rPr>
        <w:t>ABX203</w:t>
      </w:r>
      <w:r w:rsidRPr="00C73365">
        <w:rPr>
          <w:rFonts w:asciiTheme="minorHAnsi" w:hAnsiTheme="minorHAnsi" w:cstheme="minorHAnsi"/>
          <w:lang w:val="fr-FR"/>
        </w:rPr>
        <w:t>-002) ouverte, randomisée et comparative visant à évaluer l’efficacité d’</w:t>
      </w:r>
      <w:r w:rsidR="00E32CFE" w:rsidRPr="00C73365">
        <w:rPr>
          <w:rFonts w:asciiTheme="minorHAnsi" w:hAnsiTheme="minorHAnsi" w:cstheme="minorHAnsi"/>
          <w:lang w:val="fr-FR"/>
        </w:rPr>
        <w:t>ABX203</w:t>
      </w:r>
      <w:r w:rsidRPr="00C73365">
        <w:rPr>
          <w:rFonts w:asciiTheme="minorHAnsi" w:hAnsiTheme="minorHAnsi" w:cstheme="minorHAnsi"/>
          <w:lang w:val="fr-FR"/>
        </w:rPr>
        <w:t xml:space="preserve"> à contrôler le virus de l’hépatite B après l’arrêt d’un traitement à base d’analogues nucléosidiques (NUC), notamment grâce à la maîtrise durable de la charge virale sur une période plus longue comparée aux traitements standards actuels. </w:t>
      </w:r>
    </w:p>
    <w:p w:rsidR="00025EEE"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En Juin 2016, une analyse de futilité a été conduite en raison d’une augmentation récente du nombre de patients exclus de l’étude du fait du rebond de leur charge virale. Une analyse de futilité est une analyse réalisée pendant le déroulement d’une étude clinique afin de décrire la probabilité de l’étude d’atteindre son critère d’évaluation principal.</w:t>
      </w:r>
      <w:r w:rsidR="00025EEE" w:rsidRPr="00C73365">
        <w:rPr>
          <w:rFonts w:asciiTheme="minorHAnsi" w:hAnsiTheme="minorHAnsi" w:cstheme="minorHAnsi"/>
          <w:iCs/>
          <w:szCs w:val="22"/>
          <w:lang w:val="fr-FR"/>
        </w:rPr>
        <w:t xml:space="preserve"> </w:t>
      </w:r>
      <w:r w:rsidRPr="00C73365">
        <w:rPr>
          <w:rFonts w:asciiTheme="minorHAnsi" w:hAnsiTheme="minorHAnsi" w:cstheme="minorHAnsi"/>
          <w:lang w:val="fr-FR"/>
        </w:rPr>
        <w:t xml:space="preserve">Le résultat de cette analyse a mis en évidence qu’un résultat positif de l’étude sur son critère d’évaluation principal </w:t>
      </w:r>
      <w:r w:rsidRPr="00C73365">
        <w:rPr>
          <w:rFonts w:asciiTheme="minorHAnsi" w:hAnsiTheme="minorHAnsi" w:cstheme="minorHAnsi"/>
          <w:iCs/>
          <w:color w:val="222222"/>
          <w:shd w:val="clear" w:color="auto" w:fill="FFFFFF"/>
          <w:lang w:val="fr-FR"/>
        </w:rPr>
        <w:t xml:space="preserve">(i.e. contrôle de l’infection 24 semaines après l’interruption des analogues des nucléosides (NUCs)) </w:t>
      </w:r>
      <w:r w:rsidRPr="00C73365">
        <w:rPr>
          <w:rFonts w:asciiTheme="minorHAnsi" w:hAnsiTheme="minorHAnsi" w:cstheme="minorHAnsi"/>
          <w:lang w:val="fr-FR"/>
        </w:rPr>
        <w:t>était improbable.</w:t>
      </w:r>
      <w:r w:rsidR="00025EEE" w:rsidRPr="00C73365">
        <w:rPr>
          <w:rFonts w:asciiTheme="minorHAnsi" w:hAnsiTheme="minorHAnsi" w:cstheme="minorHAnsi"/>
          <w:lang w:val="fr-FR"/>
        </w:rPr>
        <w:t xml:space="preserve"> </w:t>
      </w:r>
      <w:r w:rsidRPr="00C73365">
        <w:rPr>
          <w:rFonts w:asciiTheme="minorHAnsi" w:hAnsiTheme="minorHAnsi" w:cstheme="minorHAnsi"/>
          <w:lang w:val="fr-FR"/>
        </w:rPr>
        <w:t xml:space="preserve">Les résultats finaux de l’étude clinique obtenus en </w:t>
      </w:r>
      <w:r w:rsidR="008C1A4A">
        <w:rPr>
          <w:rFonts w:asciiTheme="minorHAnsi" w:hAnsiTheme="minorHAnsi" w:cstheme="minorHAnsi"/>
          <w:lang w:val="fr-FR"/>
        </w:rPr>
        <w:t>d</w:t>
      </w:r>
      <w:r w:rsidRPr="00C73365">
        <w:rPr>
          <w:rFonts w:asciiTheme="minorHAnsi" w:hAnsiTheme="minorHAnsi" w:cstheme="minorHAnsi"/>
          <w:lang w:val="fr-FR"/>
        </w:rPr>
        <w:t>écembre 2016 ont confirmé les conclusions de l’étude de futilité. Le développement d’</w:t>
      </w:r>
      <w:r w:rsidR="00E32CFE" w:rsidRPr="00C73365">
        <w:rPr>
          <w:rFonts w:asciiTheme="minorHAnsi" w:hAnsiTheme="minorHAnsi" w:cstheme="minorHAnsi"/>
          <w:lang w:val="fr-FR"/>
        </w:rPr>
        <w:t>ABX203</w:t>
      </w:r>
      <w:r w:rsidRPr="00C73365">
        <w:rPr>
          <w:rFonts w:asciiTheme="minorHAnsi" w:hAnsiTheme="minorHAnsi" w:cstheme="minorHAnsi"/>
          <w:lang w:val="fr-FR"/>
        </w:rPr>
        <w:t xml:space="preserve"> est donc suspendu chez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rsidR="000C5E80"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Le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5 Novembre 2014,</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 xml:space="preserve">Heber Biotec a également signé avec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un accord exclusif de licence, de co-développement et de collaboration à long terme pour développer et commercialiser un agent antiviral contre la Dengue découvert par le CIGB au sein de l’Union européenne (tous pays), en Suisse, Norvège, Turquie, Israël, Libye, Egypte, Afrique Central et Asie (Australie, Nouvelle Zélande, Corée du Sud, Indonésie, Pakistan, Philippines, Thaïlande, Singapour, Afghanistan, Malaisie). </w:t>
      </w:r>
      <w:r w:rsidRPr="00C73365">
        <w:rPr>
          <w:rFonts w:asciiTheme="minorHAnsi" w:hAnsiTheme="minorHAnsi" w:cstheme="minorHAnsi"/>
          <w:iCs/>
          <w:color w:val="000000" w:themeColor="text1"/>
          <w:lang w:val="fr-FR"/>
        </w:rPr>
        <w:t xml:space="preserve">Cet accord conclu contenait une condition suspensive pour sa mise en application qui concernait le droit pour </w:t>
      </w:r>
      <w:r w:rsidR="00EF089C" w:rsidRPr="00C73365">
        <w:rPr>
          <w:rFonts w:asciiTheme="minorHAnsi" w:hAnsiTheme="minorHAnsi" w:cstheme="minorHAnsi"/>
          <w:iCs/>
          <w:color w:val="000000" w:themeColor="text1"/>
          <w:lang w:val="fr-FR"/>
        </w:rPr>
        <w:t>ABIVAX</w:t>
      </w:r>
      <w:r w:rsidRPr="00C73365">
        <w:rPr>
          <w:rFonts w:asciiTheme="minorHAnsi" w:hAnsiTheme="minorHAnsi" w:cstheme="minorHAnsi"/>
          <w:iCs/>
          <w:color w:val="000000" w:themeColor="text1"/>
          <w:lang w:val="fr-FR"/>
        </w:rPr>
        <w:t xml:space="preserve"> de conduire à sa charge des diligences précliniques. Si les résultats de ces diligences ne satisfaisaient pas les attentes d’</w:t>
      </w:r>
      <w:r w:rsidR="00EF089C" w:rsidRPr="00C73365">
        <w:rPr>
          <w:rFonts w:asciiTheme="minorHAnsi" w:hAnsiTheme="minorHAnsi" w:cstheme="minorHAnsi"/>
          <w:iCs/>
          <w:color w:val="000000" w:themeColor="text1"/>
          <w:lang w:val="fr-FR"/>
        </w:rPr>
        <w:t>ABIVAX</w:t>
      </w:r>
      <w:r w:rsidRPr="00C73365">
        <w:rPr>
          <w:rFonts w:asciiTheme="minorHAnsi" w:hAnsiTheme="minorHAnsi" w:cstheme="minorHAnsi"/>
          <w:iCs/>
          <w:color w:val="000000" w:themeColor="text1"/>
          <w:lang w:val="fr-FR"/>
        </w:rPr>
        <w:t xml:space="preserve"> concernant la performance du produit en tant qu’agent contre la dengue, </w:t>
      </w:r>
      <w:r w:rsidR="00EF089C" w:rsidRPr="00C73365">
        <w:rPr>
          <w:rFonts w:asciiTheme="minorHAnsi" w:hAnsiTheme="minorHAnsi" w:cstheme="minorHAnsi"/>
          <w:iCs/>
          <w:color w:val="000000" w:themeColor="text1"/>
          <w:lang w:val="fr-FR"/>
        </w:rPr>
        <w:t>ABIVAX</w:t>
      </w:r>
      <w:r w:rsidRPr="00C73365">
        <w:rPr>
          <w:rFonts w:asciiTheme="minorHAnsi" w:hAnsiTheme="minorHAnsi" w:cstheme="minorHAnsi"/>
          <w:iCs/>
          <w:color w:val="000000" w:themeColor="text1"/>
          <w:lang w:val="fr-FR"/>
        </w:rPr>
        <w:t xml:space="preserve"> avait le droit de ne pas mettre en œuvre le contrat. </w:t>
      </w:r>
    </w:p>
    <w:p w:rsidR="000C5E80"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 xml:space="preserve">En 2015,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mandaté des sociétés de service spécialisées pour conduire une série de tests précliniques, tests qui se sont avérés négatifs concernant l’efficacité du produit comme candidat médicament contre la dengue. Ceci a été signalé à notre partenaire cubain</w:t>
      </w:r>
      <w:r w:rsidR="00CF258A" w:rsidRPr="00C73365">
        <w:rPr>
          <w:rFonts w:asciiTheme="minorHAnsi" w:hAnsiTheme="minorHAnsi" w:cstheme="minorHAnsi"/>
          <w:lang w:val="fr-FR"/>
        </w:rPr>
        <w:t>.</w:t>
      </w:r>
      <w:r w:rsidR="00025EEE" w:rsidRPr="00C73365">
        <w:rPr>
          <w:rFonts w:asciiTheme="minorHAnsi" w:hAnsiTheme="minorHAnsi" w:cstheme="minorHAnsi"/>
          <w:lang w:val="fr-FR"/>
        </w:rPr>
        <w:t xml:space="preserve"> Les</w:t>
      </w:r>
      <w:r w:rsidR="00014788" w:rsidRPr="00C73365">
        <w:rPr>
          <w:rFonts w:asciiTheme="minorHAnsi" w:hAnsiTheme="minorHAnsi" w:cstheme="minorHAnsi"/>
          <w:lang w:val="fr-FR"/>
        </w:rPr>
        <w:t xml:space="preserve"> activités associées</w:t>
      </w:r>
      <w:r w:rsidR="00CF258A" w:rsidRPr="00C73365">
        <w:rPr>
          <w:rFonts w:asciiTheme="minorHAnsi" w:hAnsiTheme="minorHAnsi" w:cstheme="minorHAnsi"/>
          <w:lang w:val="fr-FR"/>
        </w:rPr>
        <w:t xml:space="preserve"> </w:t>
      </w:r>
      <w:r w:rsidR="00025EEE" w:rsidRPr="00C73365">
        <w:rPr>
          <w:rFonts w:asciiTheme="minorHAnsi" w:hAnsiTheme="minorHAnsi" w:cstheme="minorHAnsi"/>
          <w:lang w:val="fr-FR"/>
        </w:rPr>
        <w:t xml:space="preserve">à ce projet chez </w:t>
      </w:r>
      <w:r w:rsidR="00EF089C" w:rsidRPr="00C73365">
        <w:rPr>
          <w:rFonts w:asciiTheme="minorHAnsi" w:hAnsiTheme="minorHAnsi" w:cstheme="minorHAnsi"/>
          <w:lang w:val="fr-FR"/>
        </w:rPr>
        <w:t>ABIVAX</w:t>
      </w:r>
      <w:r w:rsidR="00025EEE" w:rsidRPr="00C73365">
        <w:rPr>
          <w:rFonts w:asciiTheme="minorHAnsi" w:hAnsiTheme="minorHAnsi" w:cstheme="minorHAnsi"/>
          <w:lang w:val="fr-FR"/>
        </w:rPr>
        <w:t xml:space="preserve"> </w:t>
      </w:r>
      <w:r w:rsidR="00CF258A" w:rsidRPr="00C73365">
        <w:rPr>
          <w:rFonts w:asciiTheme="minorHAnsi" w:hAnsiTheme="minorHAnsi" w:cstheme="minorHAnsi"/>
          <w:lang w:val="fr-FR"/>
        </w:rPr>
        <w:t>ont ainsi été arrêtés</w:t>
      </w:r>
      <w:r w:rsidR="00025EEE" w:rsidRPr="00C73365">
        <w:rPr>
          <w:rFonts w:asciiTheme="minorHAnsi" w:hAnsiTheme="minorHAnsi" w:cstheme="minorHAnsi"/>
          <w:lang w:val="fr-FR"/>
        </w:rPr>
        <w:t xml:space="preserve"> </w:t>
      </w:r>
      <w:r w:rsidR="00CF258A" w:rsidRPr="00C73365">
        <w:rPr>
          <w:rFonts w:asciiTheme="minorHAnsi" w:hAnsiTheme="minorHAnsi" w:cstheme="minorHAnsi"/>
          <w:lang w:val="fr-FR"/>
        </w:rPr>
        <w:t xml:space="preserve">et les différentes parties sont en cours de </w:t>
      </w:r>
      <w:r w:rsidR="00014788" w:rsidRPr="00C73365">
        <w:rPr>
          <w:rFonts w:asciiTheme="minorHAnsi" w:hAnsiTheme="minorHAnsi" w:cstheme="minorHAnsi"/>
          <w:lang w:val="fr-FR"/>
        </w:rPr>
        <w:t>discussion pour une voie de sortie rapide.</w:t>
      </w:r>
    </w:p>
    <w:p w:rsidR="000C5E80" w:rsidRPr="00C73365" w:rsidRDefault="000C5E80" w:rsidP="000C5E80">
      <w:pPr>
        <w:pStyle w:val="ListParagraph"/>
        <w:numPr>
          <w:ilvl w:val="3"/>
          <w:numId w:val="9"/>
        </w:numPr>
        <w:spacing w:after="0"/>
        <w:outlineLvl w:val="2"/>
        <w:rPr>
          <w:rFonts w:asciiTheme="minorHAnsi" w:hAnsiTheme="minorHAnsi" w:cstheme="minorHAnsi"/>
          <w:color w:val="000000" w:themeColor="text1"/>
          <w:szCs w:val="22"/>
          <w:lang w:val="fr-FR"/>
        </w:rPr>
      </w:pPr>
      <w:r w:rsidRPr="00C73365">
        <w:rPr>
          <w:rFonts w:asciiTheme="minorHAnsi" w:hAnsiTheme="minorHAnsi" w:cstheme="minorHAnsi"/>
          <w:color w:val="000000" w:themeColor="text1"/>
          <w:szCs w:val="22"/>
          <w:lang w:val="fr-FR"/>
        </w:rPr>
        <w:t>Un partenariat commercial avec Vacunas Finlay</w:t>
      </w:r>
    </w:p>
    <w:p w:rsidR="000C5E80" w:rsidRPr="00C73365" w:rsidRDefault="000C5E80" w:rsidP="000C5E80">
      <w:pPr>
        <w:widowControl w:val="0"/>
        <w:autoSpaceDE w:val="0"/>
        <w:autoSpaceDN w:val="0"/>
        <w:adjustRightInd w:val="0"/>
        <w:rPr>
          <w:rFonts w:asciiTheme="minorHAnsi" w:hAnsiTheme="minorHAnsi" w:cstheme="minorHAnsi"/>
          <w:szCs w:val="20"/>
          <w:lang w:val="fr-FR"/>
        </w:rPr>
      </w:pPr>
    </w:p>
    <w:p w:rsidR="000C5E80"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 xml:space="preserve">En 2014, la Société avait conclu trois accords de distribution commerciale avec Vacunas Finlay. Aux termes de ces accords,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avait acquis les droits de distribution, exclusifs ou non-exclusifs selon le pays, pour trois vaccins actuellement commercialisés avec succès par Vacunas Finlay à Cuba, pour une période de 10 ans avec option de renouvellement pour 5 ans supplémentaires : </w:t>
      </w:r>
    </w:p>
    <w:p w:rsidR="000C5E80" w:rsidRPr="00C73365" w:rsidRDefault="00025EEE" w:rsidP="00434C49">
      <w:pPr>
        <w:pStyle w:val="ListParagraph"/>
        <w:numPr>
          <w:ilvl w:val="0"/>
          <w:numId w:val="99"/>
        </w:numPr>
        <w:spacing w:after="0" w:line="240" w:lineRule="atLeast"/>
        <w:contextualSpacing/>
        <w:rPr>
          <w:rFonts w:asciiTheme="minorHAnsi" w:hAnsiTheme="minorHAnsi" w:cstheme="minorHAnsi"/>
          <w:i/>
          <w:szCs w:val="20"/>
          <w:lang w:val="fr-FR"/>
        </w:rPr>
      </w:pPr>
      <w:r w:rsidRPr="00C73365">
        <w:rPr>
          <w:rFonts w:asciiTheme="minorHAnsi" w:hAnsiTheme="minorHAnsi" w:cstheme="minorHAnsi"/>
          <w:szCs w:val="20"/>
          <w:lang w:val="fr-FR"/>
        </w:rPr>
        <w:t>T</w:t>
      </w:r>
      <w:r w:rsidR="000C5E80" w:rsidRPr="00C73365">
        <w:rPr>
          <w:rFonts w:asciiTheme="minorHAnsi" w:hAnsiTheme="minorHAnsi" w:cstheme="minorHAnsi"/>
          <w:szCs w:val="20"/>
          <w:lang w:val="fr-FR"/>
        </w:rPr>
        <w:t>yphoïde : vax‐TyVi – ciblant la fièvre typhoïde</w:t>
      </w:r>
    </w:p>
    <w:p w:rsidR="000C5E80" w:rsidRPr="00C73365" w:rsidRDefault="00025EEE" w:rsidP="00434C49">
      <w:pPr>
        <w:pStyle w:val="ListParagraph"/>
        <w:numPr>
          <w:ilvl w:val="0"/>
          <w:numId w:val="99"/>
        </w:numPr>
        <w:spacing w:after="0" w:line="240" w:lineRule="atLeast"/>
        <w:contextualSpacing/>
        <w:rPr>
          <w:rFonts w:asciiTheme="minorHAnsi" w:hAnsiTheme="minorHAnsi" w:cstheme="minorHAnsi"/>
          <w:i/>
          <w:szCs w:val="20"/>
          <w:lang w:val="fr-FR"/>
        </w:rPr>
      </w:pPr>
      <w:r w:rsidRPr="00C73365">
        <w:rPr>
          <w:rFonts w:asciiTheme="minorHAnsi" w:hAnsiTheme="minorHAnsi" w:cstheme="minorHAnsi"/>
          <w:szCs w:val="20"/>
          <w:lang w:val="fr-FR"/>
        </w:rPr>
        <w:lastRenderedPageBreak/>
        <w:t>M</w:t>
      </w:r>
      <w:r w:rsidR="000C5E80" w:rsidRPr="00C73365">
        <w:rPr>
          <w:rFonts w:asciiTheme="minorHAnsi" w:hAnsiTheme="minorHAnsi" w:cstheme="minorHAnsi"/>
          <w:szCs w:val="20"/>
          <w:lang w:val="fr-FR"/>
        </w:rPr>
        <w:t>éningocoque : VA‐MENGOC‐BC – ciblant les méningocoques des groupes B &amp; C</w:t>
      </w:r>
    </w:p>
    <w:p w:rsidR="000C5E80" w:rsidRPr="00C73365" w:rsidRDefault="00025EEE" w:rsidP="00434C49">
      <w:pPr>
        <w:pStyle w:val="ListParagraph"/>
        <w:numPr>
          <w:ilvl w:val="0"/>
          <w:numId w:val="99"/>
        </w:numPr>
        <w:spacing w:after="0" w:line="240" w:lineRule="atLeast"/>
        <w:contextualSpacing/>
        <w:rPr>
          <w:rFonts w:asciiTheme="minorHAnsi" w:hAnsiTheme="minorHAnsi" w:cstheme="minorHAnsi"/>
          <w:i/>
          <w:szCs w:val="20"/>
          <w:lang w:val="fr-FR"/>
        </w:rPr>
      </w:pPr>
      <w:r w:rsidRPr="00C73365">
        <w:rPr>
          <w:rFonts w:asciiTheme="minorHAnsi" w:hAnsiTheme="minorHAnsi" w:cstheme="minorHAnsi"/>
          <w:szCs w:val="20"/>
          <w:lang w:val="fr-FR"/>
        </w:rPr>
        <w:t>L</w:t>
      </w:r>
      <w:r w:rsidR="000C5E80" w:rsidRPr="00C73365">
        <w:rPr>
          <w:rFonts w:asciiTheme="minorHAnsi" w:hAnsiTheme="minorHAnsi" w:cstheme="minorHAnsi"/>
          <w:szCs w:val="20"/>
          <w:lang w:val="fr-FR"/>
        </w:rPr>
        <w:t xml:space="preserve">eptospirose : vax‐SPIRAL - ciblant la leptospirose </w:t>
      </w:r>
    </w:p>
    <w:p w:rsidR="00025EEE" w:rsidRPr="00C73365" w:rsidRDefault="00025EEE" w:rsidP="00025EEE">
      <w:pPr>
        <w:pStyle w:val="ListParagraph"/>
        <w:spacing w:after="0" w:line="240" w:lineRule="atLeast"/>
        <w:ind w:left="720"/>
        <w:contextualSpacing/>
        <w:rPr>
          <w:rFonts w:asciiTheme="minorHAnsi" w:hAnsiTheme="minorHAnsi" w:cstheme="minorHAnsi"/>
          <w:i/>
          <w:szCs w:val="20"/>
          <w:lang w:val="fr-FR"/>
        </w:rPr>
      </w:pPr>
    </w:p>
    <w:p w:rsidR="000C5E80"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0C5E80" w:rsidRPr="00C73365">
        <w:rPr>
          <w:rFonts w:asciiTheme="minorHAnsi" w:hAnsiTheme="minorHAnsi" w:cstheme="minorHAnsi"/>
          <w:lang w:val="fr-FR"/>
        </w:rPr>
        <w:t xml:space="preserve"> devait commercialiser ces produits dans différents pays d’Asie, notamment en Inde, en Indonésie et aux Philippines, et d</w:t>
      </w:r>
      <w:r w:rsidR="004572A0" w:rsidRPr="00C73365">
        <w:rPr>
          <w:rFonts w:asciiTheme="minorHAnsi" w:hAnsiTheme="minorHAnsi" w:cstheme="minorHAnsi"/>
          <w:lang w:val="fr-FR"/>
        </w:rPr>
        <w:t>’</w:t>
      </w:r>
      <w:r w:rsidR="000C5E80" w:rsidRPr="00C73365">
        <w:rPr>
          <w:rFonts w:asciiTheme="minorHAnsi" w:hAnsiTheme="minorHAnsi" w:cstheme="minorHAnsi"/>
          <w:lang w:val="fr-FR"/>
        </w:rPr>
        <w:t xml:space="preserve">Amérique latine, notamment au Brésil, au Mexique et en Uruguay. </w:t>
      </w:r>
      <w:r w:rsidRPr="00C73365">
        <w:rPr>
          <w:rFonts w:asciiTheme="minorHAnsi" w:hAnsiTheme="minorHAnsi" w:cstheme="minorHAnsi"/>
          <w:lang w:val="fr-FR"/>
        </w:rPr>
        <w:t>ABIVAX</w:t>
      </w:r>
      <w:r w:rsidR="000C5E80" w:rsidRPr="00C73365">
        <w:rPr>
          <w:rFonts w:asciiTheme="minorHAnsi" w:hAnsiTheme="minorHAnsi" w:cstheme="minorHAnsi"/>
          <w:lang w:val="fr-FR"/>
        </w:rPr>
        <w:t xml:space="preserve"> avait donc acquis les droits de distribution de nouveaux produits intéressants, ciblant entre autres la typhoïde en Inde. </w:t>
      </w:r>
      <w:r w:rsidRPr="00C73365">
        <w:rPr>
          <w:rFonts w:asciiTheme="minorHAnsi" w:hAnsiTheme="minorHAnsi" w:cstheme="minorHAnsi"/>
          <w:lang w:val="fr-FR"/>
        </w:rPr>
        <w:t>ABIVAX</w:t>
      </w:r>
      <w:r w:rsidR="000C5E80" w:rsidRPr="00C73365">
        <w:rPr>
          <w:rFonts w:asciiTheme="minorHAnsi" w:hAnsiTheme="minorHAnsi" w:cstheme="minorHAnsi"/>
          <w:lang w:val="fr-FR"/>
        </w:rPr>
        <w:t xml:space="preserve"> était responsable de l’obtention de l</w:t>
      </w:r>
      <w:r w:rsidR="004572A0" w:rsidRPr="00C73365">
        <w:rPr>
          <w:rFonts w:asciiTheme="minorHAnsi" w:hAnsiTheme="minorHAnsi" w:cstheme="minorHAnsi"/>
          <w:lang w:val="fr-FR"/>
        </w:rPr>
        <w:t>’</w:t>
      </w:r>
      <w:r w:rsidR="000C5E80" w:rsidRPr="00C73365">
        <w:rPr>
          <w:rFonts w:asciiTheme="minorHAnsi" w:hAnsiTheme="minorHAnsi" w:cstheme="minorHAnsi"/>
          <w:lang w:val="fr-FR"/>
        </w:rPr>
        <w:t>enregistrement des produits sur les marchés pour lesquels la Société détient les droits de distribution exclusifs. L</w:t>
      </w:r>
      <w:r w:rsidR="004572A0" w:rsidRPr="00C73365">
        <w:rPr>
          <w:rFonts w:asciiTheme="minorHAnsi" w:hAnsiTheme="minorHAnsi" w:cstheme="minorHAnsi"/>
          <w:lang w:val="fr-FR"/>
        </w:rPr>
        <w:t>’</w:t>
      </w:r>
      <w:r w:rsidR="000C5E80" w:rsidRPr="00C73365">
        <w:rPr>
          <w:rFonts w:asciiTheme="minorHAnsi" w:hAnsiTheme="minorHAnsi" w:cstheme="minorHAnsi"/>
          <w:lang w:val="fr-FR"/>
        </w:rPr>
        <w:t>Institut Finlay était responsable de la production de chacun de ces trois vaccins, ainsi que de l</w:t>
      </w:r>
      <w:r w:rsidR="004572A0" w:rsidRPr="00C73365">
        <w:rPr>
          <w:rFonts w:asciiTheme="minorHAnsi" w:hAnsiTheme="minorHAnsi" w:cstheme="minorHAnsi"/>
          <w:lang w:val="fr-FR"/>
        </w:rPr>
        <w:t>’</w:t>
      </w:r>
      <w:r w:rsidR="000C5E80" w:rsidRPr="00C73365">
        <w:rPr>
          <w:rFonts w:asciiTheme="minorHAnsi" w:hAnsiTheme="minorHAnsi" w:cstheme="minorHAnsi"/>
          <w:lang w:val="fr-FR"/>
        </w:rPr>
        <w:t>enregistrement et/ou du maintien de l</w:t>
      </w:r>
      <w:r w:rsidR="004572A0" w:rsidRPr="00C73365">
        <w:rPr>
          <w:rFonts w:asciiTheme="minorHAnsi" w:hAnsiTheme="minorHAnsi" w:cstheme="minorHAnsi"/>
          <w:lang w:val="fr-FR"/>
        </w:rPr>
        <w:t>’</w:t>
      </w:r>
      <w:r w:rsidR="000C5E80" w:rsidRPr="00C73365">
        <w:rPr>
          <w:rFonts w:asciiTheme="minorHAnsi" w:hAnsiTheme="minorHAnsi" w:cstheme="minorHAnsi"/>
          <w:lang w:val="fr-FR"/>
        </w:rPr>
        <w:t xml:space="preserve">enregistrement des produits dans les marchés où ceux-ci sont déjà commercialisés et où </w:t>
      </w:r>
      <w:r w:rsidRPr="00C73365">
        <w:rPr>
          <w:rFonts w:asciiTheme="minorHAnsi" w:hAnsiTheme="minorHAnsi" w:cstheme="minorHAnsi"/>
          <w:lang w:val="fr-FR"/>
        </w:rPr>
        <w:t>ABIVAX</w:t>
      </w:r>
      <w:r w:rsidR="000C5E80" w:rsidRPr="00C73365">
        <w:rPr>
          <w:rFonts w:asciiTheme="minorHAnsi" w:hAnsiTheme="minorHAnsi" w:cstheme="minorHAnsi"/>
          <w:lang w:val="fr-FR"/>
        </w:rPr>
        <w:t xml:space="preserve"> détient des droits de distribution non-exclusifs. </w:t>
      </w:r>
    </w:p>
    <w:p w:rsidR="000C5E80"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 xml:space="preserve">A ce jour, aucune exploitation commerciale de ces contrats n’a pu être mise en œuvre soit pour des raisons financières (pas de rentabilité financière identifiée sur </w:t>
      </w:r>
      <w:r w:rsidR="00025EEE" w:rsidRPr="00C73365">
        <w:rPr>
          <w:rFonts w:asciiTheme="minorHAnsi" w:hAnsiTheme="minorHAnsi" w:cstheme="minorHAnsi"/>
          <w:lang w:val="fr-FR"/>
        </w:rPr>
        <w:t>un</w:t>
      </w:r>
      <w:r w:rsidRPr="00C73365">
        <w:rPr>
          <w:rFonts w:asciiTheme="minorHAnsi" w:hAnsiTheme="minorHAnsi" w:cstheme="minorHAnsi"/>
          <w:lang w:val="fr-FR"/>
        </w:rPr>
        <w:t xml:space="preserve"> territoire </w:t>
      </w:r>
      <w:r w:rsidR="00025EEE" w:rsidRPr="00C73365">
        <w:rPr>
          <w:rFonts w:asciiTheme="minorHAnsi" w:hAnsiTheme="minorHAnsi" w:cstheme="minorHAnsi"/>
          <w:lang w:val="fr-FR"/>
        </w:rPr>
        <w:t xml:space="preserve">spécifique </w:t>
      </w:r>
      <w:r w:rsidRPr="00C73365">
        <w:rPr>
          <w:rFonts w:asciiTheme="minorHAnsi" w:hAnsiTheme="minorHAnsi" w:cstheme="minorHAnsi"/>
          <w:lang w:val="fr-FR"/>
        </w:rPr>
        <w:t xml:space="preserve">ou </w:t>
      </w:r>
      <w:r w:rsidR="00025EEE" w:rsidRPr="00C73365">
        <w:rPr>
          <w:rFonts w:asciiTheme="minorHAnsi" w:hAnsiTheme="minorHAnsi" w:cstheme="minorHAnsi"/>
          <w:lang w:val="fr-FR"/>
        </w:rPr>
        <w:t>sur un produit spécifique</w:t>
      </w:r>
      <w:r w:rsidR="009D2497" w:rsidRPr="00C73365">
        <w:rPr>
          <w:rFonts w:asciiTheme="minorHAnsi" w:hAnsiTheme="minorHAnsi" w:cstheme="minorHAnsi"/>
          <w:lang w:val="fr-FR"/>
        </w:rPr>
        <w:t xml:space="preserve"> en raison du </w:t>
      </w:r>
      <w:r w:rsidRPr="00C73365">
        <w:rPr>
          <w:rFonts w:asciiTheme="minorHAnsi" w:eastAsia="Arial" w:hAnsiTheme="minorHAnsi" w:cstheme="minorHAnsi"/>
          <w:u w:color="3366FF"/>
          <w:lang w:val="fr-FR"/>
        </w:rPr>
        <w:t>niveau de prix</w:t>
      </w:r>
      <w:r w:rsidR="009D2497" w:rsidRPr="00C73365">
        <w:rPr>
          <w:rFonts w:asciiTheme="minorHAnsi" w:eastAsia="Arial" w:hAnsiTheme="minorHAnsi" w:cstheme="minorHAnsi"/>
          <w:u w:color="3366FF"/>
          <w:lang w:val="fr-FR"/>
        </w:rPr>
        <w:t xml:space="preserve"> et/ou du </w:t>
      </w:r>
      <w:r w:rsidRPr="00C73365">
        <w:rPr>
          <w:rFonts w:asciiTheme="minorHAnsi" w:eastAsia="Arial" w:hAnsiTheme="minorHAnsi" w:cstheme="minorHAnsi"/>
          <w:u w:color="3366FF"/>
          <w:lang w:val="fr-FR"/>
        </w:rPr>
        <w:t>coût d’obtention des autorisations de mise sur le marché</w:t>
      </w:r>
      <w:r w:rsidRPr="00C73365">
        <w:rPr>
          <w:rFonts w:asciiTheme="minorHAnsi" w:hAnsiTheme="minorHAnsi" w:cstheme="minorHAnsi"/>
          <w:lang w:val="fr-FR"/>
        </w:rPr>
        <w:t>) soit du fait de l’impossibilité légale (exclusivité antérieure accordée à des distributeurs locaux) d’exécuter ces accords commerciaux.</w:t>
      </w:r>
    </w:p>
    <w:p w:rsidR="000C5E80" w:rsidRPr="00C73365" w:rsidRDefault="000C5E80" w:rsidP="004572A0">
      <w:pPr>
        <w:pStyle w:val="BodyText"/>
        <w:rPr>
          <w:rFonts w:asciiTheme="minorHAnsi" w:hAnsiTheme="minorHAnsi" w:cstheme="minorHAnsi"/>
          <w:lang w:val="fr-FR"/>
        </w:rPr>
      </w:pPr>
      <w:r w:rsidRPr="00C73365">
        <w:rPr>
          <w:rFonts w:asciiTheme="minorHAnsi" w:hAnsiTheme="minorHAnsi" w:cstheme="minorHAnsi"/>
          <w:lang w:val="fr-FR"/>
        </w:rPr>
        <w:t>La société a donc mis fin, d’un commun accord avec Vacunas Finlay, aux engagements contractuels réciproques. Il n’y a eu aucune compensation économique et/ou financière entre les parties.</w:t>
      </w:r>
    </w:p>
    <w:p w:rsidR="00943434" w:rsidRPr="00C73365" w:rsidRDefault="00943434" w:rsidP="00943434">
      <w:pPr>
        <w:pStyle w:val="ConmainL2"/>
        <w:numPr>
          <w:ilvl w:val="1"/>
          <w:numId w:val="9"/>
        </w:numPr>
        <w:rPr>
          <w:rFonts w:asciiTheme="minorHAnsi" w:hAnsiTheme="minorHAnsi" w:cstheme="minorHAnsi"/>
          <w:sz w:val="22"/>
          <w:szCs w:val="22"/>
          <w:lang w:val="fr-FR"/>
        </w:rPr>
      </w:pPr>
      <w:bookmarkStart w:id="284" w:name="_Toc462673240"/>
      <w:bookmarkStart w:id="285" w:name="_Toc467835586"/>
      <w:bookmarkStart w:id="286" w:name="_Toc482695258"/>
      <w:bookmarkStart w:id="287" w:name="_Toc512863900"/>
      <w:r w:rsidRPr="00C73365">
        <w:rPr>
          <w:rFonts w:asciiTheme="minorHAnsi" w:hAnsiTheme="minorHAnsi" w:cstheme="minorHAnsi"/>
          <w:sz w:val="22"/>
          <w:szCs w:val="22"/>
          <w:lang w:val="fr-FR"/>
        </w:rPr>
        <w:t>Présentation détaillée des principaux produits d’</w:t>
      </w:r>
      <w:r w:rsidR="00EF089C" w:rsidRPr="00C73365">
        <w:rPr>
          <w:rFonts w:asciiTheme="minorHAnsi" w:hAnsiTheme="minorHAnsi" w:cstheme="minorHAnsi"/>
          <w:sz w:val="22"/>
          <w:szCs w:val="22"/>
          <w:lang w:val="fr-FR"/>
        </w:rPr>
        <w:t>ABIVAX</w:t>
      </w:r>
      <w:bookmarkEnd w:id="284"/>
      <w:bookmarkEnd w:id="285"/>
      <w:bookmarkEnd w:id="286"/>
      <w:bookmarkEnd w:id="287"/>
    </w:p>
    <w:p w:rsidR="00943434" w:rsidRPr="00C73365" w:rsidRDefault="00943434" w:rsidP="00943434">
      <w:pPr>
        <w:pStyle w:val="ListParagraph"/>
        <w:numPr>
          <w:ilvl w:val="2"/>
          <w:numId w:val="9"/>
        </w:numPr>
        <w:spacing w:after="0"/>
        <w:outlineLvl w:val="2"/>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ABX464 : une petite molécule inhibant la réplication du VIH </w:t>
      </w:r>
    </w:p>
    <w:p w:rsidR="00943434" w:rsidRPr="00C73365" w:rsidRDefault="00943434" w:rsidP="00943434">
      <w:pPr>
        <w:pStyle w:val="ListParagraph"/>
        <w:ind w:left="1980"/>
        <w:rPr>
          <w:rFonts w:asciiTheme="minorHAnsi" w:hAnsiTheme="minorHAnsi" w:cstheme="minorHAnsi"/>
          <w:b/>
          <w:color w:val="7030A0"/>
          <w:szCs w:val="22"/>
          <w:lang w:val="fr-FR"/>
        </w:rPr>
      </w:pPr>
    </w:p>
    <w:p w:rsidR="00943434" w:rsidRPr="00C73365" w:rsidRDefault="00943434" w:rsidP="00943434">
      <w:pPr>
        <w:pStyle w:val="ListParagraph"/>
        <w:numPr>
          <w:ilvl w:val="3"/>
          <w:numId w:val="9"/>
        </w:numPr>
        <w:spacing w:after="0"/>
        <w:outlineLvl w:val="2"/>
        <w:rPr>
          <w:rFonts w:asciiTheme="minorHAnsi" w:hAnsiTheme="minorHAnsi" w:cstheme="minorHAnsi"/>
          <w:sz w:val="18"/>
          <w:szCs w:val="22"/>
          <w:lang w:val="fr-FR"/>
        </w:rPr>
      </w:pPr>
      <w:r w:rsidRPr="00C73365">
        <w:rPr>
          <w:rFonts w:asciiTheme="minorHAnsi" w:hAnsiTheme="minorHAnsi" w:cstheme="minorHAnsi"/>
          <w:lang w:val="fr-FR"/>
        </w:rPr>
        <w:t>VIH - Pathologie et prévalence</w:t>
      </w:r>
    </w:p>
    <w:p w:rsidR="007A4925" w:rsidRDefault="007A4925" w:rsidP="004572A0">
      <w:pPr>
        <w:pStyle w:val="BodyText"/>
        <w:rPr>
          <w:rFonts w:asciiTheme="minorHAnsi" w:hAnsiTheme="minorHAnsi" w:cstheme="minorHAnsi"/>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Depuis l</w:t>
      </w:r>
      <w:r w:rsidR="004572A0" w:rsidRPr="00C73365">
        <w:rPr>
          <w:rFonts w:asciiTheme="minorHAnsi" w:hAnsiTheme="minorHAnsi" w:cstheme="minorHAnsi"/>
          <w:lang w:val="fr-FR"/>
        </w:rPr>
        <w:t>’</w:t>
      </w:r>
      <w:r w:rsidRPr="00C73365">
        <w:rPr>
          <w:rFonts w:asciiTheme="minorHAnsi" w:hAnsiTheme="minorHAnsi" w:cstheme="minorHAnsi"/>
          <w:lang w:val="fr-FR"/>
        </w:rPr>
        <w:t>apparition et l’identification officielle du virus du SIDA aux Etats-Unis en 1981, la maladie a gagné du terrain jusqu</w:t>
      </w:r>
      <w:r w:rsidR="004572A0" w:rsidRPr="00C73365">
        <w:rPr>
          <w:rFonts w:asciiTheme="minorHAnsi" w:hAnsiTheme="minorHAnsi" w:cstheme="minorHAnsi"/>
          <w:lang w:val="fr-FR"/>
        </w:rPr>
        <w:t>’</w:t>
      </w:r>
      <w:r w:rsidRPr="00C73365">
        <w:rPr>
          <w:rFonts w:asciiTheme="minorHAnsi" w:hAnsiTheme="minorHAnsi" w:cstheme="minorHAnsi"/>
          <w:lang w:val="fr-FR"/>
        </w:rPr>
        <w:t>à devenir un enjeu majeur de santé publique, avec, selon les données de l’UNAIDS</w:t>
      </w:r>
      <w:r w:rsidR="004E53D0" w:rsidRPr="00860311">
        <w:rPr>
          <w:rFonts w:asciiTheme="minorHAnsi" w:hAnsiTheme="minorHAnsi" w:cstheme="minorHAnsi"/>
          <w:vertAlign w:val="superscript"/>
          <w:lang w:val="fr-FR"/>
        </w:rPr>
        <w:t>5</w:t>
      </w:r>
      <w:r w:rsidRPr="00C73365">
        <w:rPr>
          <w:rFonts w:asciiTheme="minorHAnsi" w:hAnsiTheme="minorHAnsi" w:cstheme="minorHAnsi"/>
          <w:lang w:val="fr-FR"/>
        </w:rPr>
        <w:t xml:space="preserve"> (The Joint United Nations Programme on HIV/AIDS) de 2016, près de 35 millions de décès liés au VIH dans le monde depuis le début de l’épidémie.</w:t>
      </w:r>
      <w:r w:rsidR="006F3437" w:rsidRPr="00C73365">
        <w:rPr>
          <w:rFonts w:asciiTheme="minorHAnsi" w:hAnsiTheme="minorHAnsi" w:cstheme="minorHAnsi"/>
          <w:lang w:val="fr-FR"/>
        </w:rPr>
        <w:t xml:space="preserve"> </w:t>
      </w:r>
      <w:r w:rsidRPr="00C73365">
        <w:rPr>
          <w:rFonts w:asciiTheme="minorHAnsi" w:hAnsiTheme="minorHAnsi" w:cstheme="minorHAnsi"/>
          <w:lang w:val="fr-FR"/>
        </w:rPr>
        <w:t>UNAIDS a dénombré en 2016 environ 36,7 millions de personnes toujours infectées par ce virus et 1,8 millions nouveaux cas d’infection.</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agent étiologique de la maladie est le VIH, un lentivirus de la famille des retroviridae. Deux types de VIH ont été identifiés : le VIH-1 et le VIH-2. Le VIH-1 est le type le plus virulent, le plus infectieux, et est responsable de la grande majorité des infections au VIH dans le monde.</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infection par le VIH et le SIDA se caractérise par une raréfaction progressive des lymphocytes T CD4, qui sont la cible privilégiée du virus. Ceci a pour conséquence un syndrome immunodéficitaire qui ouvre la voie à des infections opportunistes, comme la tuberculose pulmonaire, la toxoplasmose, la candidose, la cryptosporidiose, diverses infections virales (ex. : le CMV, l</w:t>
      </w:r>
      <w:r w:rsidR="004572A0" w:rsidRPr="00C73365">
        <w:rPr>
          <w:rFonts w:asciiTheme="minorHAnsi" w:hAnsiTheme="minorHAnsi" w:cstheme="minorHAnsi"/>
          <w:lang w:val="fr-FR"/>
        </w:rPr>
        <w:t>’</w:t>
      </w:r>
      <w:r w:rsidRPr="00C73365">
        <w:rPr>
          <w:rFonts w:asciiTheme="minorHAnsi" w:hAnsiTheme="minorHAnsi" w:cstheme="minorHAnsi"/>
          <w:lang w:val="fr-FR"/>
        </w:rPr>
        <w:t>hépatite C, l</w:t>
      </w:r>
      <w:r w:rsidR="004572A0" w:rsidRPr="00C73365">
        <w:rPr>
          <w:rFonts w:asciiTheme="minorHAnsi" w:hAnsiTheme="minorHAnsi" w:cstheme="minorHAnsi"/>
          <w:lang w:val="fr-FR"/>
        </w:rPr>
        <w:t>’</w:t>
      </w:r>
      <w:r w:rsidRPr="00C73365">
        <w:rPr>
          <w:rFonts w:asciiTheme="minorHAnsi" w:hAnsiTheme="minorHAnsi" w:cstheme="minorHAnsi"/>
          <w:lang w:val="fr-FR"/>
        </w:rPr>
        <w:t>herpès simplex) ou des cancers comme la maladie de Kaposi ou les lymphomes à cellules B non-hodgkiniens. L</w:t>
      </w:r>
      <w:r w:rsidR="004572A0" w:rsidRPr="00C73365">
        <w:rPr>
          <w:rFonts w:asciiTheme="minorHAnsi" w:hAnsiTheme="minorHAnsi" w:cstheme="minorHAnsi"/>
          <w:lang w:val="fr-FR"/>
        </w:rPr>
        <w:t>’</w:t>
      </w:r>
      <w:r w:rsidRPr="00C73365">
        <w:rPr>
          <w:rFonts w:asciiTheme="minorHAnsi" w:hAnsiTheme="minorHAnsi" w:cstheme="minorHAnsi"/>
          <w:lang w:val="fr-FR"/>
        </w:rPr>
        <w:t>infection par le VIH comprend trois principales étapes : l</w:t>
      </w:r>
      <w:r w:rsidR="004572A0" w:rsidRPr="00C73365">
        <w:rPr>
          <w:rFonts w:asciiTheme="minorHAnsi" w:hAnsiTheme="minorHAnsi" w:cstheme="minorHAnsi"/>
          <w:lang w:val="fr-FR"/>
        </w:rPr>
        <w:t>’</w:t>
      </w:r>
      <w:r w:rsidRPr="00C73365">
        <w:rPr>
          <w:rFonts w:asciiTheme="minorHAnsi" w:hAnsiTheme="minorHAnsi" w:cstheme="minorHAnsi"/>
          <w:lang w:val="fr-FR"/>
        </w:rPr>
        <w:t>infection aiguë, la latence clinique et le SIDA. La période initiale, subséquente à la contraction du VIH, se caractérise par une réplication massive du virus. Cependant, la plupart des individus infectés ne développe rien de plus grave que des symptômes similaires à ceux de la grippe ou de la mononucléose, tandis que d</w:t>
      </w:r>
      <w:r w:rsidR="004572A0" w:rsidRPr="00C73365">
        <w:rPr>
          <w:rFonts w:asciiTheme="minorHAnsi" w:hAnsiTheme="minorHAnsi" w:cstheme="minorHAnsi"/>
          <w:lang w:val="fr-FR"/>
        </w:rPr>
        <w:t>’</w:t>
      </w:r>
      <w:r w:rsidRPr="00C73365">
        <w:rPr>
          <w:rFonts w:asciiTheme="minorHAnsi" w:hAnsiTheme="minorHAnsi" w:cstheme="minorHAnsi"/>
          <w:lang w:val="fr-FR"/>
        </w:rPr>
        <w:t>autres personnes ne présentent aucun symptôme significatif.</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La première phase aiguë de l</w:t>
      </w:r>
      <w:r w:rsidR="004572A0" w:rsidRPr="00C73365">
        <w:rPr>
          <w:rFonts w:asciiTheme="minorHAnsi" w:hAnsiTheme="minorHAnsi" w:cstheme="minorHAnsi"/>
          <w:lang w:val="fr-FR"/>
        </w:rPr>
        <w:t>’</w:t>
      </w:r>
      <w:r w:rsidRPr="00C73365">
        <w:rPr>
          <w:rFonts w:asciiTheme="minorHAnsi" w:hAnsiTheme="minorHAnsi" w:cstheme="minorHAnsi"/>
          <w:lang w:val="fr-FR"/>
        </w:rPr>
        <w:t>infection prend fin lorsque le système immunitaire cellulaire se déclenche. Il s</w:t>
      </w:r>
      <w:r w:rsidR="004572A0" w:rsidRPr="00C73365">
        <w:rPr>
          <w:rFonts w:asciiTheme="minorHAnsi" w:hAnsiTheme="minorHAnsi" w:cstheme="minorHAnsi"/>
          <w:lang w:val="fr-FR"/>
        </w:rPr>
        <w:t>’</w:t>
      </w:r>
      <w:r w:rsidRPr="00C73365">
        <w:rPr>
          <w:rFonts w:asciiTheme="minorHAnsi" w:hAnsiTheme="minorHAnsi" w:cstheme="minorHAnsi"/>
          <w:lang w:val="fr-FR"/>
        </w:rPr>
        <w:t>ensuit une longue période asymptomatique de latence clinique, qui correspond à la phase chronique de l</w:t>
      </w:r>
      <w:r w:rsidR="004572A0" w:rsidRPr="00C73365">
        <w:rPr>
          <w:rFonts w:asciiTheme="minorHAnsi" w:hAnsiTheme="minorHAnsi" w:cstheme="minorHAnsi"/>
          <w:lang w:val="fr-FR"/>
        </w:rPr>
        <w:t>’</w:t>
      </w:r>
      <w:r w:rsidRPr="00C73365">
        <w:rPr>
          <w:rFonts w:asciiTheme="minorHAnsi" w:hAnsiTheme="minorHAnsi" w:cstheme="minorHAnsi"/>
          <w:lang w:val="fr-FR"/>
        </w:rPr>
        <w:t>infection. Au cours de cette phase, une diminution lente mais continue du nombre de lymphocytes T CD4 est observée. En l</w:t>
      </w:r>
      <w:r w:rsidR="004572A0" w:rsidRPr="00C73365">
        <w:rPr>
          <w:rFonts w:asciiTheme="minorHAnsi" w:hAnsiTheme="minorHAnsi" w:cstheme="minorHAnsi"/>
          <w:lang w:val="fr-FR"/>
        </w:rPr>
        <w:t>’</w:t>
      </w:r>
      <w:r w:rsidRPr="00C73365">
        <w:rPr>
          <w:rFonts w:asciiTheme="minorHAnsi" w:hAnsiTheme="minorHAnsi" w:cstheme="minorHAnsi"/>
          <w:lang w:val="fr-FR"/>
        </w:rPr>
        <w:t>absence de traitement, cette phase asymptomatique peut durer de quelques mois à plus de 25 ans. Bien qu</w:t>
      </w:r>
      <w:r w:rsidR="004572A0" w:rsidRPr="00C73365">
        <w:rPr>
          <w:rFonts w:asciiTheme="minorHAnsi" w:hAnsiTheme="minorHAnsi" w:cstheme="minorHAnsi"/>
          <w:lang w:val="fr-FR"/>
        </w:rPr>
        <w:t>’</w:t>
      </w:r>
      <w:r w:rsidRPr="00C73365">
        <w:rPr>
          <w:rFonts w:asciiTheme="minorHAnsi" w:hAnsiTheme="minorHAnsi" w:cstheme="minorHAnsi"/>
          <w:lang w:val="fr-FR"/>
        </w:rPr>
        <w:t>initialement il n</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y ait généralement pas ou peu de symptômes, vers la fin de cette étape de nombreux individus souffrent de fièvre, de perte de poids, de problèmes gastro-intestinaux et de douleurs musculaires. </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étape d</w:t>
      </w:r>
      <w:r w:rsidR="004572A0" w:rsidRPr="00C73365">
        <w:rPr>
          <w:rFonts w:asciiTheme="minorHAnsi" w:hAnsiTheme="minorHAnsi" w:cstheme="minorHAnsi"/>
          <w:lang w:val="fr-FR"/>
        </w:rPr>
        <w:t>’</w:t>
      </w:r>
      <w:r w:rsidRPr="00C73365">
        <w:rPr>
          <w:rFonts w:asciiTheme="minorHAnsi" w:hAnsiTheme="minorHAnsi" w:cstheme="minorHAnsi"/>
          <w:lang w:val="fr-FR"/>
        </w:rPr>
        <w:t>immunodéficience acquise se définit par un nombre de lymphocytes T CD4 inférieur à 200 cellules par mm</w:t>
      </w:r>
      <w:r w:rsidRPr="00C73365">
        <w:rPr>
          <w:rFonts w:asciiTheme="minorHAnsi" w:hAnsiTheme="minorHAnsi" w:cstheme="minorHAnsi"/>
          <w:vertAlign w:val="superscript"/>
          <w:lang w:val="fr-FR"/>
        </w:rPr>
        <w:t>3</w:t>
      </w:r>
      <w:r w:rsidRPr="00C73365">
        <w:rPr>
          <w:rFonts w:asciiTheme="minorHAnsi" w:hAnsiTheme="minorHAnsi" w:cstheme="minorHAnsi"/>
          <w:lang w:val="fr-FR"/>
        </w:rPr>
        <w:t xml:space="preserve"> de sang. En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absence de traitement spécifique, environ 50% des personnes infectées par le VIH développent la maladie </w:t>
      </w:r>
      <w:r w:rsidRPr="00C73365">
        <w:rPr>
          <w:rFonts w:asciiTheme="minorHAnsi" w:hAnsiTheme="minorHAnsi" w:cstheme="minorHAnsi"/>
          <w:lang w:val="fr-FR"/>
        </w:rPr>
        <w:lastRenderedPageBreak/>
        <w:t>dans les dix ans qui suivent leur infection</w:t>
      </w:r>
      <w:r w:rsidRPr="00C73365">
        <w:rPr>
          <w:rStyle w:val="FootnoteReference"/>
          <w:rFonts w:asciiTheme="minorHAnsi" w:eastAsia="SimSun" w:hAnsiTheme="minorHAnsi" w:cstheme="minorHAnsi"/>
          <w:lang w:val="fr-FR"/>
        </w:rPr>
        <w:footnoteReference w:id="4"/>
      </w:r>
      <w:r w:rsidRPr="00C73365">
        <w:rPr>
          <w:rFonts w:asciiTheme="minorHAnsi" w:hAnsiTheme="minorHAnsi" w:cstheme="minorHAnsi"/>
          <w:lang w:val="fr-FR"/>
        </w:rPr>
        <w:t>. Cette étape se caractérise par l</w:t>
      </w:r>
      <w:r w:rsidR="004572A0" w:rsidRPr="00C73365">
        <w:rPr>
          <w:rFonts w:asciiTheme="minorHAnsi" w:hAnsiTheme="minorHAnsi" w:cstheme="minorHAnsi"/>
          <w:lang w:val="fr-FR"/>
        </w:rPr>
        <w:t>’</w:t>
      </w:r>
      <w:r w:rsidRPr="00C73365">
        <w:rPr>
          <w:rFonts w:asciiTheme="minorHAnsi" w:hAnsiTheme="minorHAnsi" w:cstheme="minorHAnsi"/>
          <w:lang w:val="fr-FR"/>
        </w:rPr>
        <w:t>apparition d</w:t>
      </w:r>
      <w:r w:rsidR="004572A0" w:rsidRPr="00C73365">
        <w:rPr>
          <w:rFonts w:asciiTheme="minorHAnsi" w:hAnsiTheme="minorHAnsi" w:cstheme="minorHAnsi"/>
          <w:lang w:val="fr-FR"/>
        </w:rPr>
        <w:t>’</w:t>
      </w:r>
      <w:r w:rsidRPr="00C73365">
        <w:rPr>
          <w:rFonts w:asciiTheme="minorHAnsi" w:hAnsiTheme="minorHAnsi" w:cstheme="minorHAnsi"/>
          <w:lang w:val="fr-FR"/>
        </w:rPr>
        <w:t>infections opportunistes causées par des bactéries, des virus, des champignons et des parasites, normalement contrôlés par le système immunitaire. Les personnes atteintes du SIDA ont également un risque accru de développer différents cancers viro-induits.</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Le VIH se transmet par trois voies principales : les relations sexuelles, l</w:t>
      </w:r>
      <w:r w:rsidR="004572A0" w:rsidRPr="00C73365">
        <w:rPr>
          <w:rFonts w:asciiTheme="minorHAnsi" w:hAnsiTheme="minorHAnsi" w:cstheme="minorHAnsi"/>
          <w:lang w:val="fr-FR"/>
        </w:rPr>
        <w:t>’</w:t>
      </w:r>
      <w:r w:rsidRPr="00C73365">
        <w:rPr>
          <w:rFonts w:asciiTheme="minorHAnsi" w:hAnsiTheme="minorHAnsi" w:cstheme="minorHAnsi"/>
          <w:lang w:val="fr-FR"/>
        </w:rPr>
        <w:t>exposition à des fluides corporels ou à des tissus infectés (ex : transfusion sanguine, emploi d</w:t>
      </w:r>
      <w:r w:rsidR="004572A0" w:rsidRPr="00C73365">
        <w:rPr>
          <w:rFonts w:asciiTheme="minorHAnsi" w:hAnsiTheme="minorHAnsi" w:cstheme="minorHAnsi"/>
          <w:lang w:val="fr-FR"/>
        </w:rPr>
        <w:t>’</w:t>
      </w:r>
      <w:r w:rsidRPr="00C73365">
        <w:rPr>
          <w:rFonts w:asciiTheme="minorHAnsi" w:hAnsiTheme="minorHAnsi" w:cstheme="minorHAnsi"/>
          <w:lang w:val="fr-FR"/>
        </w:rPr>
        <w:t>aiguilles infectées) et de la mère à son enfant durant la grossesse, l</w:t>
      </w:r>
      <w:r w:rsidR="004572A0" w:rsidRPr="00C73365">
        <w:rPr>
          <w:rFonts w:asciiTheme="minorHAnsi" w:hAnsiTheme="minorHAnsi" w:cstheme="minorHAnsi"/>
          <w:lang w:val="fr-FR"/>
        </w:rPr>
        <w:t>’</w:t>
      </w:r>
      <w:r w:rsidRPr="00C73365">
        <w:rPr>
          <w:rFonts w:asciiTheme="minorHAnsi" w:hAnsiTheme="minorHAnsi" w:cstheme="minorHAnsi"/>
          <w:lang w:val="fr-FR"/>
        </w:rPr>
        <w:t>accouchement ou l</w:t>
      </w:r>
      <w:r w:rsidR="004572A0" w:rsidRPr="00C73365">
        <w:rPr>
          <w:rFonts w:asciiTheme="minorHAnsi" w:hAnsiTheme="minorHAnsi" w:cstheme="minorHAnsi"/>
          <w:lang w:val="fr-FR"/>
        </w:rPr>
        <w:t>’</w:t>
      </w:r>
      <w:r w:rsidRPr="00C73365">
        <w:rPr>
          <w:rFonts w:asciiTheme="minorHAnsi" w:hAnsiTheme="minorHAnsi" w:cstheme="minorHAnsi"/>
          <w:lang w:val="fr-FR"/>
        </w:rPr>
        <w:t>allaitement.</w:t>
      </w:r>
    </w:p>
    <w:p w:rsidR="00943434" w:rsidRPr="00C73365" w:rsidRDefault="00943434" w:rsidP="004572A0">
      <w:pPr>
        <w:pStyle w:val="BodyText"/>
        <w:rPr>
          <w:rFonts w:asciiTheme="minorHAnsi" w:hAnsiTheme="minorHAnsi" w:cstheme="minorHAnsi"/>
          <w:b/>
          <w:lang w:val="fr-FR"/>
        </w:rPr>
      </w:pPr>
      <w:r w:rsidRPr="00C73365">
        <w:rPr>
          <w:rFonts w:asciiTheme="minorHAnsi" w:hAnsiTheme="minorHAnsi" w:cstheme="minorHAnsi"/>
          <w:b/>
          <w:lang w:val="fr-FR"/>
        </w:rPr>
        <w:t>Le VIH/SIDA, la maladie infectieuse responsable du plus grand nombre de décès au monde</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Le VIH, virus responsable du SIDA, est l</w:t>
      </w:r>
      <w:r w:rsidR="004572A0" w:rsidRPr="00C73365">
        <w:rPr>
          <w:rFonts w:asciiTheme="minorHAnsi" w:hAnsiTheme="minorHAnsi" w:cstheme="minorHAnsi"/>
          <w:lang w:val="fr-FR"/>
        </w:rPr>
        <w:t>’</w:t>
      </w:r>
      <w:r w:rsidRPr="00C73365">
        <w:rPr>
          <w:rFonts w:asciiTheme="minorHAnsi" w:hAnsiTheme="minorHAnsi" w:cstheme="minorHAnsi"/>
          <w:lang w:val="fr-FR"/>
        </w:rPr>
        <w:t>un des principaux défis de santé dans le monde. L’UNAIDS (The Joint United Nations Program on HIV/AIDS) indique ainsi que</w:t>
      </w:r>
      <w:r w:rsidRPr="00C73365">
        <w:rPr>
          <w:rStyle w:val="FootnoteReference"/>
          <w:rFonts w:asciiTheme="minorHAnsi" w:eastAsia="SimSun" w:hAnsiTheme="minorHAnsi" w:cstheme="minorHAnsi"/>
          <w:lang w:val="fr-FR"/>
        </w:rPr>
        <w:footnoteReference w:id="5"/>
      </w:r>
      <w:r w:rsidRPr="00C73365">
        <w:rPr>
          <w:rFonts w:asciiTheme="minorHAnsi" w:hAnsiTheme="minorHAnsi" w:cstheme="minorHAnsi"/>
          <w:lang w:val="fr-FR"/>
        </w:rPr>
        <w:t>:</w:t>
      </w:r>
    </w:p>
    <w:p w:rsidR="00943434" w:rsidRPr="00C73365" w:rsidRDefault="00943434" w:rsidP="00434C49">
      <w:pPr>
        <w:pStyle w:val="ListParagraph"/>
        <w:numPr>
          <w:ilvl w:val="0"/>
          <w:numId w:val="73"/>
        </w:numPr>
        <w:tabs>
          <w:tab w:val="left" w:pos="709"/>
        </w:tabs>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36,7 millions de personnes environ vivaient avec le VIH/SIDA en 2016, dont 2,1 millions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 xml:space="preserve">enfants (&lt;15 ans). Sur ces 36,7 millions de personnes infectées, </w:t>
      </w:r>
      <w:r w:rsidR="00713CB6">
        <w:rPr>
          <w:rFonts w:asciiTheme="minorHAnsi" w:hAnsiTheme="minorHAnsi" w:cstheme="minorHAnsi"/>
          <w:szCs w:val="20"/>
          <w:lang w:val="fr-FR"/>
        </w:rPr>
        <w:t>[</w:t>
      </w:r>
      <w:r w:rsidRPr="00C73365">
        <w:rPr>
          <w:rFonts w:asciiTheme="minorHAnsi" w:hAnsiTheme="minorHAnsi" w:cstheme="minorHAnsi"/>
          <w:szCs w:val="20"/>
          <w:lang w:val="fr-FR"/>
        </w:rPr>
        <w:t>19 millions</w:t>
      </w:r>
      <w:r w:rsidR="00713CB6">
        <w:rPr>
          <w:rFonts w:asciiTheme="minorHAnsi" w:hAnsiTheme="minorHAnsi" w:cstheme="minorHAnsi"/>
          <w:szCs w:val="20"/>
          <w:lang w:val="fr-FR"/>
        </w:rPr>
        <w:t>]</w:t>
      </w:r>
      <w:r w:rsidRPr="00C73365">
        <w:rPr>
          <w:rFonts w:asciiTheme="minorHAnsi" w:hAnsiTheme="minorHAnsi" w:cstheme="minorHAnsi"/>
          <w:szCs w:val="20"/>
          <w:lang w:val="fr-FR"/>
        </w:rPr>
        <w:t xml:space="preserve"> ignorent qu’elles sont infectées par le virus du VIH.</w:t>
      </w:r>
    </w:p>
    <w:p w:rsidR="00943434" w:rsidRPr="00C73365" w:rsidRDefault="00943434" w:rsidP="00434C49">
      <w:pPr>
        <w:pStyle w:val="ListParagraph"/>
        <w:numPr>
          <w:ilvl w:val="0"/>
          <w:numId w:val="73"/>
        </w:numPr>
        <w:tabs>
          <w:tab w:val="left" w:pos="709"/>
        </w:tabs>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Selon des estimations, 1,8 millions de personnes ont été nouvellement infectées par le VIH dans le monde en 2016, dont 160 000 enfants (&lt;15 ans). La majorité de ces enfants vivent en Afrique sub-saharienne et ont été infectés par leur mère séropositive au cours de la grossesse,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accouchement ou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allaitement.</w:t>
      </w:r>
    </w:p>
    <w:p w:rsidR="00943434" w:rsidRPr="00C73365" w:rsidRDefault="00943434" w:rsidP="00434C49">
      <w:pPr>
        <w:pStyle w:val="ListParagraph"/>
        <w:numPr>
          <w:ilvl w:val="0"/>
          <w:numId w:val="73"/>
        </w:numPr>
        <w:tabs>
          <w:tab w:val="left" w:pos="709"/>
        </w:tabs>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On dénombre 35 millions de décès liés au SIDA depuis les premiers cas signalés en 1981.</w:t>
      </w:r>
    </w:p>
    <w:p w:rsidR="00943434" w:rsidRPr="00C73365" w:rsidRDefault="00943434" w:rsidP="00434C49">
      <w:pPr>
        <w:pStyle w:val="ListParagraph"/>
        <w:numPr>
          <w:ilvl w:val="0"/>
          <w:numId w:val="73"/>
        </w:numPr>
        <w:tabs>
          <w:tab w:val="left" w:pos="709"/>
        </w:tabs>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1 million de personnes sont décédées de causes liées au SIDA en 2016.</w:t>
      </w:r>
    </w:p>
    <w:p w:rsidR="00943434" w:rsidRPr="00C73365" w:rsidRDefault="00943434" w:rsidP="00943434">
      <w:pPr>
        <w:spacing w:line="240" w:lineRule="atLeast"/>
        <w:rPr>
          <w:rFonts w:asciiTheme="minorHAnsi" w:hAnsiTheme="minorHAnsi" w:cstheme="minorHAnsi"/>
          <w:szCs w:val="20"/>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Malgré les avancées scientifiques et les connaissances sur le VIH, l’amélioration de la prévention et des traitements ainsi que des années d</w:t>
      </w:r>
      <w:r w:rsidR="004572A0" w:rsidRPr="00C73365">
        <w:rPr>
          <w:rFonts w:asciiTheme="minorHAnsi" w:hAnsiTheme="minorHAnsi" w:cstheme="minorHAnsi"/>
          <w:lang w:val="fr-FR"/>
        </w:rPr>
        <w:t>’</w:t>
      </w:r>
      <w:r w:rsidRPr="00C73365">
        <w:rPr>
          <w:rFonts w:asciiTheme="minorHAnsi" w:hAnsiTheme="minorHAnsi" w:cstheme="minorHAnsi"/>
          <w:lang w:val="fr-FR"/>
        </w:rPr>
        <w:t>efforts de la communauté sanitaire mondiale, des grands organismes gouvernementaux et de la société civile, la majorité des personnes vivant avec le VIH ou risquant de le contracter n</w:t>
      </w:r>
      <w:r w:rsidR="004572A0" w:rsidRPr="00C73365">
        <w:rPr>
          <w:rFonts w:asciiTheme="minorHAnsi" w:hAnsiTheme="minorHAnsi" w:cstheme="minorHAnsi"/>
          <w:lang w:val="fr-FR"/>
        </w:rPr>
        <w:t>’</w:t>
      </w:r>
      <w:r w:rsidRPr="00C73365">
        <w:rPr>
          <w:rFonts w:asciiTheme="minorHAnsi" w:hAnsiTheme="minorHAnsi" w:cstheme="minorHAnsi"/>
          <w:lang w:val="fr-FR"/>
        </w:rPr>
        <w:t>ont aucun accès à la prévention, aux soins ou aux traitements. Seuls 53% des malades ont accès à des traitements anti-viraux</w:t>
      </w:r>
      <w:r w:rsidR="00480CE7">
        <w:rPr>
          <w:rFonts w:asciiTheme="minorHAnsi" w:hAnsiTheme="minorHAnsi" w:cstheme="minorHAnsi"/>
          <w:vertAlign w:val="superscript"/>
          <w:lang w:val="fr-FR"/>
        </w:rPr>
        <w:t>5</w:t>
      </w:r>
      <w:r w:rsidR="00480CE7" w:rsidRPr="00C73365">
        <w:rPr>
          <w:rFonts w:asciiTheme="minorHAnsi" w:hAnsiTheme="minorHAnsi" w:cstheme="minorHAnsi"/>
          <w:vertAlign w:val="superscript"/>
          <w:lang w:val="fr-FR"/>
        </w:rPr>
        <w:t xml:space="preserve"> </w:t>
      </w:r>
      <w:r w:rsidR="00CF1121">
        <w:rPr>
          <w:rFonts w:asciiTheme="minorHAnsi" w:hAnsiTheme="minorHAnsi" w:cstheme="minorHAnsi"/>
          <w:vertAlign w:val="superscript"/>
          <w:lang w:val="fr-FR"/>
        </w:rPr>
        <w:t xml:space="preserve"> </w:t>
      </w:r>
      <w:r w:rsidR="00CF1121">
        <w:rPr>
          <w:rFonts w:asciiTheme="minorHAnsi" w:hAnsiTheme="minorHAnsi" w:cstheme="minorHAnsi"/>
          <w:lang w:val="fr-FR"/>
        </w:rPr>
        <w:t>(</w:t>
      </w:r>
      <w:r w:rsidRPr="00C73365">
        <w:rPr>
          <w:rFonts w:asciiTheme="minorHAnsi" w:hAnsiTheme="minorHAnsi" w:cstheme="minorHAnsi"/>
          <w:lang w:val="fr-FR"/>
        </w:rPr>
        <w:t xml:space="preserve">TAR). </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La très grande majorité des personnes vivant avec le VIH se trouvent dans des pays à faible et moyen revenu. L</w:t>
      </w:r>
      <w:r w:rsidR="004572A0" w:rsidRPr="00C73365">
        <w:rPr>
          <w:rFonts w:asciiTheme="minorHAnsi" w:hAnsiTheme="minorHAnsi" w:cstheme="minorHAnsi"/>
          <w:lang w:val="fr-FR"/>
        </w:rPr>
        <w:t>’</w:t>
      </w:r>
      <w:r w:rsidRPr="00C73365">
        <w:rPr>
          <w:rFonts w:asciiTheme="minorHAnsi" w:hAnsiTheme="minorHAnsi" w:cstheme="minorHAnsi"/>
          <w:lang w:val="fr-FR"/>
        </w:rPr>
        <w:t>Afrique sub-saharienne est la zone la plus touch</w:t>
      </w:r>
      <w:r w:rsidRPr="002B0D0F">
        <w:rPr>
          <w:rFonts w:asciiTheme="minorHAnsi" w:hAnsiTheme="minorHAnsi" w:cstheme="minorHAnsi"/>
          <w:lang w:val="fr-FR"/>
        </w:rPr>
        <w:t>ée, avec 25,5 millions de séropositifs en 2016, soit 70% de la population séropositive mondiale</w:t>
      </w:r>
      <w:r w:rsidR="00860311" w:rsidRPr="002B0D0F">
        <w:rPr>
          <w:rFonts w:asciiTheme="minorHAnsi" w:hAnsiTheme="minorHAnsi" w:cstheme="minorHAnsi"/>
          <w:vertAlign w:val="superscript"/>
          <w:lang w:val="fr-FR"/>
        </w:rPr>
        <w:t>6</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 xml:space="preserve">En Europe et aux Etats-Unis, on estime à fin 2016 à 2,1 million le nombre d’individus infectés dont </w:t>
      </w:r>
      <w:r w:rsidR="00713CB6">
        <w:rPr>
          <w:rFonts w:asciiTheme="minorHAnsi" w:hAnsiTheme="minorHAnsi" w:cstheme="minorHAnsi"/>
          <w:lang w:val="fr-FR"/>
        </w:rPr>
        <w:t>[</w:t>
      </w:r>
      <w:r w:rsidRPr="00C73365">
        <w:rPr>
          <w:rFonts w:asciiTheme="minorHAnsi" w:hAnsiTheme="minorHAnsi" w:cstheme="minorHAnsi"/>
          <w:lang w:val="fr-FR"/>
        </w:rPr>
        <w:t>58 % sont traités</w:t>
      </w:r>
      <w:r w:rsidR="00860311">
        <w:rPr>
          <w:rStyle w:val="FootnoteReference"/>
          <w:rFonts w:asciiTheme="minorHAnsi" w:hAnsiTheme="minorHAnsi"/>
          <w:lang w:val="fr-FR"/>
        </w:rPr>
        <w:footnoteReference w:id="6"/>
      </w:r>
      <w:r w:rsidR="00713CB6">
        <w:rPr>
          <w:rFonts w:asciiTheme="minorHAnsi" w:hAnsiTheme="minorHAnsi" w:cstheme="minorHAnsi"/>
          <w:lang w:val="fr-FR"/>
        </w:rPr>
        <w:t>].</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De nouvelles initiatives mondiales ont été développées pour combattre cette épidémie, en particulier au cours de la dernière décennie. La prévention a permis de réduire les taux de prévalence du VIH dans un nombre encore limité, mais grandissant de pays, et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on considère que les nouvelles infections par le VIH sont en baisse. Malgré ces améliorations, le nombre de séropositifs traités dans les pays pauvres a augmenté de manière significative ces dix dernières années. </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Bien que les thérapies antirétrovirales les plus modernes soient efficaces et permettent de maintenir les patients en vie, elles ne les guérissent pas de leur maladie.</w:t>
      </w:r>
    </w:p>
    <w:p w:rsidR="00943434" w:rsidRPr="00C73365" w:rsidRDefault="00943434" w:rsidP="00943434">
      <w:pPr>
        <w:pStyle w:val="ListParagraph"/>
        <w:numPr>
          <w:ilvl w:val="3"/>
          <w:numId w:val="9"/>
        </w:numPr>
        <w:spacing w:after="0"/>
        <w:outlineLvl w:val="2"/>
        <w:rPr>
          <w:rFonts w:asciiTheme="minorHAnsi" w:hAnsiTheme="minorHAnsi" w:cstheme="minorHAnsi"/>
          <w:b/>
          <w:szCs w:val="20"/>
          <w:lang w:val="fr-FR"/>
        </w:rPr>
      </w:pPr>
      <w:bookmarkStart w:id="288" w:name="_Toc408918385"/>
      <w:bookmarkStart w:id="289" w:name="_Toc409537466"/>
      <w:r w:rsidRPr="00C73365">
        <w:rPr>
          <w:rFonts w:asciiTheme="minorHAnsi" w:hAnsiTheme="minorHAnsi" w:cstheme="minorHAnsi"/>
          <w:lang w:val="fr-FR"/>
        </w:rPr>
        <w:t>Options thérapeutiques contre le VIH</w:t>
      </w:r>
      <w:bookmarkEnd w:id="288"/>
      <w:bookmarkEnd w:id="289"/>
    </w:p>
    <w:p w:rsidR="00943434" w:rsidRPr="00C73365" w:rsidRDefault="00943434" w:rsidP="00943434">
      <w:pPr>
        <w:spacing w:line="240" w:lineRule="atLeast"/>
        <w:rPr>
          <w:rFonts w:asciiTheme="minorHAnsi" w:hAnsiTheme="minorHAnsi" w:cstheme="minorHAnsi"/>
          <w:szCs w:val="20"/>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Six classes d</w:t>
      </w:r>
      <w:r w:rsidR="004572A0" w:rsidRPr="00C73365">
        <w:rPr>
          <w:rFonts w:asciiTheme="minorHAnsi" w:hAnsiTheme="minorHAnsi" w:cstheme="minorHAnsi"/>
          <w:lang w:val="fr-FR"/>
        </w:rPr>
        <w:t>’</w:t>
      </w:r>
      <w:r w:rsidRPr="00C73365">
        <w:rPr>
          <w:rFonts w:asciiTheme="minorHAnsi" w:hAnsiTheme="minorHAnsi" w:cstheme="minorHAnsi"/>
          <w:lang w:val="fr-FR"/>
        </w:rPr>
        <w:t>antiviraux et plus de 30 produits antirétroviraux (ARV) ont été lancés depuis la mise sur le marché de la première molécule, la zidovudine (ViiVs Retrovir, ZDV), un inhibiteur nucléosidique de la transcriptase inverse (NRTI), en 1987. Chaque classe de médicament s</w:t>
      </w:r>
      <w:r w:rsidR="004572A0" w:rsidRPr="00C73365">
        <w:rPr>
          <w:rFonts w:asciiTheme="minorHAnsi" w:hAnsiTheme="minorHAnsi" w:cstheme="minorHAnsi"/>
          <w:lang w:val="fr-FR"/>
        </w:rPr>
        <w:t>’</w:t>
      </w:r>
      <w:r w:rsidRPr="00C73365">
        <w:rPr>
          <w:rFonts w:asciiTheme="minorHAnsi" w:hAnsiTheme="minorHAnsi" w:cstheme="minorHAnsi"/>
          <w:lang w:val="fr-FR"/>
        </w:rPr>
        <w:t>attaque au virus au travers d</w:t>
      </w:r>
      <w:r w:rsidR="004572A0" w:rsidRPr="00C73365">
        <w:rPr>
          <w:rFonts w:asciiTheme="minorHAnsi" w:hAnsiTheme="minorHAnsi" w:cstheme="minorHAnsi"/>
          <w:lang w:val="fr-FR"/>
        </w:rPr>
        <w:t>’</w:t>
      </w:r>
      <w:r w:rsidRPr="00C73365">
        <w:rPr>
          <w:rFonts w:asciiTheme="minorHAnsi" w:hAnsiTheme="minorHAnsi" w:cstheme="minorHAnsi"/>
          <w:lang w:val="fr-FR"/>
        </w:rPr>
        <w:t>un mode d</w:t>
      </w:r>
      <w:r w:rsidR="004572A0" w:rsidRPr="00C73365">
        <w:rPr>
          <w:rFonts w:asciiTheme="minorHAnsi" w:hAnsiTheme="minorHAnsi" w:cstheme="minorHAnsi"/>
          <w:lang w:val="fr-FR"/>
        </w:rPr>
        <w:t>’</w:t>
      </w:r>
      <w:r w:rsidRPr="00C73365">
        <w:rPr>
          <w:rFonts w:asciiTheme="minorHAnsi" w:hAnsiTheme="minorHAnsi" w:cstheme="minorHAnsi"/>
          <w:lang w:val="fr-FR"/>
        </w:rPr>
        <w:t>action différent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b/>
          <w:szCs w:val="20"/>
          <w:lang w:val="fr-FR"/>
        </w:rPr>
        <w:t>les</w:t>
      </w:r>
      <w:r w:rsidRPr="00C73365">
        <w:rPr>
          <w:rFonts w:asciiTheme="minorHAnsi" w:hAnsiTheme="minorHAnsi" w:cstheme="minorHAnsi"/>
          <w:szCs w:val="20"/>
          <w:lang w:val="fr-FR"/>
        </w:rPr>
        <w:t xml:space="preserve"> </w:t>
      </w:r>
      <w:r w:rsidRPr="00C73365">
        <w:rPr>
          <w:rFonts w:asciiTheme="minorHAnsi" w:hAnsiTheme="minorHAnsi" w:cstheme="minorHAnsi"/>
          <w:b/>
          <w:szCs w:val="20"/>
          <w:lang w:val="fr-FR"/>
        </w:rPr>
        <w:t>inhibiteurs nucléosidiques de la transcriptase inverse (NRTI)</w:t>
      </w:r>
      <w:r w:rsidRPr="00C73365">
        <w:rPr>
          <w:rFonts w:asciiTheme="minorHAnsi" w:hAnsiTheme="minorHAnsi" w:cstheme="minorHAnsi"/>
          <w:szCs w:val="20"/>
          <w:lang w:val="fr-FR"/>
        </w:rPr>
        <w:t xml:space="preserve"> inhibent la transcription inverse en servant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inhibiteurs de substrat de façon compétitive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b/>
          <w:szCs w:val="20"/>
          <w:lang w:val="fr-FR"/>
        </w:rPr>
        <w:lastRenderedPageBreak/>
        <w:t>les inhibiteurs de la transcriptase inverse non-nucléosidiques (NNRTI)</w:t>
      </w:r>
      <w:r w:rsidRPr="00C73365">
        <w:rPr>
          <w:rFonts w:asciiTheme="minorHAnsi" w:hAnsiTheme="minorHAnsi" w:cstheme="minorHAnsi"/>
          <w:szCs w:val="20"/>
          <w:lang w:val="fr-FR"/>
        </w:rPr>
        <w:t xml:space="preserve"> inhibent la transcriptase inverse au travers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 mécanisme différent, en se liant directement à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enzyme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b/>
          <w:szCs w:val="20"/>
          <w:lang w:val="fr-FR"/>
        </w:rPr>
        <w:t>les inhibiteurs de protéase (IP)</w:t>
      </w:r>
      <w:r w:rsidRPr="00C73365">
        <w:rPr>
          <w:rFonts w:asciiTheme="minorHAnsi" w:hAnsiTheme="minorHAnsi" w:cstheme="minorHAnsi"/>
          <w:szCs w:val="20"/>
          <w:lang w:val="fr-FR"/>
        </w:rPr>
        <w:t xml:space="preserve"> bloquent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enzyme de la protéase virale nécessaire à la production de virions matures lors de leur émergence de la membrane hôte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b/>
          <w:szCs w:val="20"/>
          <w:lang w:val="fr-FR"/>
        </w:rPr>
        <w:t>les inhibiteurs de fusion (IF)</w:t>
      </w:r>
      <w:r w:rsidRPr="00C73365">
        <w:rPr>
          <w:rFonts w:asciiTheme="minorHAnsi" w:hAnsiTheme="minorHAnsi" w:cstheme="minorHAnsi"/>
          <w:szCs w:val="20"/>
          <w:lang w:val="fr-FR"/>
        </w:rPr>
        <w:t xml:space="preserve"> interfèrent avec la liaison, la fusion et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entrée du VIH en bloquant une ou plusieurs cibles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b/>
          <w:szCs w:val="20"/>
          <w:lang w:val="fr-FR"/>
        </w:rPr>
        <w:t>les inhibiteurs de l</w:t>
      </w:r>
      <w:r w:rsidR="004572A0" w:rsidRPr="00C73365">
        <w:rPr>
          <w:rFonts w:asciiTheme="minorHAnsi" w:hAnsiTheme="minorHAnsi" w:cstheme="minorHAnsi"/>
          <w:b/>
          <w:szCs w:val="20"/>
          <w:lang w:val="fr-FR"/>
        </w:rPr>
        <w:t>’</w:t>
      </w:r>
      <w:r w:rsidRPr="00C73365">
        <w:rPr>
          <w:rFonts w:asciiTheme="minorHAnsi" w:hAnsiTheme="minorHAnsi" w:cstheme="minorHAnsi"/>
          <w:b/>
          <w:szCs w:val="20"/>
          <w:lang w:val="fr-FR"/>
        </w:rPr>
        <w:t>intégrase (INSTI)</w:t>
      </w:r>
      <w:r w:rsidRPr="00C73365">
        <w:rPr>
          <w:rFonts w:asciiTheme="minorHAnsi" w:hAnsiTheme="minorHAnsi" w:cstheme="minorHAnsi"/>
          <w:szCs w:val="20"/>
          <w:lang w:val="fr-FR"/>
        </w:rPr>
        <w:t xml:space="preserve"> inhibent l’intégrase, une enzyme virale responsable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intégration de la copie ADN du génome ARN viral sur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ADN de la cellule infectée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b/>
          <w:szCs w:val="20"/>
          <w:lang w:val="fr-FR"/>
        </w:rPr>
        <w:t>les antagonistes du récepteur CCR</w:t>
      </w:r>
      <w:r w:rsidRPr="00C73365">
        <w:rPr>
          <w:rFonts w:asciiTheme="minorHAnsi" w:hAnsiTheme="minorHAnsi" w:cstheme="minorHAnsi"/>
          <w:szCs w:val="20"/>
          <w:lang w:val="fr-FR"/>
        </w:rPr>
        <w:t xml:space="preserve"> empêchent le VIH-1 de pénétrer et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infecter les cellules immunitaires en bloquant le récepteur transmembranaire (le VIH pénètre des cellules hôtes dans le sang en se fixant sur des récepteurs se trouvant à la surface des cellules CD4+).</w:t>
      </w:r>
    </w:p>
    <w:p w:rsidR="00943434" w:rsidRPr="00C73365" w:rsidRDefault="00943434" w:rsidP="00943434">
      <w:pPr>
        <w:spacing w:line="240" w:lineRule="atLeast"/>
        <w:rPr>
          <w:rFonts w:asciiTheme="minorHAnsi" w:hAnsiTheme="minorHAnsi" w:cstheme="minorHAnsi"/>
          <w:szCs w:val="20"/>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La thérapie antirétrovirale (TAR), qui s</w:t>
      </w:r>
      <w:r w:rsidR="004572A0" w:rsidRPr="00C73365">
        <w:rPr>
          <w:rFonts w:asciiTheme="minorHAnsi" w:hAnsiTheme="minorHAnsi" w:cstheme="minorHAnsi"/>
          <w:lang w:val="fr-FR"/>
        </w:rPr>
        <w:t>’</w:t>
      </w:r>
      <w:r w:rsidRPr="00C73365">
        <w:rPr>
          <w:rFonts w:asciiTheme="minorHAnsi" w:hAnsiTheme="minorHAnsi" w:cstheme="minorHAnsi"/>
          <w:lang w:val="fr-FR"/>
        </w:rPr>
        <w:t>appuie sur l</w:t>
      </w:r>
      <w:r w:rsidR="004572A0" w:rsidRPr="00C73365">
        <w:rPr>
          <w:rFonts w:asciiTheme="minorHAnsi" w:hAnsiTheme="minorHAnsi" w:cstheme="minorHAnsi"/>
          <w:lang w:val="fr-FR"/>
        </w:rPr>
        <w:t>’</w:t>
      </w:r>
      <w:r w:rsidRPr="00C73365">
        <w:rPr>
          <w:rFonts w:asciiTheme="minorHAnsi" w:hAnsiTheme="minorHAnsi" w:cstheme="minorHAnsi"/>
          <w:lang w:val="fr-FR"/>
        </w:rPr>
        <w:t>association d’inhibiteurs de protéase (IP) et d’inhibiteurs de transcriptase inverse (NNRTI), a fait évoluer de manière très positive le diagnostic de l</w:t>
      </w:r>
      <w:r w:rsidR="004572A0" w:rsidRPr="00C73365">
        <w:rPr>
          <w:rFonts w:asciiTheme="minorHAnsi" w:hAnsiTheme="minorHAnsi" w:cstheme="minorHAnsi"/>
          <w:lang w:val="fr-FR"/>
        </w:rPr>
        <w:t>’</w:t>
      </w:r>
      <w:r w:rsidRPr="00C73365">
        <w:rPr>
          <w:rFonts w:asciiTheme="minorHAnsi" w:hAnsiTheme="minorHAnsi" w:cstheme="minorHAnsi"/>
          <w:lang w:val="fr-FR"/>
        </w:rPr>
        <w:t>infection au VIH.  En conséquence, le VIH est désormais considéré comme une maladie chronique dans les pays développés. L</w:t>
      </w:r>
      <w:r w:rsidR="004572A0" w:rsidRPr="00C73365">
        <w:rPr>
          <w:rFonts w:asciiTheme="minorHAnsi" w:hAnsiTheme="minorHAnsi" w:cstheme="minorHAnsi"/>
          <w:lang w:val="fr-FR"/>
        </w:rPr>
        <w:t>’</w:t>
      </w:r>
      <w:r w:rsidRPr="00C73365">
        <w:rPr>
          <w:rFonts w:asciiTheme="minorHAnsi" w:hAnsiTheme="minorHAnsi" w:cstheme="minorHAnsi"/>
          <w:lang w:val="fr-FR"/>
        </w:rPr>
        <w:t>accès à la TAR pose cependant toujours problème dans les pays en voie de développement.</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A l</w:t>
      </w:r>
      <w:r w:rsidR="004572A0" w:rsidRPr="00C73365">
        <w:rPr>
          <w:rFonts w:asciiTheme="minorHAnsi" w:hAnsiTheme="minorHAnsi" w:cstheme="minorHAnsi"/>
          <w:lang w:val="fr-FR"/>
        </w:rPr>
        <w:t>’</w:t>
      </w:r>
      <w:r w:rsidRPr="00C73365">
        <w:rPr>
          <w:rFonts w:asciiTheme="minorHAnsi" w:hAnsiTheme="minorHAnsi" w:cstheme="minorHAnsi"/>
          <w:lang w:val="fr-FR"/>
        </w:rPr>
        <w:t>heure actuelle, le traitement du VIH s</w:t>
      </w:r>
      <w:r w:rsidR="004572A0" w:rsidRPr="00C73365">
        <w:rPr>
          <w:rFonts w:asciiTheme="minorHAnsi" w:hAnsiTheme="minorHAnsi" w:cstheme="minorHAnsi"/>
          <w:lang w:val="fr-FR"/>
        </w:rPr>
        <w:t>’</w:t>
      </w:r>
      <w:r w:rsidRPr="00C73365">
        <w:rPr>
          <w:rFonts w:asciiTheme="minorHAnsi" w:hAnsiTheme="minorHAnsi" w:cstheme="minorHAnsi"/>
          <w:lang w:val="fr-FR"/>
        </w:rPr>
        <w:t>appuie sur des régimes posologiques comportant généralement au moins deux classes thérapeutiques et un minimum de trois agents antirétroviraux (ARV). Le régime initial standard comprend un NNRTI ou un IP renforcé de Ritonavir en association avec deux NRTI. La possibilité de disposer de plusieurs classes de médicaments permet de mieux adapter ces associations thérapeutiques au rythme de vie des patients, à leur éventuelle résistance aux médicaments et à leur état de santé. Il n</w:t>
      </w:r>
      <w:r w:rsidR="004572A0" w:rsidRPr="00C73365">
        <w:rPr>
          <w:rFonts w:asciiTheme="minorHAnsi" w:hAnsiTheme="minorHAnsi" w:cstheme="minorHAnsi"/>
          <w:lang w:val="fr-FR"/>
        </w:rPr>
        <w:t>’</w:t>
      </w:r>
      <w:r w:rsidRPr="00C73365">
        <w:rPr>
          <w:rFonts w:asciiTheme="minorHAnsi" w:hAnsiTheme="minorHAnsi" w:cstheme="minorHAnsi"/>
          <w:lang w:val="fr-FR"/>
        </w:rPr>
        <w:t>existe cependant pas de remède contre l</w:t>
      </w:r>
      <w:r w:rsidR="004572A0" w:rsidRPr="00C73365">
        <w:rPr>
          <w:rFonts w:asciiTheme="minorHAnsi" w:hAnsiTheme="minorHAnsi" w:cstheme="minorHAnsi"/>
          <w:lang w:val="fr-FR"/>
        </w:rPr>
        <w:t>’</w:t>
      </w:r>
      <w:r w:rsidRPr="00C73365">
        <w:rPr>
          <w:rFonts w:asciiTheme="minorHAnsi" w:hAnsiTheme="minorHAnsi" w:cstheme="minorHAnsi"/>
          <w:lang w:val="fr-FR"/>
        </w:rPr>
        <w:t>infection par le VIH, même si des traitements par antirétroviraux sont efficaces et permettent de contrôler le virus.</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Les TAR actuelles présentent également certaines limites, car, bien qu</w:t>
      </w:r>
      <w:r w:rsidR="004572A0" w:rsidRPr="00C73365">
        <w:rPr>
          <w:rFonts w:asciiTheme="minorHAnsi" w:hAnsiTheme="minorHAnsi" w:cstheme="minorHAnsi"/>
          <w:lang w:val="fr-FR"/>
        </w:rPr>
        <w:t>’</w:t>
      </w:r>
      <w:r w:rsidRPr="00C73365">
        <w:rPr>
          <w:rFonts w:asciiTheme="minorHAnsi" w:hAnsiTheme="minorHAnsi" w:cstheme="minorHAnsi"/>
          <w:lang w:val="fr-FR"/>
        </w:rPr>
        <w:t>efficaces pour réduire la charge virale, elles ne présentent pas d</w:t>
      </w:r>
      <w:r w:rsidR="004572A0" w:rsidRPr="00C73365">
        <w:rPr>
          <w:rFonts w:asciiTheme="minorHAnsi" w:hAnsiTheme="minorHAnsi" w:cstheme="minorHAnsi"/>
          <w:lang w:val="fr-FR"/>
        </w:rPr>
        <w:t>’</w:t>
      </w:r>
      <w:r w:rsidRPr="00C73365">
        <w:rPr>
          <w:rFonts w:asciiTheme="minorHAnsi" w:hAnsiTheme="minorHAnsi" w:cstheme="minorHAnsi"/>
          <w:lang w:val="fr-FR"/>
        </w:rPr>
        <w:t>efficacité à long terme, sont contraignantes pour les patients en raison de leur prise quotidienne et induisent un rebond de la charge virale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 En effet, l’existence de réservoirs viraux, déjà bien documentée, permet au virus de se « cacher » et de se réactiver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 Aucune des thérapies actuelles n</w:t>
      </w:r>
      <w:r w:rsidR="004572A0" w:rsidRPr="00C73365">
        <w:rPr>
          <w:rFonts w:asciiTheme="minorHAnsi" w:hAnsiTheme="minorHAnsi" w:cstheme="minorHAnsi"/>
          <w:lang w:val="fr-FR"/>
        </w:rPr>
        <w:t>’</w:t>
      </w:r>
      <w:r w:rsidRPr="00C73365">
        <w:rPr>
          <w:rFonts w:asciiTheme="minorHAnsi" w:hAnsiTheme="minorHAnsi" w:cstheme="minorHAnsi"/>
          <w:lang w:val="fr-FR"/>
        </w:rPr>
        <w:t>est en mesure de cibler le virus dans ces réservoirs.</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Ainsi, l</w:t>
      </w:r>
      <w:r w:rsidR="004572A0" w:rsidRPr="00C73365">
        <w:rPr>
          <w:rFonts w:asciiTheme="minorHAnsi" w:hAnsiTheme="minorHAnsi" w:cstheme="minorHAnsi"/>
          <w:lang w:val="fr-FR"/>
        </w:rPr>
        <w:t>’</w:t>
      </w:r>
      <w:r w:rsidRPr="00C73365">
        <w:rPr>
          <w:rFonts w:asciiTheme="minorHAnsi" w:hAnsiTheme="minorHAnsi" w:cstheme="minorHAnsi"/>
          <w:lang w:val="fr-FR"/>
        </w:rPr>
        <w:t>utilisation à long terme des TAR est-elle limitée par des problèmes de résistance aux médicaments et par leurs effets secondaires. Par exemple, une résistance à de nouvelles classes thérapeutiques contre le VIH/SIDA, comme le Raltegravir® (inhibiteur de l</w:t>
      </w:r>
      <w:r w:rsidR="004572A0" w:rsidRPr="00C73365">
        <w:rPr>
          <w:rFonts w:asciiTheme="minorHAnsi" w:hAnsiTheme="minorHAnsi" w:cstheme="minorHAnsi"/>
          <w:lang w:val="fr-FR"/>
        </w:rPr>
        <w:t>’</w:t>
      </w:r>
      <w:r w:rsidRPr="00C73365">
        <w:rPr>
          <w:rFonts w:asciiTheme="minorHAnsi" w:hAnsiTheme="minorHAnsi" w:cstheme="minorHAnsi"/>
          <w:lang w:val="fr-FR"/>
        </w:rPr>
        <w:t>intégrase) ou l</w:t>
      </w:r>
      <w:r w:rsidR="004572A0" w:rsidRPr="00C73365">
        <w:rPr>
          <w:rFonts w:asciiTheme="minorHAnsi" w:hAnsiTheme="minorHAnsi" w:cstheme="minorHAnsi"/>
          <w:lang w:val="fr-FR"/>
        </w:rPr>
        <w:t>’</w:t>
      </w:r>
      <w:r w:rsidRPr="00C73365">
        <w:rPr>
          <w:rFonts w:asciiTheme="minorHAnsi" w:hAnsiTheme="minorHAnsi" w:cstheme="minorHAnsi"/>
          <w:lang w:val="fr-FR"/>
        </w:rPr>
        <w:t>Enfuvirtide® (inhibiteur de fusion), a déjà été observée</w:t>
      </w:r>
      <w:r w:rsidRPr="00C73365">
        <w:rPr>
          <w:rStyle w:val="FootnoteReference"/>
          <w:rFonts w:asciiTheme="minorHAnsi" w:eastAsia="SimSun" w:hAnsiTheme="minorHAnsi" w:cstheme="minorHAnsi"/>
          <w:lang w:val="fr-FR"/>
        </w:rPr>
        <w:footnoteReference w:id="7"/>
      </w:r>
      <w:r w:rsidRPr="00C73365">
        <w:rPr>
          <w:rFonts w:asciiTheme="minorHAnsi" w:hAnsiTheme="minorHAnsi" w:cstheme="minorHAnsi"/>
          <w:lang w:val="fr-FR"/>
        </w:rPr>
        <w:t xml:space="preserve">. </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Il existe donc un besoin continu pour de nouveaux produits, en particulier des médicaments mettant en œuvre un mode d</w:t>
      </w:r>
      <w:r w:rsidR="004572A0" w:rsidRPr="00C73365">
        <w:rPr>
          <w:rFonts w:asciiTheme="minorHAnsi" w:hAnsiTheme="minorHAnsi" w:cstheme="minorHAnsi"/>
          <w:lang w:val="fr-FR"/>
        </w:rPr>
        <w:t>’</w:t>
      </w:r>
      <w:r w:rsidRPr="00C73365">
        <w:rPr>
          <w:rFonts w:asciiTheme="minorHAnsi" w:hAnsiTheme="minorHAnsi" w:cstheme="minorHAnsi"/>
          <w:lang w:val="fr-FR"/>
        </w:rPr>
        <w:t>action nouveau et jusqu</w:t>
      </w:r>
      <w:r w:rsidR="004572A0" w:rsidRPr="00C73365">
        <w:rPr>
          <w:rFonts w:asciiTheme="minorHAnsi" w:hAnsiTheme="minorHAnsi" w:cstheme="minorHAnsi"/>
          <w:lang w:val="fr-FR"/>
        </w:rPr>
        <w:t>’</w:t>
      </w:r>
      <w:r w:rsidRPr="00C73365">
        <w:rPr>
          <w:rFonts w:asciiTheme="minorHAnsi" w:hAnsiTheme="minorHAnsi" w:cstheme="minorHAnsi"/>
          <w:lang w:val="fr-FR"/>
        </w:rPr>
        <w:t>ici inexploré, afin d</w:t>
      </w:r>
      <w:r w:rsidR="004572A0" w:rsidRPr="00C73365">
        <w:rPr>
          <w:rFonts w:asciiTheme="minorHAnsi" w:hAnsiTheme="minorHAnsi" w:cstheme="minorHAnsi"/>
          <w:lang w:val="fr-FR"/>
        </w:rPr>
        <w:t>’</w:t>
      </w:r>
      <w:r w:rsidRPr="00C73365">
        <w:rPr>
          <w:rFonts w:asciiTheme="minorHAnsi" w:hAnsiTheme="minorHAnsi" w:cstheme="minorHAnsi"/>
          <w:lang w:val="fr-FR"/>
        </w:rPr>
        <w:t>obtenir une efficacité à long terme et tendre vers un remède à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infection par le VIH. </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 xml:space="preserve">Bien que les traitements antiviraux soient en mesure de contrôler le virus et de contenir la maladie, un certain nombre de problèmes cruciaux restent sans solution, notamment :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b/>
          <w:szCs w:val="20"/>
          <w:lang w:val="fr-FR"/>
        </w:rPr>
      </w:pPr>
      <w:r w:rsidRPr="00C73365">
        <w:rPr>
          <w:rFonts w:asciiTheme="minorHAnsi" w:hAnsiTheme="minorHAnsi" w:cstheme="minorHAnsi"/>
          <w:b/>
          <w:szCs w:val="20"/>
          <w:lang w:val="fr-FR"/>
        </w:rPr>
        <w:t>l</w:t>
      </w:r>
      <w:r w:rsidR="004572A0" w:rsidRPr="00C73365">
        <w:rPr>
          <w:rFonts w:asciiTheme="minorHAnsi" w:hAnsiTheme="minorHAnsi" w:cstheme="minorHAnsi"/>
          <w:b/>
          <w:szCs w:val="20"/>
          <w:lang w:val="fr-FR"/>
        </w:rPr>
        <w:t>’</w:t>
      </w:r>
      <w:r w:rsidRPr="00C73365">
        <w:rPr>
          <w:rFonts w:asciiTheme="minorHAnsi" w:hAnsiTheme="minorHAnsi" w:cstheme="minorHAnsi"/>
          <w:b/>
          <w:szCs w:val="20"/>
          <w:lang w:val="fr-FR"/>
        </w:rPr>
        <w:t>innocuité et la tolérance à long terme des thérapies actuelles :</w:t>
      </w:r>
    </w:p>
    <w:p w:rsidR="00943434" w:rsidRPr="00C73365" w:rsidRDefault="00943434" w:rsidP="00434C49">
      <w:pPr>
        <w:pStyle w:val="ListParagraph"/>
        <w:numPr>
          <w:ilvl w:val="0"/>
          <w:numId w:val="75"/>
        </w:numPr>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le besoin de traitements réduisant les effets secondaires à long-terme (néphrotoxicité) et minimisant les interactions médicamenteuses ;</w:t>
      </w:r>
    </w:p>
    <w:p w:rsidR="00943434" w:rsidRPr="00C73365" w:rsidRDefault="00943434" w:rsidP="00434C49">
      <w:pPr>
        <w:pStyle w:val="ListParagraph"/>
        <w:numPr>
          <w:ilvl w:val="0"/>
          <w:numId w:val="75"/>
        </w:numPr>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le besoin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une posologie plus pratique, qui réduirait le nombre de comprimés à prendre, un facteur essentiel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observance des patients. A ce titre, le lancement de régimes à comprimé unique (STR) constitue un progrès et ceux-ci devraient se vendre à un prix plus élevé ; cependant, les STR seront probablement réservés au traitement des stades avancés de la maladie, en raison de leur coût, et, en ce qui concerne certains produits, en raison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interrogations quant à leur tolérance</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b/>
          <w:szCs w:val="20"/>
          <w:lang w:val="fr-FR"/>
        </w:rPr>
      </w:pPr>
      <w:r w:rsidRPr="00C73365">
        <w:rPr>
          <w:rFonts w:asciiTheme="minorHAnsi" w:hAnsiTheme="minorHAnsi" w:cstheme="minorHAnsi"/>
          <w:b/>
          <w:szCs w:val="20"/>
          <w:lang w:val="fr-FR"/>
        </w:rPr>
        <w:t>l</w:t>
      </w:r>
      <w:r w:rsidR="004572A0" w:rsidRPr="00C73365">
        <w:rPr>
          <w:rFonts w:asciiTheme="minorHAnsi" w:hAnsiTheme="minorHAnsi" w:cstheme="minorHAnsi"/>
          <w:b/>
          <w:szCs w:val="20"/>
          <w:lang w:val="fr-FR"/>
        </w:rPr>
        <w:t>’</w:t>
      </w:r>
      <w:r w:rsidRPr="00C73365">
        <w:rPr>
          <w:rFonts w:asciiTheme="minorHAnsi" w:hAnsiTheme="minorHAnsi" w:cstheme="minorHAnsi"/>
          <w:b/>
          <w:szCs w:val="20"/>
          <w:lang w:val="fr-FR"/>
        </w:rPr>
        <w:t>émergence de souches de VIH très résistantes aux médicaments, ce qui renforce l</w:t>
      </w:r>
      <w:r w:rsidR="004572A0" w:rsidRPr="00C73365">
        <w:rPr>
          <w:rFonts w:asciiTheme="minorHAnsi" w:hAnsiTheme="minorHAnsi" w:cstheme="minorHAnsi"/>
          <w:b/>
          <w:szCs w:val="20"/>
          <w:lang w:val="fr-FR"/>
        </w:rPr>
        <w:t>’</w:t>
      </w:r>
      <w:r w:rsidRPr="00C73365">
        <w:rPr>
          <w:rFonts w:asciiTheme="minorHAnsi" w:hAnsiTheme="minorHAnsi" w:cstheme="minorHAnsi"/>
          <w:b/>
          <w:szCs w:val="20"/>
          <w:lang w:val="fr-FR"/>
        </w:rPr>
        <w:t>importance pour les cliniciens d</w:t>
      </w:r>
      <w:r w:rsidR="004572A0" w:rsidRPr="00C73365">
        <w:rPr>
          <w:rFonts w:asciiTheme="minorHAnsi" w:hAnsiTheme="minorHAnsi" w:cstheme="minorHAnsi"/>
          <w:b/>
          <w:szCs w:val="20"/>
          <w:lang w:val="fr-FR"/>
        </w:rPr>
        <w:t>’</w:t>
      </w:r>
      <w:r w:rsidRPr="00C73365">
        <w:rPr>
          <w:rFonts w:asciiTheme="minorHAnsi" w:hAnsiTheme="minorHAnsi" w:cstheme="minorHAnsi"/>
          <w:b/>
          <w:szCs w:val="20"/>
          <w:lang w:val="fr-FR"/>
        </w:rPr>
        <w:t>avoir accès à un large éventail de traitements contre le VIH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b/>
          <w:szCs w:val="20"/>
          <w:lang w:val="fr-FR"/>
        </w:rPr>
      </w:pPr>
      <w:r w:rsidRPr="00C73365">
        <w:rPr>
          <w:rFonts w:asciiTheme="minorHAnsi" w:hAnsiTheme="minorHAnsi" w:cstheme="minorHAnsi"/>
          <w:b/>
          <w:szCs w:val="20"/>
          <w:lang w:val="fr-FR"/>
        </w:rPr>
        <w:lastRenderedPageBreak/>
        <w:t>la nécessité de découvrir un médicament fonctionnel, qui assurerait une suppression virale à long terme ou qui permettrait des arrêts temporaires de traitement.</w:t>
      </w:r>
    </w:p>
    <w:p w:rsidR="00943434" w:rsidRPr="00C73365" w:rsidRDefault="00943434" w:rsidP="00943434">
      <w:pPr>
        <w:pStyle w:val="ListParagraph"/>
        <w:ind w:left="0"/>
        <w:rPr>
          <w:rFonts w:asciiTheme="minorHAnsi" w:hAnsiTheme="minorHAnsi" w:cstheme="minorHAnsi"/>
          <w:b/>
          <w:szCs w:val="20"/>
          <w:u w:val="single"/>
          <w:lang w:val="fr-FR"/>
        </w:rPr>
      </w:pPr>
    </w:p>
    <w:p w:rsidR="00943434" w:rsidRPr="00C73365" w:rsidRDefault="00943434" w:rsidP="00943434">
      <w:pPr>
        <w:pStyle w:val="ListParagraph"/>
        <w:numPr>
          <w:ilvl w:val="3"/>
          <w:numId w:val="9"/>
        </w:numPr>
        <w:spacing w:after="0"/>
        <w:outlineLvl w:val="2"/>
        <w:rPr>
          <w:rFonts w:asciiTheme="minorHAnsi" w:hAnsiTheme="minorHAnsi" w:cstheme="minorHAnsi"/>
          <w:lang w:val="fr-FR"/>
        </w:rPr>
      </w:pPr>
      <w:bookmarkStart w:id="290" w:name="_Toc408918386"/>
      <w:bookmarkStart w:id="291" w:name="_Toc409537467"/>
      <w:r w:rsidRPr="00C73365">
        <w:rPr>
          <w:rFonts w:asciiTheme="minorHAnsi" w:hAnsiTheme="minorHAnsi" w:cstheme="minorHAnsi"/>
          <w:lang w:val="fr-FR"/>
        </w:rPr>
        <w:t xml:space="preserve">Le marché des </w:t>
      </w:r>
      <w:bookmarkEnd w:id="290"/>
      <w:bookmarkEnd w:id="291"/>
      <w:r w:rsidRPr="00C73365">
        <w:rPr>
          <w:rFonts w:asciiTheme="minorHAnsi" w:hAnsiTheme="minorHAnsi" w:cstheme="minorHAnsi"/>
          <w:lang w:val="fr-FR"/>
        </w:rPr>
        <w:t>médicaments contre le VIH/SIDA</w:t>
      </w:r>
    </w:p>
    <w:p w:rsidR="00943434" w:rsidRPr="00C73365" w:rsidRDefault="00943434" w:rsidP="00943434">
      <w:pPr>
        <w:rPr>
          <w:rFonts w:asciiTheme="minorHAnsi" w:hAnsiTheme="minorHAnsi" w:cstheme="minorHAnsi"/>
          <w:szCs w:val="20"/>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Au total, le marché des médicaments contre le VIH s’élevait à 18 Mds$ en 2014</w:t>
      </w:r>
      <w:r w:rsidRPr="00C73365">
        <w:rPr>
          <w:rStyle w:val="FootnoteReference"/>
          <w:rFonts w:asciiTheme="minorHAnsi" w:eastAsia="SimSun" w:hAnsiTheme="minorHAnsi" w:cstheme="minorHAnsi"/>
          <w:lang w:val="fr-FR"/>
        </w:rPr>
        <w:footnoteReference w:id="8"/>
      </w:r>
      <w:r w:rsidRPr="00C73365">
        <w:rPr>
          <w:rFonts w:asciiTheme="minorHAnsi" w:hAnsiTheme="minorHAnsi" w:cstheme="minorHAnsi"/>
          <w:lang w:val="fr-FR"/>
        </w:rPr>
        <w:t xml:space="preserve"> et se situait aux alentours des 23,3 Mds$ en 2016.</w:t>
      </w:r>
    </w:p>
    <w:p w:rsidR="00943434" w:rsidRPr="00657220" w:rsidRDefault="00943434" w:rsidP="00657220">
      <w:pPr>
        <w:jc w:val="center"/>
        <w:rPr>
          <w:rFonts w:asciiTheme="minorHAnsi" w:hAnsiTheme="minorHAnsi" w:cstheme="minorHAnsi"/>
          <w:i/>
          <w:color w:val="7030A0"/>
          <w:szCs w:val="20"/>
        </w:rPr>
      </w:pPr>
      <w:r w:rsidRPr="00C73365">
        <w:rPr>
          <w:rFonts w:asciiTheme="minorHAnsi" w:hAnsiTheme="minorHAnsi" w:cstheme="minorHAnsi"/>
          <w:i/>
          <w:noProof/>
          <w:color w:val="7030A0"/>
          <w:szCs w:val="20"/>
          <w:lang w:val="fr-FR" w:eastAsia="fr-FR"/>
        </w:rPr>
        <w:drawing>
          <wp:inline distT="0" distB="0" distL="0" distR="0" wp14:anchorId="15F32875" wp14:editId="2C63D9A3">
            <wp:extent cx="5915385" cy="1987826"/>
            <wp:effectExtent l="0" t="0" r="3175"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3385" cy="1993875"/>
                    </a:xfrm>
                    <a:prstGeom prst="rect">
                      <a:avLst/>
                    </a:prstGeom>
                  </pic:spPr>
                </pic:pic>
              </a:graphicData>
            </a:graphic>
          </wp:inline>
        </w:drawing>
      </w:r>
      <w:r w:rsidRPr="00C73365">
        <w:rPr>
          <w:rFonts w:asciiTheme="minorHAnsi" w:hAnsiTheme="minorHAnsi" w:cstheme="minorHAnsi"/>
          <w:i/>
          <w:iCs/>
        </w:rPr>
        <w:t xml:space="preserve">Source: UNAIDS – 2017, </w:t>
      </w:r>
      <w:r w:rsidRPr="00C73365">
        <w:rPr>
          <w:rFonts w:asciiTheme="minorHAnsi" w:hAnsiTheme="minorHAnsi" w:cstheme="minorHAnsi"/>
          <w:i/>
        </w:rPr>
        <w:t xml:space="preserve">Global Data-2017, </w:t>
      </w:r>
      <w:r w:rsidR="00EF089C" w:rsidRPr="00C73365">
        <w:rPr>
          <w:rFonts w:asciiTheme="minorHAnsi" w:hAnsiTheme="minorHAnsi" w:cstheme="minorHAnsi"/>
          <w:i/>
        </w:rPr>
        <w:t>ABIVAX</w:t>
      </w:r>
      <w:r w:rsidRPr="00C73365">
        <w:rPr>
          <w:rFonts w:asciiTheme="minorHAnsi" w:hAnsiTheme="minorHAnsi" w:cstheme="minorHAnsi"/>
          <w:i/>
        </w:rPr>
        <w:t xml:space="preserve"> estimation</w:t>
      </w:r>
    </w:p>
    <w:p w:rsidR="00943434" w:rsidRDefault="00943434" w:rsidP="00434C49">
      <w:pPr>
        <w:pStyle w:val="ListParagraph"/>
        <w:numPr>
          <w:ilvl w:val="0"/>
          <w:numId w:val="76"/>
        </w:numPr>
        <w:spacing w:after="0"/>
        <w:contextualSpacing/>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Pays du G7 (Etats-Unis, EU5, Japon) :</w:t>
      </w:r>
    </w:p>
    <w:p w:rsidR="00D66373" w:rsidRPr="00C73365" w:rsidRDefault="00D66373" w:rsidP="00D66373">
      <w:pPr>
        <w:pStyle w:val="ListParagraph"/>
        <w:spacing w:after="0"/>
        <w:ind w:left="720"/>
        <w:contextualSpacing/>
        <w:rPr>
          <w:rFonts w:asciiTheme="minorHAnsi" w:hAnsiTheme="minorHAnsi" w:cstheme="minorHAnsi"/>
          <w:b/>
          <w:color w:val="7030A0"/>
          <w:szCs w:val="20"/>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Dans les pays du G7 (Etats-Unis, EU5, Japon), selon l’étude « </w:t>
      </w:r>
      <w:r w:rsidRPr="00C73365">
        <w:rPr>
          <w:rFonts w:asciiTheme="minorHAnsi" w:eastAsiaTheme="minorHAnsi" w:hAnsiTheme="minorHAnsi" w:cstheme="minorHAnsi"/>
          <w:color w:val="000000" w:themeColor="text1"/>
          <w:lang w:val="fr-FR"/>
        </w:rPr>
        <w:t>Human Immunodeficiency Virus - Disease Landscape &amp; Forecast »</w:t>
      </w:r>
      <w:r w:rsidRPr="00C73365">
        <w:rPr>
          <w:rFonts w:asciiTheme="minorHAnsi" w:hAnsiTheme="minorHAnsi" w:cstheme="minorHAnsi"/>
          <w:lang w:val="fr-FR"/>
        </w:rPr>
        <w:t xml:space="preserve"> publiée par le cabinet Decision Resources en Juin 2016, le marché des antirétroviraux devrait évoluer de 16,3 Mds USD en 2014 à 23 Mds en 2024.</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Cette évolution du marché sera portée par l’importance croissante d’agents antirétroviraux nouveaux et bénéficiant d’un premium de prix, en particulier les régimes à comprimé unique qui compenseront l’érosion en valeur due à la tombée des brevets de certains produits princeps fortement prescrits comme le Sustiva (efavirenz) de Bristol Myers S</w:t>
      </w:r>
      <w:r w:rsidR="008B16FF" w:rsidRPr="00C73365">
        <w:rPr>
          <w:rFonts w:asciiTheme="minorHAnsi" w:hAnsiTheme="minorHAnsi" w:cstheme="minorHAnsi"/>
          <w:szCs w:val="20"/>
          <w:lang w:val="fr-FR"/>
        </w:rPr>
        <w:t>q</w:t>
      </w:r>
      <w:r w:rsidRPr="00C73365">
        <w:rPr>
          <w:rFonts w:asciiTheme="minorHAnsi" w:hAnsiTheme="minorHAnsi" w:cstheme="minorHAnsi"/>
          <w:szCs w:val="20"/>
          <w:lang w:val="fr-FR"/>
        </w:rPr>
        <w:t xml:space="preserve">uibb et le Viread (tenofovir disoproxil fumarate) de Gilead.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 xml:space="preserve">Elle sera aussi alimentée par l’allongement de la durée de traitement, les autorités de santé ayant actualisé leurs recommandations pour que les patients soient diagnostiqués et traités le plus tôt possible indépendamment des niveaux de cellules CD4. </w:t>
      </w:r>
    </w:p>
    <w:p w:rsidR="00943434" w:rsidRPr="00C73365" w:rsidRDefault="00943434"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Les traitements leaders du marché en 2014 restent les combinaisons à doses fixes (FDC), mais leur part de marché élevée connaît un début d’érosion en raison de la concurrence croissante des régimes à comprimé unique (STR) lancés récemment :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Atripla de Gilead/BMS, le Stribild de Gilead/Japan Tobacco et le Triumeq de ViiV. Le lancement de 9 nouvelles combinaisons sur les années 2014-2024 fourniront des traitements à des patients naïfs ou déjà traités. Ces nouveaux agents incluent 4 régimes à comprimé unique et 4 combinaisons à dose fixe. Decision Resource Group (Human Immunodeficiency Virus 2016 All rights reserved) considère que les régimes à comprimé unique représenteront 60% du marché en 2024.</w:t>
      </w:r>
    </w:p>
    <w:p w:rsidR="007B6524" w:rsidRPr="00C73365" w:rsidRDefault="007B6524" w:rsidP="00943434">
      <w:pPr>
        <w:pStyle w:val="ListParagraph"/>
        <w:rPr>
          <w:rFonts w:asciiTheme="minorHAnsi" w:hAnsiTheme="minorHAnsi" w:cstheme="minorHAnsi"/>
          <w:lang w:val="fr-FR"/>
        </w:rPr>
      </w:pPr>
    </w:p>
    <w:p w:rsidR="00B30068" w:rsidRDefault="00B30068">
      <w:pPr>
        <w:spacing w:after="160" w:line="259" w:lineRule="auto"/>
        <w:jc w:val="left"/>
        <w:rPr>
          <w:rFonts w:asciiTheme="minorHAnsi" w:hAnsiTheme="minorHAnsi" w:cstheme="minorHAnsi"/>
          <w:b/>
          <w:szCs w:val="20"/>
          <w:lang w:val="fr-FR"/>
        </w:rPr>
      </w:pPr>
      <w:r>
        <w:rPr>
          <w:rFonts w:asciiTheme="minorHAnsi" w:hAnsiTheme="minorHAnsi" w:cstheme="minorHAnsi"/>
          <w:b/>
          <w:lang w:val="fr-FR"/>
        </w:rPr>
        <w:br w:type="page"/>
      </w:r>
    </w:p>
    <w:p w:rsidR="00943434" w:rsidRPr="00C73365" w:rsidRDefault="00943434"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Prévisions 2014-2024 du marché des antiviraux du VIH  Pays du G7</w:t>
      </w:r>
      <w:r w:rsidR="000B0F94" w:rsidRPr="00C73365">
        <w:rPr>
          <w:rStyle w:val="FootnoteReference"/>
          <w:rFonts w:asciiTheme="minorHAnsi" w:hAnsiTheme="minorHAnsi" w:cstheme="minorHAnsi"/>
          <w:b/>
          <w:color w:val="7030A0"/>
          <w:lang w:val="fr-FR"/>
        </w:rPr>
        <w:footnoteReference w:id="9"/>
      </w:r>
    </w:p>
    <w:p w:rsidR="00943434" w:rsidRPr="00C73365" w:rsidRDefault="00943434" w:rsidP="00943434">
      <w:pPr>
        <w:pStyle w:val="ListParagraph"/>
        <w:ind w:left="0"/>
        <w:contextualSpacing/>
        <w:rPr>
          <w:rFonts w:asciiTheme="minorHAnsi" w:hAnsiTheme="minorHAnsi" w:cstheme="minorHAnsi"/>
          <w:b/>
          <w:color w:val="7030A0"/>
          <w:szCs w:val="20"/>
          <w:lang w:val="fr-FR"/>
        </w:rPr>
      </w:pPr>
      <w:r w:rsidRPr="00C73365">
        <w:rPr>
          <w:rFonts w:asciiTheme="minorHAnsi" w:hAnsiTheme="minorHAnsi" w:cstheme="minorHAnsi"/>
          <w:noProof/>
          <w:lang w:val="fr-FR" w:eastAsia="fr-FR"/>
        </w:rPr>
        <w:drawing>
          <wp:inline distT="0" distB="0" distL="0" distR="0" wp14:anchorId="0DA1007C" wp14:editId="749C4659">
            <wp:extent cx="6118887" cy="160591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2733" cy="1606924"/>
                    </a:xfrm>
                    <a:prstGeom prst="rect">
                      <a:avLst/>
                    </a:prstGeom>
                    <a:noFill/>
                    <a:ln>
                      <a:noFill/>
                    </a:ln>
                  </pic:spPr>
                </pic:pic>
              </a:graphicData>
            </a:graphic>
          </wp:inline>
        </w:drawing>
      </w:r>
    </w:p>
    <w:p w:rsidR="00943434" w:rsidRPr="00C73365" w:rsidRDefault="00943434" w:rsidP="00943434">
      <w:pPr>
        <w:pStyle w:val="ListParagraph"/>
        <w:ind w:left="0"/>
        <w:contextualSpacing/>
        <w:rPr>
          <w:rFonts w:asciiTheme="minorHAnsi" w:hAnsiTheme="minorHAnsi" w:cstheme="minorHAnsi"/>
          <w:b/>
          <w:color w:val="7030A0"/>
          <w:szCs w:val="20"/>
        </w:rPr>
      </w:pPr>
    </w:p>
    <w:p w:rsidR="00943434" w:rsidRPr="00C73365" w:rsidRDefault="00943434" w:rsidP="00943434">
      <w:pPr>
        <w:pStyle w:val="ListParagraph"/>
        <w:ind w:left="0"/>
        <w:contextualSpacing/>
        <w:rPr>
          <w:rFonts w:asciiTheme="minorHAnsi" w:hAnsiTheme="minorHAnsi" w:cstheme="minorHAnsi"/>
          <w:b/>
          <w:color w:val="7030A0"/>
          <w:szCs w:val="20"/>
        </w:rPr>
      </w:pPr>
    </w:p>
    <w:p w:rsidR="00943434" w:rsidRPr="00C73365" w:rsidRDefault="00943434" w:rsidP="00943434">
      <w:pPr>
        <w:pStyle w:val="ListParagraph"/>
        <w:ind w:left="0"/>
        <w:contextualSpacing/>
        <w:rPr>
          <w:rFonts w:asciiTheme="minorHAnsi" w:hAnsiTheme="minorHAnsi" w:cstheme="minorHAnsi"/>
          <w:b/>
          <w:color w:val="7030A0"/>
          <w:szCs w:val="20"/>
          <w:lang w:val="fr-FR"/>
        </w:rPr>
      </w:pPr>
      <w:r w:rsidRPr="00D66373">
        <w:rPr>
          <w:rFonts w:asciiTheme="minorHAnsi" w:hAnsiTheme="minorHAnsi" w:cstheme="minorHAnsi"/>
          <w:b/>
          <w:color w:val="7030A0"/>
          <w:szCs w:val="20"/>
          <w:lang w:val="fr-FR"/>
        </w:rPr>
        <w:t>Parts de marché des TAR dans les marchés du</w:t>
      </w:r>
      <w:r w:rsidRPr="00C73365">
        <w:rPr>
          <w:rFonts w:asciiTheme="minorHAnsi" w:hAnsiTheme="minorHAnsi" w:cstheme="minorHAnsi"/>
          <w:b/>
          <w:color w:val="7030A0"/>
          <w:szCs w:val="20"/>
          <w:lang w:val="fr-FR"/>
        </w:rPr>
        <w:t xml:space="preserve"> </w:t>
      </w:r>
      <w:r w:rsidR="00D66373">
        <w:rPr>
          <w:rFonts w:asciiTheme="minorHAnsi" w:hAnsiTheme="minorHAnsi" w:cstheme="minorHAnsi"/>
          <w:b/>
          <w:color w:val="7030A0"/>
          <w:szCs w:val="20"/>
          <w:lang w:val="fr-FR"/>
        </w:rPr>
        <w:t xml:space="preserve">G7 : </w:t>
      </w:r>
    </w:p>
    <w:p w:rsidR="007B6524" w:rsidRDefault="00943434" w:rsidP="007B6524">
      <w:pPr>
        <w:pStyle w:val="ListParagraph"/>
        <w:ind w:left="0"/>
        <w:contextualSpacing/>
        <w:rPr>
          <w:rFonts w:asciiTheme="minorHAnsi" w:hAnsiTheme="minorHAnsi" w:cstheme="minorHAnsi"/>
          <w:b/>
          <w:color w:val="7030A0"/>
          <w:szCs w:val="20"/>
        </w:rPr>
      </w:pPr>
      <w:r w:rsidRPr="00F06F79">
        <w:rPr>
          <w:rFonts w:asciiTheme="minorHAnsi" w:hAnsiTheme="minorHAnsi" w:cstheme="minorHAnsi"/>
          <w:b/>
          <w:color w:val="7030A0"/>
          <w:szCs w:val="20"/>
        </w:rPr>
        <w:br w:type="textWrapping" w:clear="all"/>
      </w:r>
      <w:r w:rsidRPr="00C73365">
        <w:rPr>
          <w:rFonts w:asciiTheme="minorHAnsi" w:hAnsiTheme="minorHAnsi" w:cstheme="minorHAnsi"/>
          <w:b/>
          <w:color w:val="7030A0"/>
          <w:szCs w:val="20"/>
        </w:rPr>
        <w:t>2014 Total = $ 16.3 B</w:t>
      </w:r>
      <w:r w:rsidRPr="00C73365">
        <w:rPr>
          <w:rFonts w:asciiTheme="minorHAnsi" w:hAnsiTheme="minorHAnsi" w:cstheme="minorHAnsi"/>
          <w:b/>
          <w:color w:val="7030A0"/>
          <w:szCs w:val="20"/>
        </w:rPr>
        <w:tab/>
      </w:r>
      <w:r w:rsidRPr="00C73365">
        <w:rPr>
          <w:rFonts w:asciiTheme="minorHAnsi" w:hAnsiTheme="minorHAnsi" w:cstheme="minorHAnsi"/>
          <w:b/>
          <w:color w:val="7030A0"/>
          <w:szCs w:val="20"/>
        </w:rPr>
        <w:tab/>
      </w:r>
      <w:r w:rsidRPr="00C73365">
        <w:rPr>
          <w:rFonts w:asciiTheme="minorHAnsi" w:hAnsiTheme="minorHAnsi" w:cstheme="minorHAnsi"/>
          <w:b/>
          <w:color w:val="7030A0"/>
          <w:szCs w:val="20"/>
        </w:rPr>
        <w:tab/>
      </w:r>
      <w:r w:rsidRPr="00C73365">
        <w:rPr>
          <w:rFonts w:asciiTheme="minorHAnsi" w:hAnsiTheme="minorHAnsi" w:cstheme="minorHAnsi"/>
          <w:b/>
          <w:color w:val="7030A0"/>
          <w:szCs w:val="20"/>
        </w:rPr>
        <w:tab/>
        <w:t xml:space="preserve">         2024 Total = $ 23.0 B</w:t>
      </w:r>
    </w:p>
    <w:p w:rsidR="00943434" w:rsidRPr="007B6524" w:rsidRDefault="006F3437" w:rsidP="007B6524">
      <w:pPr>
        <w:pStyle w:val="ListParagraph"/>
        <w:ind w:left="0"/>
        <w:contextualSpacing/>
        <w:rPr>
          <w:rFonts w:asciiTheme="minorHAnsi" w:hAnsiTheme="minorHAnsi" w:cstheme="minorHAnsi"/>
          <w:b/>
          <w:color w:val="7030A0"/>
          <w:szCs w:val="20"/>
        </w:rPr>
      </w:pPr>
      <w:r w:rsidRPr="00C73365">
        <w:rPr>
          <w:rFonts w:asciiTheme="minorHAnsi" w:hAnsiTheme="minorHAnsi" w:cstheme="minorHAnsi"/>
          <w:b/>
          <w:noProof/>
          <w:color w:val="7030A0"/>
          <w:szCs w:val="20"/>
          <w:lang w:val="fr-FR" w:eastAsia="fr-FR"/>
        </w:rPr>
        <mc:AlternateContent>
          <mc:Choice Requires="wps">
            <w:drawing>
              <wp:anchor distT="0" distB="0" distL="114300" distR="114300" simplePos="0" relativeHeight="251683840" behindDoc="0" locked="0" layoutInCell="1" allowOverlap="1" wp14:anchorId="2A43B21B" wp14:editId="02146D56">
                <wp:simplePos x="0" y="0"/>
                <wp:positionH relativeFrom="column">
                  <wp:posOffset>-85090</wp:posOffset>
                </wp:positionH>
                <wp:positionV relativeFrom="paragraph">
                  <wp:posOffset>179070</wp:posOffset>
                </wp:positionV>
                <wp:extent cx="3017289" cy="2049203"/>
                <wp:effectExtent l="0" t="0" r="12065" b="27305"/>
                <wp:wrapNone/>
                <wp:docPr id="13" name="Rectangle 13"/>
                <wp:cNvGraphicFramePr/>
                <a:graphic xmlns:a="http://schemas.openxmlformats.org/drawingml/2006/main">
                  <a:graphicData uri="http://schemas.microsoft.com/office/word/2010/wordprocessingShape">
                    <wps:wsp>
                      <wps:cNvSpPr/>
                      <wps:spPr>
                        <a:xfrm>
                          <a:off x="0" y="0"/>
                          <a:ext cx="3017289" cy="2049203"/>
                        </a:xfrm>
                        <a:prstGeom prst="rect">
                          <a:avLst/>
                        </a:prstGeom>
                        <a:noFill/>
                        <a:ln w="12700">
                          <a:solidFill>
                            <a:srgbClr val="7030A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5ABA5" id="Rectangle 13" o:spid="_x0000_s1026" style="position:absolute;margin-left:-6.7pt;margin-top:14.1pt;width:237.6pt;height:16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" filled="f" strokecolor="#7030a0" strokeweight="1pt"/>
            </w:pict>
          </mc:Fallback>
        </mc:AlternateContent>
      </w:r>
      <w:r w:rsidR="00943434" w:rsidRPr="00C73365">
        <w:rPr>
          <w:rFonts w:asciiTheme="minorHAnsi" w:hAnsiTheme="minorHAnsi" w:cstheme="minorHAnsi"/>
          <w:b/>
          <w:noProof/>
          <w:color w:val="7030A0"/>
          <w:szCs w:val="20"/>
          <w:lang w:val="fr-FR" w:eastAsia="fr-FR"/>
        </w:rPr>
        <mc:AlternateContent>
          <mc:Choice Requires="wps">
            <w:drawing>
              <wp:anchor distT="0" distB="0" distL="114300" distR="114300" simplePos="0" relativeHeight="251684864" behindDoc="0" locked="0" layoutInCell="1" allowOverlap="1" wp14:anchorId="64B32035" wp14:editId="46E7724A">
                <wp:simplePos x="0" y="0"/>
                <wp:positionH relativeFrom="margin">
                  <wp:posOffset>2958465</wp:posOffset>
                </wp:positionH>
                <wp:positionV relativeFrom="paragraph">
                  <wp:posOffset>179070</wp:posOffset>
                </wp:positionV>
                <wp:extent cx="3151910" cy="2049203"/>
                <wp:effectExtent l="0" t="0" r="10795" b="27305"/>
                <wp:wrapNone/>
                <wp:docPr id="11" name="Rectangle 11"/>
                <wp:cNvGraphicFramePr/>
                <a:graphic xmlns:a="http://schemas.openxmlformats.org/drawingml/2006/main">
                  <a:graphicData uri="http://schemas.microsoft.com/office/word/2010/wordprocessingShape">
                    <wps:wsp>
                      <wps:cNvSpPr/>
                      <wps:spPr>
                        <a:xfrm>
                          <a:off x="0" y="0"/>
                          <a:ext cx="3151910" cy="2049203"/>
                        </a:xfrm>
                        <a:prstGeom prst="rect">
                          <a:avLst/>
                        </a:prstGeom>
                        <a:noFill/>
                        <a:ln w="12700">
                          <a:solidFill>
                            <a:srgbClr val="7030A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AB6D8" id="Rectangle 11" o:spid="_x0000_s1026" style="position:absolute;margin-left:232.95pt;margin-top:14.1pt;width:248.2pt;height:161.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" filled="f" strokecolor="#7030a0" strokeweight="1pt">
                <w10:wrap anchorx="margin"/>
              </v:rect>
            </w:pict>
          </mc:Fallback>
        </mc:AlternateContent>
      </w:r>
    </w:p>
    <w:p w:rsidR="00943434" w:rsidRPr="00657220" w:rsidRDefault="00943434" w:rsidP="00657220">
      <w:pPr>
        <w:pStyle w:val="ListParagraph"/>
        <w:ind w:left="0"/>
        <w:contextualSpacing/>
        <w:jc w:val="right"/>
        <w:rPr>
          <w:rFonts w:asciiTheme="minorHAnsi" w:hAnsiTheme="minorHAnsi" w:cstheme="minorHAnsi"/>
          <w:color w:val="444444"/>
          <w:szCs w:val="20"/>
        </w:rPr>
      </w:pPr>
      <w:r w:rsidRPr="00C73365">
        <w:rPr>
          <w:rFonts w:asciiTheme="minorHAnsi" w:hAnsiTheme="minorHAnsi" w:cstheme="minorHAnsi"/>
          <w:noProof/>
          <w:lang w:val="fr-FR" w:eastAsia="fr-FR"/>
        </w:rPr>
        <w:drawing>
          <wp:inline distT="0" distB="0" distL="0" distR="0" wp14:anchorId="381853FB" wp14:editId="185A8885">
            <wp:extent cx="2913575" cy="1980000"/>
            <wp:effectExtent l="0" t="0" r="127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13575" cy="1980000"/>
                    </a:xfrm>
                    <a:prstGeom prst="rect">
                      <a:avLst/>
                    </a:prstGeom>
                  </pic:spPr>
                </pic:pic>
              </a:graphicData>
            </a:graphic>
          </wp:inline>
        </w:drawing>
      </w:r>
      <w:r w:rsidRPr="00C73365">
        <w:rPr>
          <w:rFonts w:asciiTheme="minorHAnsi" w:hAnsiTheme="minorHAnsi" w:cstheme="minorHAnsi"/>
          <w:noProof/>
          <w:lang w:eastAsia="fr-FR"/>
        </w:rPr>
        <w:t xml:space="preserve"> </w:t>
      </w:r>
      <w:r w:rsidRPr="00C73365">
        <w:rPr>
          <w:rFonts w:asciiTheme="minorHAnsi" w:hAnsiTheme="minorHAnsi" w:cstheme="minorHAnsi"/>
          <w:noProof/>
          <w:lang w:val="fr-FR" w:eastAsia="fr-FR"/>
        </w:rPr>
        <w:drawing>
          <wp:inline distT="0" distB="0" distL="0" distR="0" wp14:anchorId="643422F7" wp14:editId="3F2E56F7">
            <wp:extent cx="3158445" cy="1980000"/>
            <wp:effectExtent l="0" t="0" r="4445" b="127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58445" cy="1980000"/>
                    </a:xfrm>
                    <a:prstGeom prst="rect">
                      <a:avLst/>
                    </a:prstGeom>
                  </pic:spPr>
                </pic:pic>
              </a:graphicData>
            </a:graphic>
          </wp:inline>
        </w:drawing>
      </w:r>
    </w:p>
    <w:p w:rsidR="00943434" w:rsidRPr="00657220" w:rsidRDefault="00943434" w:rsidP="00657220">
      <w:pPr>
        <w:pStyle w:val="BodyText"/>
        <w:jc w:val="center"/>
        <w:rPr>
          <w:rFonts w:asciiTheme="minorHAnsi" w:hAnsiTheme="minorHAnsi" w:cstheme="minorHAnsi"/>
          <w:i/>
        </w:rPr>
      </w:pPr>
      <w:r w:rsidRPr="00657220">
        <w:rPr>
          <w:rFonts w:asciiTheme="minorHAnsi" w:hAnsiTheme="minorHAnsi" w:cstheme="minorHAnsi"/>
          <w:i/>
        </w:rPr>
        <w:t>Source: Decision Resources Group – HIV 2015</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Le total des ventes de dolutegravir</w:t>
      </w:r>
      <w:r w:rsidR="00657220">
        <w:rPr>
          <w:rFonts w:asciiTheme="minorHAnsi" w:hAnsiTheme="minorHAnsi" w:cstheme="minorHAnsi"/>
          <w:lang w:val="fr-FR"/>
        </w:rPr>
        <w:t xml:space="preserve"> </w:t>
      </w:r>
      <w:r w:rsidRPr="00C73365">
        <w:rPr>
          <w:rFonts w:asciiTheme="minorHAnsi" w:hAnsiTheme="minorHAnsi" w:cstheme="minorHAnsi"/>
          <w:lang w:val="fr-FR"/>
        </w:rPr>
        <w:t>(considéré par de nombreux experts comme étant le meilleur agent antirétroviral actuellement disponible), en monothérapie (Tivicay – ViiV) ou en tant que composant d</w:t>
      </w:r>
      <w:r w:rsidR="004572A0" w:rsidRPr="00C73365">
        <w:rPr>
          <w:rFonts w:asciiTheme="minorHAnsi" w:hAnsiTheme="minorHAnsi" w:cstheme="minorHAnsi"/>
          <w:lang w:val="fr-FR"/>
        </w:rPr>
        <w:t>’</w:t>
      </w:r>
      <w:r w:rsidRPr="00C73365">
        <w:rPr>
          <w:rFonts w:asciiTheme="minorHAnsi" w:hAnsiTheme="minorHAnsi" w:cstheme="minorHAnsi"/>
          <w:lang w:val="fr-FR"/>
        </w:rPr>
        <w:t>un régime à comprimé unique (dans le cas du Triumeq de ViiV) devrait dépasser les 6,8 Mrd$ d</w:t>
      </w:r>
      <w:r w:rsidR="004572A0" w:rsidRPr="00C73365">
        <w:rPr>
          <w:rFonts w:asciiTheme="minorHAnsi" w:hAnsiTheme="minorHAnsi" w:cstheme="minorHAnsi"/>
          <w:lang w:val="fr-FR"/>
        </w:rPr>
        <w:t>’</w:t>
      </w:r>
      <w:r w:rsidRPr="00C73365">
        <w:rPr>
          <w:rFonts w:asciiTheme="minorHAnsi" w:hAnsiTheme="minorHAnsi" w:cstheme="minorHAnsi"/>
          <w:lang w:val="fr-FR"/>
        </w:rPr>
        <w:t>ici 2024. Une nouvelle forme de Tenofovir (TAF – tenofovir Alafenamide - Gilead) se substituera progressivement au TDF (tenofovir disoproxil fumarate –Gilead).</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fera partie d’une nouvelle classe thérapeutique et les marchés ciblés seront identiques que ce soit en monothérapie ou en association avec TAR. La classe thérapeutique prioritairement ciblée sera la classe du régime à comprimé unique qui représentera 60% du marché en 2024 et la classe secondairement ciblée sera la classe des inhibiteurs de l’intégrase (11% du marché en 2024).</w:t>
      </w:r>
    </w:p>
    <w:p w:rsidR="00943434" w:rsidRDefault="00943434" w:rsidP="00434C49">
      <w:pPr>
        <w:pStyle w:val="ListParagraph"/>
        <w:numPr>
          <w:ilvl w:val="0"/>
          <w:numId w:val="76"/>
        </w:numPr>
        <w:spacing w:after="0"/>
        <w:contextualSpacing/>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Pays à revenu faible et moyen</w:t>
      </w:r>
    </w:p>
    <w:p w:rsidR="00D66373" w:rsidRPr="00C73365" w:rsidRDefault="00D66373" w:rsidP="00D66373">
      <w:pPr>
        <w:pStyle w:val="ListParagraph"/>
        <w:spacing w:after="0"/>
        <w:ind w:left="720"/>
        <w:contextualSpacing/>
        <w:rPr>
          <w:rFonts w:asciiTheme="minorHAnsi" w:hAnsiTheme="minorHAnsi" w:cstheme="minorHAnsi"/>
          <w:b/>
          <w:color w:val="7030A0"/>
          <w:szCs w:val="20"/>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Selon les données de l’UNAIDS 2017, environ 19,5 millions de personnes bénéficiaient d</w:t>
      </w:r>
      <w:r w:rsidR="004572A0" w:rsidRPr="00C73365">
        <w:rPr>
          <w:rFonts w:asciiTheme="minorHAnsi" w:hAnsiTheme="minorHAnsi" w:cstheme="minorHAnsi"/>
          <w:lang w:val="fr-FR"/>
        </w:rPr>
        <w:t>’</w:t>
      </w:r>
      <w:r w:rsidRPr="00C73365">
        <w:rPr>
          <w:rFonts w:asciiTheme="minorHAnsi" w:hAnsiTheme="minorHAnsi" w:cstheme="minorHAnsi"/>
          <w:lang w:val="fr-FR"/>
        </w:rPr>
        <w:t>une TAR à fin 2016, soit plus d’un doublement en 5 ans par rapport à fin 2011. Le rythme de déploiement des TAR se maintient malgré la persistance de la crise économique mondiale. Dans la zone Afrique de l</w:t>
      </w:r>
      <w:r w:rsidR="004572A0" w:rsidRPr="00C73365">
        <w:rPr>
          <w:rFonts w:asciiTheme="minorHAnsi" w:hAnsiTheme="minorHAnsi" w:cstheme="minorHAnsi"/>
          <w:lang w:val="fr-FR"/>
        </w:rPr>
        <w:t>’</w:t>
      </w:r>
      <w:r w:rsidRPr="00C73365">
        <w:rPr>
          <w:rFonts w:asciiTheme="minorHAnsi" w:hAnsiTheme="minorHAnsi" w:cstheme="minorHAnsi"/>
          <w:lang w:val="fr-FR"/>
        </w:rPr>
        <w:t>OMS, qui reste la région la plus touchée par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épidémie de VIH, plus de 13,8 millions de personnes recevaient ce type de traitement à fin 2016, contre 5 millions six ans plus tôt. </w:t>
      </w:r>
    </w:p>
    <w:p w:rsidR="00943434" w:rsidRPr="00C73365" w:rsidRDefault="00943434" w:rsidP="004572A0">
      <w:pPr>
        <w:pStyle w:val="BodyText"/>
        <w:rPr>
          <w:rFonts w:asciiTheme="minorHAnsi" w:eastAsia="Frutiger-Cn" w:hAnsiTheme="minorHAnsi" w:cstheme="minorHAnsi"/>
          <w:lang w:val="fr-FR"/>
        </w:rPr>
      </w:pPr>
      <w:r w:rsidRPr="00C73365">
        <w:rPr>
          <w:rFonts w:asciiTheme="minorHAnsi" w:hAnsiTheme="minorHAnsi" w:cstheme="minorHAnsi"/>
          <w:lang w:val="fr-FR"/>
        </w:rPr>
        <w:lastRenderedPageBreak/>
        <w:t>Des progrès ont été constatés dans toutes les zones, y compris celles affichant le plus de retard. La plupart des pays fortement touchés par le VIH seraient en passe de proposer un accès universel (défini par une couverture de 80% par les ARV, selon les critères d</w:t>
      </w:r>
      <w:r w:rsidR="004572A0" w:rsidRPr="00C73365">
        <w:rPr>
          <w:rFonts w:asciiTheme="minorHAnsi" w:hAnsiTheme="minorHAnsi" w:cstheme="minorHAnsi"/>
          <w:lang w:val="fr-FR"/>
        </w:rPr>
        <w:t>’</w:t>
      </w:r>
      <w:r w:rsidRPr="00C73365">
        <w:rPr>
          <w:rFonts w:asciiTheme="minorHAnsi" w:hAnsiTheme="minorHAnsi" w:cstheme="minorHAnsi"/>
          <w:lang w:val="fr-FR"/>
        </w:rPr>
        <w:t>admissibilité au traitement de 2010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OMS). </w:t>
      </w:r>
    </w:p>
    <w:p w:rsidR="00943434" w:rsidRPr="00C73365" w:rsidRDefault="00943434" w:rsidP="004572A0">
      <w:pPr>
        <w:pStyle w:val="BodyText"/>
        <w:rPr>
          <w:rFonts w:asciiTheme="minorHAnsi" w:hAnsiTheme="minorHAnsi" w:cstheme="minorHAnsi"/>
          <w:b/>
          <w:color w:val="7030A0"/>
          <w:lang w:val="fr-FR"/>
        </w:rPr>
      </w:pPr>
      <w:r w:rsidRPr="00C73365">
        <w:rPr>
          <w:rFonts w:asciiTheme="minorHAnsi" w:hAnsiTheme="minorHAnsi" w:cstheme="minorHAnsi"/>
          <w:lang w:val="fr-FR"/>
        </w:rPr>
        <w:t>Ce progrès général masque cependant d</w:t>
      </w:r>
      <w:r w:rsidR="004572A0" w:rsidRPr="00C73365">
        <w:rPr>
          <w:rFonts w:asciiTheme="minorHAnsi" w:hAnsiTheme="minorHAnsi" w:cstheme="minorHAnsi"/>
          <w:lang w:val="fr-FR"/>
        </w:rPr>
        <w:t>’</w:t>
      </w:r>
      <w:r w:rsidRPr="00C73365">
        <w:rPr>
          <w:rFonts w:asciiTheme="minorHAnsi" w:hAnsiTheme="minorHAnsi" w:cstheme="minorHAnsi"/>
          <w:lang w:val="fr-FR"/>
        </w:rPr>
        <w:t>importantes disparités dans l</w:t>
      </w:r>
      <w:r w:rsidR="004572A0" w:rsidRPr="00C73365">
        <w:rPr>
          <w:rFonts w:asciiTheme="minorHAnsi" w:hAnsiTheme="minorHAnsi" w:cstheme="minorHAnsi"/>
          <w:lang w:val="fr-FR"/>
        </w:rPr>
        <w:t>’</w:t>
      </w:r>
      <w:r w:rsidRPr="00C73365">
        <w:rPr>
          <w:rFonts w:asciiTheme="minorHAnsi" w:hAnsiTheme="minorHAnsi" w:cstheme="minorHAnsi"/>
          <w:lang w:val="fr-FR"/>
        </w:rPr>
        <w:t>accès aux TAR. Dans la plupart des zones, y compris la zone Afrique de l</w:t>
      </w:r>
      <w:r w:rsidR="004572A0" w:rsidRPr="00C73365">
        <w:rPr>
          <w:rFonts w:asciiTheme="minorHAnsi" w:hAnsiTheme="minorHAnsi" w:cstheme="minorHAnsi"/>
          <w:lang w:val="fr-FR"/>
        </w:rPr>
        <w:t>’</w:t>
      </w:r>
      <w:r w:rsidRPr="00C73365">
        <w:rPr>
          <w:rFonts w:asciiTheme="minorHAnsi" w:hAnsiTheme="minorHAnsi" w:cstheme="minorHAnsi"/>
          <w:lang w:val="fr-FR"/>
        </w:rPr>
        <w:t>OMS, les hommes éligibles aux TAR semblent moins enclins à accéder à cette thérapie que les femmes. En outre, l</w:t>
      </w:r>
      <w:r w:rsidR="004572A0" w:rsidRPr="00C73365">
        <w:rPr>
          <w:rFonts w:asciiTheme="minorHAnsi" w:hAnsiTheme="minorHAnsi" w:cstheme="minorHAnsi"/>
          <w:lang w:val="fr-FR"/>
        </w:rPr>
        <w:t>’</w:t>
      </w:r>
      <w:r w:rsidRPr="00C73365">
        <w:rPr>
          <w:rFonts w:asciiTheme="minorHAnsi" w:hAnsiTheme="minorHAnsi" w:cstheme="minorHAnsi"/>
          <w:lang w:val="fr-FR"/>
        </w:rPr>
        <w:t>augmentation des traitements ne touche pas suffisamment d</w:t>
      </w:r>
      <w:r w:rsidR="004572A0" w:rsidRPr="00C73365">
        <w:rPr>
          <w:rFonts w:asciiTheme="minorHAnsi" w:hAnsiTheme="minorHAnsi" w:cstheme="minorHAnsi"/>
          <w:lang w:val="fr-FR"/>
        </w:rPr>
        <w:t>’</w:t>
      </w:r>
      <w:r w:rsidRPr="00C73365">
        <w:rPr>
          <w:rFonts w:asciiTheme="minorHAnsi" w:hAnsiTheme="minorHAnsi" w:cstheme="minorHAnsi"/>
          <w:lang w:val="fr-FR"/>
        </w:rPr>
        <w:t>enfants, d</w:t>
      </w:r>
      <w:r w:rsidR="004572A0" w:rsidRPr="00C73365">
        <w:rPr>
          <w:rFonts w:asciiTheme="minorHAnsi" w:hAnsiTheme="minorHAnsi" w:cstheme="minorHAnsi"/>
          <w:lang w:val="fr-FR"/>
        </w:rPr>
        <w:t>’</w:t>
      </w:r>
      <w:r w:rsidRPr="00C73365">
        <w:rPr>
          <w:rFonts w:asciiTheme="minorHAnsi" w:hAnsiTheme="minorHAnsi" w:cstheme="minorHAnsi"/>
          <w:lang w:val="fr-FR"/>
        </w:rPr>
        <w:t>adolescents et de populations exposées à un risque élevé d</w:t>
      </w:r>
      <w:r w:rsidR="004572A0" w:rsidRPr="00C73365">
        <w:rPr>
          <w:rFonts w:asciiTheme="minorHAnsi" w:hAnsiTheme="minorHAnsi" w:cstheme="minorHAnsi"/>
          <w:lang w:val="fr-FR"/>
        </w:rPr>
        <w:t>’</w:t>
      </w:r>
      <w:r w:rsidRPr="00C73365">
        <w:rPr>
          <w:rFonts w:asciiTheme="minorHAnsi" w:hAnsiTheme="minorHAnsi" w:cstheme="minorHAnsi"/>
          <w:lang w:val="fr-FR"/>
        </w:rPr>
        <w:t>infection par le VIH (travailleurs du sexe, consommateurs de drogue par voie intraveineuse, hommes ayant des relations homosexuelles et personnes transsexuelles).</w:t>
      </w:r>
    </w:p>
    <w:p w:rsidR="00943434" w:rsidRPr="00C73365" w:rsidRDefault="00943434" w:rsidP="004572A0">
      <w:pPr>
        <w:pStyle w:val="BodyText"/>
        <w:rPr>
          <w:rFonts w:asciiTheme="minorHAnsi" w:hAnsiTheme="minorHAnsi" w:cstheme="minorHAnsi"/>
          <w:b/>
          <w:lang w:val="fr-FR"/>
        </w:rPr>
      </w:pPr>
      <w:r w:rsidRPr="00C73365">
        <w:rPr>
          <w:rFonts w:asciiTheme="minorHAnsi" w:hAnsiTheme="minorHAnsi" w:cstheme="minorHAnsi"/>
          <w:b/>
          <w:lang w:val="fr-FR"/>
        </w:rPr>
        <w:t>Données épidémiologiques par région</w:t>
      </w:r>
      <w:r w:rsidR="00A64BA1" w:rsidRPr="00C73365">
        <w:rPr>
          <w:rStyle w:val="FootnoteReference"/>
          <w:rFonts w:asciiTheme="minorHAnsi" w:hAnsiTheme="minorHAnsi" w:cstheme="minorHAnsi"/>
          <w:b/>
          <w:color w:val="7030A0"/>
          <w:lang w:val="fr-FR"/>
        </w:rPr>
        <w:footnoteReference w:id="10"/>
      </w:r>
    </w:p>
    <w:tbl>
      <w:tblPr>
        <w:tblW w:w="9185" w:type="dxa"/>
        <w:tblCellMar>
          <w:left w:w="70" w:type="dxa"/>
          <w:right w:w="70" w:type="dxa"/>
        </w:tblCellMar>
        <w:tblLook w:val="04A0" w:firstRow="1" w:lastRow="0" w:firstColumn="1" w:lastColumn="0" w:noHBand="0" w:noVBand="1"/>
      </w:tblPr>
      <w:tblGrid>
        <w:gridCol w:w="2972"/>
        <w:gridCol w:w="612"/>
        <w:gridCol w:w="793"/>
        <w:gridCol w:w="791"/>
        <w:gridCol w:w="793"/>
        <w:gridCol w:w="791"/>
        <w:gridCol w:w="849"/>
        <w:gridCol w:w="791"/>
        <w:gridCol w:w="793"/>
      </w:tblGrid>
      <w:tr w:rsidR="00943434" w:rsidRPr="00C73365" w:rsidTr="00BC440C">
        <w:trPr>
          <w:trHeight w:val="241"/>
        </w:trPr>
        <w:tc>
          <w:tcPr>
            <w:tcW w:w="2972" w:type="dxa"/>
            <w:vMerge w:val="restart"/>
            <w:tcBorders>
              <w:top w:val="single" w:sz="4" w:space="0" w:color="auto"/>
              <w:left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color w:val="000000"/>
                <w:sz w:val="22"/>
                <w:szCs w:val="22"/>
                <w:lang w:val="fr-FR" w:eastAsia="fr-FR"/>
              </w:rPr>
            </w:pPr>
            <w:r w:rsidRPr="00C73365">
              <w:rPr>
                <w:rFonts w:asciiTheme="minorHAnsi" w:hAnsiTheme="minorHAnsi" w:cstheme="minorHAnsi"/>
                <w:color w:val="000000"/>
                <w:szCs w:val="20"/>
                <w:lang w:val="fr-FR"/>
              </w:rPr>
              <w:t>Millions</w:t>
            </w:r>
            <w:r w:rsidRPr="00C73365">
              <w:rPr>
                <w:rFonts w:asciiTheme="minorHAnsi" w:hAnsiTheme="minorHAnsi" w:cstheme="minorHAnsi"/>
                <w:color w:val="000000"/>
                <w:sz w:val="22"/>
                <w:szCs w:val="22"/>
                <w:lang w:val="fr-FR" w:eastAsia="fr-FR"/>
              </w:rPr>
              <w:t xml:space="preserve"> de personnes</w:t>
            </w:r>
          </w:p>
        </w:tc>
        <w:tc>
          <w:tcPr>
            <w:tcW w:w="1405" w:type="dxa"/>
            <w:gridSpan w:val="2"/>
            <w:tcBorders>
              <w:top w:val="single" w:sz="4" w:space="0" w:color="auto"/>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000000"/>
                <w:sz w:val="22"/>
                <w:szCs w:val="22"/>
                <w:lang w:val="fr-FR" w:eastAsia="fr-FR"/>
              </w:rPr>
            </w:pPr>
            <w:r w:rsidRPr="00C73365">
              <w:rPr>
                <w:rFonts w:asciiTheme="minorHAnsi" w:hAnsiTheme="minorHAnsi" w:cstheme="minorHAnsi"/>
                <w:b/>
                <w:color w:val="000000"/>
                <w:szCs w:val="20"/>
                <w:lang w:val="fr-FR"/>
              </w:rPr>
              <w:t xml:space="preserve">Prévalence </w:t>
            </w:r>
            <w:r w:rsidRPr="00C73365">
              <w:rPr>
                <w:rFonts w:asciiTheme="minorHAnsi" w:hAnsiTheme="minorHAnsi" w:cstheme="minorHAnsi"/>
                <w:b/>
                <w:color w:val="000000"/>
                <w:sz w:val="22"/>
                <w:szCs w:val="22"/>
                <w:lang w:val="fr-FR" w:eastAsia="fr-FR"/>
              </w:rPr>
              <w:t>du SIDA</w:t>
            </w:r>
          </w:p>
        </w:tc>
        <w:tc>
          <w:tcPr>
            <w:tcW w:w="1584" w:type="dxa"/>
            <w:gridSpan w:val="2"/>
            <w:tcBorders>
              <w:top w:val="single" w:sz="4" w:space="0" w:color="auto"/>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 w:val="22"/>
                <w:szCs w:val="22"/>
                <w:lang w:val="fr-FR" w:eastAsia="fr-FR"/>
              </w:rPr>
            </w:pPr>
            <w:r w:rsidRPr="00C73365">
              <w:rPr>
                <w:rFonts w:asciiTheme="minorHAnsi" w:hAnsiTheme="minorHAnsi" w:cstheme="minorHAnsi"/>
                <w:b/>
                <w:color w:val="000000"/>
                <w:szCs w:val="20"/>
                <w:lang w:val="fr-FR"/>
              </w:rPr>
              <w:t>Incidence du</w:t>
            </w:r>
            <w:r w:rsidRPr="00C73365">
              <w:rPr>
                <w:rFonts w:asciiTheme="minorHAnsi" w:hAnsiTheme="minorHAnsi" w:cstheme="minorHAnsi"/>
                <w:b/>
                <w:color w:val="000000"/>
                <w:sz w:val="22"/>
                <w:szCs w:val="22"/>
                <w:lang w:val="fr-FR" w:eastAsia="fr-FR"/>
              </w:rPr>
              <w:t xml:space="preserve"> SIDA</w:t>
            </w:r>
          </w:p>
        </w:tc>
        <w:tc>
          <w:tcPr>
            <w:tcW w:w="1640" w:type="dxa"/>
            <w:gridSpan w:val="2"/>
            <w:tcBorders>
              <w:top w:val="single" w:sz="4" w:space="0" w:color="auto"/>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 w:val="22"/>
                <w:szCs w:val="22"/>
                <w:lang w:val="fr-FR" w:eastAsia="fr-FR"/>
              </w:rPr>
            </w:pPr>
            <w:r w:rsidRPr="00C73365">
              <w:rPr>
                <w:rFonts w:asciiTheme="minorHAnsi" w:hAnsiTheme="minorHAnsi" w:cstheme="minorHAnsi"/>
                <w:b/>
                <w:color w:val="000000"/>
                <w:szCs w:val="20"/>
                <w:lang w:val="fr-FR"/>
              </w:rPr>
              <w:t>Malades sous</w:t>
            </w:r>
            <w:r w:rsidRPr="00C73365">
              <w:rPr>
                <w:rFonts w:asciiTheme="minorHAnsi" w:hAnsiTheme="minorHAnsi" w:cstheme="minorHAnsi"/>
                <w:b/>
                <w:color w:val="000000"/>
                <w:sz w:val="22"/>
                <w:szCs w:val="22"/>
                <w:lang w:val="fr-FR" w:eastAsia="fr-FR"/>
              </w:rPr>
              <w:t xml:space="preserve"> ART</w:t>
            </w:r>
          </w:p>
        </w:tc>
        <w:tc>
          <w:tcPr>
            <w:tcW w:w="1584" w:type="dxa"/>
            <w:gridSpan w:val="2"/>
            <w:tcBorders>
              <w:top w:val="single" w:sz="4" w:space="0" w:color="auto"/>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Mortalité</w:t>
            </w:r>
          </w:p>
        </w:tc>
      </w:tr>
      <w:tr w:rsidR="00943434" w:rsidRPr="00C73365" w:rsidTr="00BC440C">
        <w:trPr>
          <w:trHeight w:val="241"/>
        </w:trPr>
        <w:tc>
          <w:tcPr>
            <w:tcW w:w="2972" w:type="dxa"/>
            <w:vMerge/>
            <w:tcBorders>
              <w:left w:val="single" w:sz="4" w:space="0" w:color="auto"/>
              <w:bottom w:val="single" w:sz="4" w:space="0" w:color="auto"/>
              <w:right w:val="single" w:sz="4" w:space="0" w:color="auto"/>
            </w:tcBorders>
            <w:shd w:val="clear" w:color="auto" w:fill="auto"/>
            <w:noWrap/>
            <w:hideMark/>
          </w:tcPr>
          <w:p w:rsidR="00943434" w:rsidRPr="00C73365" w:rsidRDefault="00943434" w:rsidP="00BC440C">
            <w:pPr>
              <w:jc w:val="center"/>
              <w:rPr>
                <w:rFonts w:asciiTheme="minorHAnsi" w:hAnsiTheme="minorHAnsi" w:cstheme="minorHAnsi"/>
                <w:color w:val="000000"/>
                <w:sz w:val="22"/>
                <w:szCs w:val="22"/>
                <w:lang w:val="fr-FR" w:eastAsia="fr-FR"/>
              </w:rPr>
            </w:pPr>
          </w:p>
        </w:tc>
        <w:tc>
          <w:tcPr>
            <w:tcW w:w="612"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2010</w:t>
            </w:r>
          </w:p>
        </w:tc>
        <w:tc>
          <w:tcPr>
            <w:tcW w:w="793"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2016</w:t>
            </w:r>
          </w:p>
        </w:tc>
        <w:tc>
          <w:tcPr>
            <w:tcW w:w="791"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2010</w:t>
            </w:r>
          </w:p>
        </w:tc>
        <w:tc>
          <w:tcPr>
            <w:tcW w:w="793"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2016</w:t>
            </w:r>
          </w:p>
        </w:tc>
        <w:tc>
          <w:tcPr>
            <w:tcW w:w="791"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2010</w:t>
            </w:r>
          </w:p>
        </w:tc>
        <w:tc>
          <w:tcPr>
            <w:tcW w:w="849"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2016</w:t>
            </w:r>
          </w:p>
        </w:tc>
        <w:tc>
          <w:tcPr>
            <w:tcW w:w="791"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2010</w:t>
            </w:r>
          </w:p>
        </w:tc>
        <w:tc>
          <w:tcPr>
            <w:tcW w:w="793" w:type="dxa"/>
            <w:tcBorders>
              <w:top w:val="nil"/>
              <w:left w:val="nil"/>
              <w:bottom w:val="single" w:sz="4" w:space="0" w:color="auto"/>
              <w:right w:val="single" w:sz="4" w:space="0" w:color="auto"/>
            </w:tcBorders>
            <w:shd w:val="clear" w:color="auto" w:fill="auto"/>
            <w:noWrap/>
            <w:vAlign w:val="bottom"/>
            <w:hideMark/>
          </w:tcPr>
          <w:p w:rsidR="00943434" w:rsidRPr="00C73365" w:rsidRDefault="00943434" w:rsidP="00BC440C">
            <w:pPr>
              <w:jc w:val="center"/>
              <w:rPr>
                <w:rFonts w:asciiTheme="minorHAnsi" w:hAnsiTheme="minorHAnsi" w:cstheme="minorHAnsi"/>
                <w:b/>
                <w:color w:val="000000"/>
                <w:szCs w:val="20"/>
                <w:lang w:val="fr-FR"/>
              </w:rPr>
            </w:pPr>
            <w:r w:rsidRPr="00C73365">
              <w:rPr>
                <w:rFonts w:asciiTheme="minorHAnsi" w:hAnsiTheme="minorHAnsi" w:cstheme="minorHAnsi"/>
                <w:b/>
                <w:color w:val="000000"/>
                <w:szCs w:val="20"/>
                <w:lang w:val="fr-FR"/>
              </w:rPr>
              <w:t>2016</w:t>
            </w:r>
          </w:p>
        </w:tc>
      </w:tr>
      <w:tr w:rsidR="00943434" w:rsidRPr="00C73365" w:rsidTr="00BC440C">
        <w:trPr>
          <w:trHeight w:val="239"/>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TOTAL</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33,3</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36,7</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2,2</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1,8</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7,5</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19,5</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1,5</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1</w:t>
            </w:r>
          </w:p>
        </w:tc>
      </w:tr>
      <w:tr w:rsidR="00943434" w:rsidRPr="00C73365" w:rsidTr="00BC440C">
        <w:trPr>
          <w:trHeight w:val="2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Asie et Pacifique</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4,7</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5,1</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0,3</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0,3</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0,9</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2,4</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0,2</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0,2</w:t>
            </w:r>
          </w:p>
        </w:tc>
      </w:tr>
      <w:tr w:rsidR="00943434" w:rsidRPr="00C73365" w:rsidTr="00BC440C">
        <w:trPr>
          <w:trHeight w:val="2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Afrique du Sud et de l</w:t>
            </w:r>
            <w:r w:rsidR="004572A0" w:rsidRPr="00C73365">
              <w:rPr>
                <w:rFonts w:asciiTheme="minorHAnsi" w:hAnsiTheme="minorHAnsi" w:cstheme="minorHAnsi"/>
                <w:bCs/>
                <w:color w:val="000000"/>
                <w:szCs w:val="20"/>
                <w:lang w:val="fr-FR"/>
              </w:rPr>
              <w:t>’</w:t>
            </w:r>
            <w:r w:rsidRPr="00C73365">
              <w:rPr>
                <w:rFonts w:asciiTheme="minorHAnsi" w:hAnsiTheme="minorHAnsi" w:cstheme="minorHAnsi"/>
                <w:bCs/>
                <w:color w:val="000000"/>
                <w:szCs w:val="20"/>
                <w:lang w:val="fr-FR"/>
              </w:rPr>
              <w:t>Est</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17,2</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19,4</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0,8</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4,1</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11,7</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0,8</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0,4</w:t>
            </w:r>
          </w:p>
        </w:tc>
      </w:tr>
      <w:tr w:rsidR="00943434" w:rsidRPr="00C73365" w:rsidTr="00BC440C">
        <w:trPr>
          <w:trHeight w:val="2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Europe de l</w:t>
            </w:r>
            <w:r w:rsidR="004572A0" w:rsidRPr="00C73365">
              <w:rPr>
                <w:rFonts w:asciiTheme="minorHAnsi" w:hAnsiTheme="minorHAnsi" w:cstheme="minorHAnsi"/>
                <w:bCs/>
                <w:color w:val="000000"/>
                <w:szCs w:val="20"/>
                <w:lang w:val="fr-FR"/>
              </w:rPr>
              <w:t>’</w:t>
            </w:r>
            <w:r w:rsidRPr="00C73365">
              <w:rPr>
                <w:rFonts w:asciiTheme="minorHAnsi" w:hAnsiTheme="minorHAnsi" w:cstheme="minorHAnsi"/>
                <w:bCs/>
                <w:color w:val="000000"/>
                <w:szCs w:val="20"/>
                <w:lang w:val="fr-FR"/>
              </w:rPr>
              <w:t>Est et Asie Centrale</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1,6</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0,2</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0,1</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0,4</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0,04</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0,04</w:t>
            </w:r>
          </w:p>
        </w:tc>
      </w:tr>
      <w:tr w:rsidR="00943434" w:rsidRPr="00C73365" w:rsidTr="00BC440C">
        <w:trPr>
          <w:trHeight w:val="2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Amérique Latine et Caraïbes</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2,1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2</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0,11</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0,6</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1,2</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0,06</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0,05</w:t>
            </w:r>
          </w:p>
        </w:tc>
      </w:tr>
      <w:tr w:rsidR="00943434" w:rsidRPr="00C73365" w:rsidTr="00BC440C">
        <w:trPr>
          <w:trHeight w:val="21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Moyen Orient et Afrique du Nord</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0,2</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0,2</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0,02</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0,02</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0,01</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0,05</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0,01</w:t>
            </w:r>
          </w:p>
        </w:tc>
      </w:tr>
      <w:tr w:rsidR="00943434" w:rsidRPr="00C73365" w:rsidTr="00BC440C">
        <w:trPr>
          <w:trHeight w:val="24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943434" w:rsidRPr="00C73365" w:rsidRDefault="00943434" w:rsidP="00BC440C">
            <w:pP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Afrique de l</w:t>
            </w:r>
            <w:r w:rsidR="004572A0" w:rsidRPr="00C73365">
              <w:rPr>
                <w:rFonts w:asciiTheme="minorHAnsi" w:hAnsiTheme="minorHAnsi" w:cstheme="minorHAnsi"/>
                <w:bCs/>
                <w:color w:val="000000"/>
                <w:szCs w:val="20"/>
                <w:lang w:val="fr-FR"/>
              </w:rPr>
              <w:t>’</w:t>
            </w:r>
            <w:r w:rsidRPr="00C73365">
              <w:rPr>
                <w:rFonts w:asciiTheme="minorHAnsi" w:hAnsiTheme="minorHAnsi" w:cstheme="minorHAnsi"/>
                <w:bCs/>
                <w:color w:val="000000"/>
                <w:szCs w:val="20"/>
                <w:lang w:val="fr-FR"/>
              </w:rPr>
              <w:t>Ouest et Centrale</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6,3</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6,1</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0,5</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0,4</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0,9</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2,1</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0,4</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bCs/>
                <w:color w:val="000000"/>
                <w:szCs w:val="20"/>
                <w:lang w:val="fr-FR"/>
              </w:rPr>
            </w:pPr>
            <w:r w:rsidRPr="00C73365">
              <w:rPr>
                <w:rFonts w:asciiTheme="minorHAnsi" w:hAnsiTheme="minorHAnsi" w:cstheme="minorHAnsi"/>
                <w:bCs/>
                <w:color w:val="000000"/>
                <w:szCs w:val="20"/>
                <w:lang w:val="fr-FR"/>
              </w:rPr>
              <w:t>0,3</w:t>
            </w:r>
          </w:p>
        </w:tc>
      </w:tr>
      <w:tr w:rsidR="00943434" w:rsidRPr="00C73365" w:rsidTr="00BC440C">
        <w:trPr>
          <w:trHeight w:val="274"/>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943434" w:rsidRPr="00C73365" w:rsidRDefault="00943434" w:rsidP="00BC440C">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Europe de l</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Ouest et Centrale et Amérique du Nord</w:t>
            </w:r>
          </w:p>
        </w:tc>
        <w:tc>
          <w:tcPr>
            <w:tcW w:w="612"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2,1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2,4</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0,1</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0,1</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0,9</w:t>
            </w:r>
          </w:p>
        </w:tc>
        <w:tc>
          <w:tcPr>
            <w:tcW w:w="849"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1,7</w:t>
            </w:r>
          </w:p>
        </w:tc>
        <w:tc>
          <w:tcPr>
            <w:tcW w:w="791"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0,03</w:t>
            </w:r>
          </w:p>
        </w:tc>
        <w:tc>
          <w:tcPr>
            <w:tcW w:w="793" w:type="dxa"/>
            <w:tcBorders>
              <w:top w:val="nil"/>
              <w:left w:val="nil"/>
              <w:bottom w:val="single" w:sz="4" w:space="0" w:color="auto"/>
              <w:right w:val="single" w:sz="4" w:space="0" w:color="auto"/>
            </w:tcBorders>
            <w:shd w:val="clear" w:color="auto" w:fill="auto"/>
            <w:noWrap/>
            <w:vAlign w:val="center"/>
            <w:hideMark/>
          </w:tcPr>
          <w:p w:rsidR="00943434" w:rsidRPr="00C73365" w:rsidRDefault="00943434" w:rsidP="00BC440C">
            <w:pPr>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0,02</w:t>
            </w:r>
          </w:p>
        </w:tc>
      </w:tr>
    </w:tbl>
    <w:p w:rsidR="00943434" w:rsidRPr="00C73365" w:rsidRDefault="00943434" w:rsidP="00943434">
      <w:pPr>
        <w:rPr>
          <w:rFonts w:asciiTheme="minorHAnsi" w:hAnsiTheme="minorHAnsi" w:cstheme="minorHAnsi"/>
          <w:b/>
          <w:szCs w:val="20"/>
          <w:u w:val="single"/>
          <w:lang w:val="fr-FR"/>
        </w:rPr>
      </w:pPr>
    </w:p>
    <w:p w:rsidR="00943434" w:rsidRPr="00C73365" w:rsidRDefault="00943434" w:rsidP="004572A0">
      <w:pPr>
        <w:pStyle w:val="BodyText"/>
        <w:rPr>
          <w:rFonts w:asciiTheme="minorHAnsi" w:eastAsia="Frutiger-Cn" w:hAnsiTheme="minorHAnsi" w:cstheme="minorHAnsi"/>
          <w:lang w:val="fr-FR"/>
        </w:rPr>
      </w:pPr>
      <w:r w:rsidRPr="00C73365">
        <w:rPr>
          <w:rFonts w:asciiTheme="minorHAnsi" w:hAnsiTheme="minorHAnsi" w:cstheme="minorHAnsi"/>
          <w:lang w:val="fr-FR"/>
        </w:rPr>
        <w:t>D</w:t>
      </w:r>
      <w:r w:rsidR="004572A0" w:rsidRPr="00C73365">
        <w:rPr>
          <w:rFonts w:asciiTheme="minorHAnsi" w:hAnsiTheme="minorHAnsi" w:cstheme="minorHAnsi"/>
          <w:lang w:val="fr-FR"/>
        </w:rPr>
        <w:t>’</w:t>
      </w:r>
      <w:r w:rsidRPr="00C73365">
        <w:rPr>
          <w:rFonts w:asciiTheme="minorHAnsi" w:hAnsiTheme="minorHAnsi" w:cstheme="minorHAnsi"/>
          <w:lang w:val="fr-FR"/>
        </w:rPr>
        <w:t>après les éléments de preuve indiquant les multiples avantages d</w:t>
      </w:r>
      <w:r w:rsidR="004572A0" w:rsidRPr="00C73365">
        <w:rPr>
          <w:rFonts w:asciiTheme="minorHAnsi" w:hAnsiTheme="minorHAnsi" w:cstheme="minorHAnsi"/>
          <w:lang w:val="fr-FR"/>
        </w:rPr>
        <w:t>’</w:t>
      </w:r>
      <w:r w:rsidRPr="00C73365">
        <w:rPr>
          <w:rFonts w:asciiTheme="minorHAnsi" w:hAnsiTheme="minorHAnsi" w:cstheme="minorHAnsi"/>
          <w:lang w:val="fr-FR"/>
        </w:rPr>
        <w:t>une initiation précoce du TAR, à la fois en termes de prévention et de traitement, l</w:t>
      </w:r>
      <w:r w:rsidR="004572A0" w:rsidRPr="00C73365">
        <w:rPr>
          <w:rFonts w:asciiTheme="minorHAnsi" w:hAnsiTheme="minorHAnsi" w:cstheme="minorHAnsi"/>
          <w:lang w:val="fr-FR"/>
        </w:rPr>
        <w:t>’</w:t>
      </w:r>
      <w:r w:rsidRPr="00C73365">
        <w:rPr>
          <w:rFonts w:asciiTheme="minorHAnsi" w:hAnsiTheme="minorHAnsi" w:cstheme="minorHAnsi"/>
          <w:lang w:val="fr-FR"/>
        </w:rPr>
        <w:t>OMS a révisé ses directives sur les TAR pour en recommander un usage prophylactique pour toute personne exposée à un risque substantiel de contamination (y compris les enfants conçus par des mères infectées) et un usage curatif pour tout personne contaminée, quel que soit son nombre de cellules CD4.</w:t>
      </w:r>
      <w:r w:rsidRPr="00C73365">
        <w:rPr>
          <w:rFonts w:asciiTheme="minorHAnsi" w:eastAsia="Frutiger-Cn" w:hAnsiTheme="minorHAnsi" w:cstheme="minorHAnsi"/>
          <w:color w:val="333333"/>
          <w:lang w:val="fr-FR"/>
        </w:rPr>
        <w:t xml:space="preserve"> </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Dans les pays du G7, le coût du TAR est généralement couvert par les systèmes publics d</w:t>
      </w:r>
      <w:r w:rsidR="004572A0" w:rsidRPr="00C73365">
        <w:rPr>
          <w:rFonts w:asciiTheme="minorHAnsi" w:hAnsiTheme="minorHAnsi" w:cstheme="minorHAnsi"/>
          <w:lang w:val="fr-FR"/>
        </w:rPr>
        <w:t>’</w:t>
      </w:r>
      <w:r w:rsidRPr="00C73365">
        <w:rPr>
          <w:rFonts w:asciiTheme="minorHAnsi" w:hAnsiTheme="minorHAnsi" w:cstheme="minorHAnsi"/>
          <w:lang w:val="fr-FR"/>
        </w:rPr>
        <w:t>assurance santé. Aux Etats-Unis, en 2012, 60% des médicaments contre le VIH ont été payés par des fonds publics</w:t>
      </w:r>
      <w:r w:rsidRPr="00C73365">
        <w:rPr>
          <w:rStyle w:val="FootnoteReference"/>
          <w:rFonts w:asciiTheme="minorHAnsi" w:eastAsia="SimSun" w:hAnsiTheme="minorHAnsi" w:cstheme="minorHAnsi"/>
          <w:spacing w:val="-2"/>
          <w:lang w:val="fr-FR"/>
        </w:rPr>
        <w:footnoteReference w:id="11"/>
      </w:r>
      <w:r w:rsidRPr="00C73365">
        <w:rPr>
          <w:rFonts w:asciiTheme="minorHAnsi" w:hAnsiTheme="minorHAnsi" w:cstheme="minorHAnsi"/>
          <w:lang w:val="fr-FR"/>
        </w:rPr>
        <w:t>, le VIH y bénéficiant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 « traitement de faveur » des assureurs et des organismes de santé. </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 xml:space="preserve">Par contre, dans les pays en voie de développement, assistance technique et soutien financier sont nécessaires pour lutter contre la pandémie mondiale qu’est le VIH/SIDA. </w:t>
      </w:r>
    </w:p>
    <w:p w:rsidR="00943434" w:rsidRPr="00C73365" w:rsidRDefault="00943434" w:rsidP="004572A0">
      <w:pPr>
        <w:pStyle w:val="BodyText"/>
        <w:rPr>
          <w:rFonts w:asciiTheme="minorHAnsi" w:hAnsiTheme="minorHAnsi" w:cstheme="minorHAnsi"/>
          <w:b/>
          <w:u w:val="single"/>
          <w:lang w:val="fr-FR"/>
        </w:rPr>
      </w:pPr>
      <w:r w:rsidRPr="00C73365">
        <w:rPr>
          <w:rFonts w:asciiTheme="minorHAnsi" w:hAnsiTheme="minorHAnsi" w:cstheme="minorHAnsi"/>
          <w:lang w:val="fr-FR"/>
        </w:rPr>
        <w:t>Ces quinze dernières années ont vu toute une série d</w:t>
      </w:r>
      <w:r w:rsidR="004572A0" w:rsidRPr="00C73365">
        <w:rPr>
          <w:rFonts w:asciiTheme="minorHAnsi" w:hAnsiTheme="minorHAnsi" w:cstheme="minorHAnsi"/>
          <w:lang w:val="fr-FR"/>
        </w:rPr>
        <w:t>’</w:t>
      </w:r>
      <w:r w:rsidRPr="00C73365">
        <w:rPr>
          <w:rFonts w:asciiTheme="minorHAnsi" w:hAnsiTheme="minorHAnsi" w:cstheme="minorHAnsi"/>
          <w:lang w:val="fr-FR"/>
        </w:rPr>
        <w:t>initiatives mondiales, lancées sous l’auspice des Nations-Unies, de l</w:t>
      </w:r>
      <w:r w:rsidR="004572A0" w:rsidRPr="00C73365">
        <w:rPr>
          <w:rFonts w:asciiTheme="minorHAnsi" w:hAnsiTheme="minorHAnsi" w:cstheme="minorHAnsi"/>
          <w:lang w:val="fr-FR"/>
        </w:rPr>
        <w:t>’</w:t>
      </w:r>
      <w:r w:rsidRPr="00C73365">
        <w:rPr>
          <w:rFonts w:asciiTheme="minorHAnsi" w:hAnsiTheme="minorHAnsi" w:cstheme="minorHAnsi"/>
          <w:lang w:val="fr-FR"/>
        </w:rPr>
        <w:t>OMS et/ou de grandes ONG ou fondations, avec pour objectif de coordonner l</w:t>
      </w:r>
      <w:r w:rsidR="004572A0" w:rsidRPr="00C73365">
        <w:rPr>
          <w:rFonts w:asciiTheme="minorHAnsi" w:hAnsiTheme="minorHAnsi" w:cstheme="minorHAnsi"/>
          <w:lang w:val="fr-FR"/>
        </w:rPr>
        <w:t>’</w:t>
      </w:r>
      <w:r w:rsidRPr="00C73365">
        <w:rPr>
          <w:rFonts w:asciiTheme="minorHAnsi" w:hAnsiTheme="minorHAnsi" w:cstheme="minorHAnsi"/>
          <w:lang w:val="fr-FR"/>
        </w:rPr>
        <w:t>aide aux pays à revenu faible ou intermédiaire. La plupart des programmes remarquables et couronnés de succès ont été lancés en partenariat avec les autorités locales, l</w:t>
      </w:r>
      <w:r w:rsidR="004572A0" w:rsidRPr="00C73365">
        <w:rPr>
          <w:rFonts w:asciiTheme="minorHAnsi" w:hAnsiTheme="minorHAnsi" w:cstheme="minorHAnsi"/>
          <w:lang w:val="fr-FR"/>
        </w:rPr>
        <w:t>’</w:t>
      </w:r>
      <w:r w:rsidRPr="00C73365">
        <w:rPr>
          <w:rFonts w:asciiTheme="minorHAnsi" w:hAnsiTheme="minorHAnsi" w:cstheme="minorHAnsi"/>
          <w:lang w:val="fr-FR"/>
        </w:rPr>
        <w:t>OMS et les Nations-Unies, le Fonds mondial de lutte contre le sida, la tuberculose et le paludisme, la Clinton Health Access Initiative ou la Fondation Bill et Melinda Gates.</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En 2002, seules 300 000 personnes bénéficiaient d</w:t>
      </w:r>
      <w:r w:rsidR="004572A0" w:rsidRPr="00C73365">
        <w:rPr>
          <w:rFonts w:asciiTheme="minorHAnsi" w:hAnsiTheme="minorHAnsi" w:cstheme="minorHAnsi"/>
          <w:lang w:val="fr-FR"/>
        </w:rPr>
        <w:t>’</w:t>
      </w:r>
      <w:r w:rsidRPr="00C73365">
        <w:rPr>
          <w:rFonts w:asciiTheme="minorHAnsi" w:hAnsiTheme="minorHAnsi" w:cstheme="minorHAnsi"/>
          <w:lang w:val="fr-FR"/>
        </w:rPr>
        <w:t>un traitement contre le VIH/SIDA dans les pays à revenu faible ou moyen, alors que ces traitements s’élevaient à plus de 10 000$ par personne et par an. A la fin de 2016, 15,8 millions de patients des pays en voie de développement ont accès à un traitement contre le VIH,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excellente qualité, l’amenant </w:t>
      </w:r>
      <w:r w:rsidRPr="00C73365">
        <w:rPr>
          <w:rFonts w:asciiTheme="minorHAnsi" w:hAnsiTheme="minorHAnsi" w:cstheme="minorHAnsi"/>
          <w:lang w:val="fr-FR"/>
        </w:rPr>
        <w:lastRenderedPageBreak/>
        <w:t>à un peu plus de 100$ par personne et par an pour un traitement de première intention et à 300$ annuels pour un traitement de deuxième intention chez l’adulte</w:t>
      </w:r>
      <w:r w:rsidRPr="00C73365">
        <w:rPr>
          <w:rStyle w:val="FootnoteReference"/>
          <w:rFonts w:asciiTheme="minorHAnsi" w:eastAsia="SimSun" w:hAnsiTheme="minorHAnsi" w:cstheme="minorHAnsi"/>
          <w:lang w:val="fr-FR"/>
        </w:rPr>
        <w:footnoteReference w:id="12"/>
      </w:r>
      <w:r w:rsidRPr="00C73365">
        <w:rPr>
          <w:rFonts w:asciiTheme="minorHAnsi" w:hAnsiTheme="minorHAnsi" w:cstheme="minorHAnsi"/>
          <w:lang w:val="fr-FR"/>
        </w:rPr>
        <w:t xml:space="preserve">. </w:t>
      </w:r>
    </w:p>
    <w:p w:rsidR="00943434" w:rsidRPr="00C73365" w:rsidRDefault="00943434" w:rsidP="004572A0">
      <w:pPr>
        <w:pStyle w:val="BodyText"/>
        <w:rPr>
          <w:rFonts w:asciiTheme="minorHAnsi" w:hAnsiTheme="minorHAnsi" w:cstheme="minorHAnsi"/>
          <w:b/>
          <w:lang w:val="fr-FR"/>
        </w:rPr>
      </w:pPr>
      <w:r w:rsidRPr="00C73365">
        <w:rPr>
          <w:rFonts w:asciiTheme="minorHAnsi" w:hAnsiTheme="minorHAnsi" w:cstheme="minorHAnsi"/>
          <w:b/>
          <w:lang w:val="fr-FR"/>
        </w:rPr>
        <w:t>Marché total de la TAR dans les pays accessibles aux génériques (en $US)</w:t>
      </w:r>
    </w:p>
    <w:p w:rsidR="00943434" w:rsidRPr="00C73365" w:rsidRDefault="00943434" w:rsidP="00A64BA1">
      <w:pPr>
        <w:autoSpaceDE w:val="0"/>
        <w:autoSpaceDN w:val="0"/>
        <w:adjustRightInd w:val="0"/>
        <w:jc w:val="center"/>
        <w:rPr>
          <w:rFonts w:asciiTheme="minorHAnsi" w:hAnsiTheme="minorHAnsi" w:cstheme="minorHAnsi"/>
          <w:i/>
          <w:color w:val="7030A0"/>
          <w:sz w:val="18"/>
          <w:szCs w:val="20"/>
        </w:rPr>
      </w:pPr>
      <w:r w:rsidRPr="00C73365">
        <w:rPr>
          <w:rFonts w:asciiTheme="minorHAnsi" w:hAnsiTheme="minorHAnsi" w:cstheme="minorHAnsi"/>
          <w:noProof/>
          <w:lang w:val="fr-FR" w:eastAsia="fr-FR"/>
        </w:rPr>
        <w:drawing>
          <wp:inline distT="0" distB="0" distL="0" distR="0" wp14:anchorId="6FCB1785" wp14:editId="5D5248B1">
            <wp:extent cx="2360658" cy="1476587"/>
            <wp:effectExtent l="0" t="0" r="190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69809" cy="1482311"/>
                    </a:xfrm>
                    <a:prstGeom prst="rect">
                      <a:avLst/>
                    </a:prstGeom>
                  </pic:spPr>
                </pic:pic>
              </a:graphicData>
            </a:graphic>
          </wp:inline>
        </w:drawing>
      </w:r>
    </w:p>
    <w:p w:rsidR="00943434" w:rsidRPr="00C73365" w:rsidRDefault="00943434" w:rsidP="004572A0">
      <w:pPr>
        <w:pStyle w:val="BodyText"/>
        <w:rPr>
          <w:rFonts w:asciiTheme="minorHAnsi" w:eastAsiaTheme="minorHAnsi" w:hAnsiTheme="minorHAnsi" w:cstheme="minorHAnsi"/>
          <w:i/>
          <w:color w:val="000000"/>
        </w:rPr>
      </w:pPr>
      <w:r w:rsidRPr="00C73365">
        <w:rPr>
          <w:rFonts w:asciiTheme="minorHAnsi" w:hAnsiTheme="minorHAnsi" w:cstheme="minorHAnsi"/>
          <w:i/>
        </w:rPr>
        <w:t>Source: The State of the Antiretroviral Drug Market in Low- and Middle-Income Countries, 2015-2020</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Le marché inaccessible aux génériques s</w:t>
      </w:r>
      <w:r w:rsidR="004572A0" w:rsidRPr="00C73365">
        <w:rPr>
          <w:rFonts w:asciiTheme="minorHAnsi" w:hAnsiTheme="minorHAnsi" w:cstheme="minorHAnsi"/>
          <w:lang w:val="fr-FR"/>
        </w:rPr>
        <w:t>’</w:t>
      </w:r>
      <w:r w:rsidRPr="00C73365">
        <w:rPr>
          <w:rFonts w:asciiTheme="minorHAnsi" w:hAnsiTheme="minorHAnsi" w:cstheme="minorHAnsi"/>
          <w:lang w:val="fr-FR"/>
        </w:rPr>
        <w:t>élevait à 230 M$ en 2014, soit 13% du marché des pays à revenu faible ou moyen.</w:t>
      </w:r>
    </w:p>
    <w:p w:rsidR="00943434" w:rsidRPr="00C73365" w:rsidRDefault="00943434" w:rsidP="004572A0">
      <w:pPr>
        <w:pStyle w:val="BodyText"/>
        <w:rPr>
          <w:rFonts w:asciiTheme="minorHAnsi" w:hAnsiTheme="minorHAnsi" w:cstheme="minorHAnsi"/>
          <w:b/>
          <w:lang w:val="fr-FR"/>
        </w:rPr>
      </w:pPr>
      <w:r w:rsidRPr="00C73365">
        <w:rPr>
          <w:rFonts w:asciiTheme="minorHAnsi" w:hAnsiTheme="minorHAnsi" w:cstheme="minorHAnsi"/>
          <w:b/>
          <w:lang w:val="fr-FR"/>
        </w:rPr>
        <w:t>Marché des TAR dans les pays accessibles aux génériques, par rapport aux pays inaccessibles (en $US)</w:t>
      </w:r>
    </w:p>
    <w:p w:rsidR="00943434" w:rsidRPr="00C73365" w:rsidRDefault="00943434" w:rsidP="00A64BA1">
      <w:pPr>
        <w:autoSpaceDE w:val="0"/>
        <w:autoSpaceDN w:val="0"/>
        <w:adjustRightInd w:val="0"/>
        <w:jc w:val="center"/>
        <w:rPr>
          <w:rFonts w:asciiTheme="minorHAnsi" w:hAnsiTheme="minorHAnsi" w:cstheme="minorHAnsi"/>
          <w:szCs w:val="20"/>
          <w:highlight w:val="yellow"/>
        </w:rPr>
      </w:pPr>
      <w:r w:rsidRPr="00C73365">
        <w:rPr>
          <w:rFonts w:asciiTheme="minorHAnsi" w:hAnsiTheme="minorHAnsi" w:cstheme="minorHAnsi"/>
          <w:noProof/>
          <w:szCs w:val="20"/>
          <w:lang w:val="fr-FR" w:eastAsia="fr-FR"/>
        </w:rPr>
        <w:drawing>
          <wp:inline distT="0" distB="0" distL="0" distR="0" wp14:anchorId="38BBA669" wp14:editId="11EBEA81">
            <wp:extent cx="2411307" cy="1372235"/>
            <wp:effectExtent l="0" t="0" r="190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28508" cy="1382024"/>
                    </a:xfrm>
                    <a:prstGeom prst="rect">
                      <a:avLst/>
                    </a:prstGeom>
                  </pic:spPr>
                </pic:pic>
              </a:graphicData>
            </a:graphic>
          </wp:inline>
        </w:drawing>
      </w:r>
    </w:p>
    <w:p w:rsidR="00943434" w:rsidRPr="00C73365" w:rsidRDefault="00943434" w:rsidP="004572A0">
      <w:pPr>
        <w:pStyle w:val="BodyText"/>
        <w:rPr>
          <w:rFonts w:asciiTheme="minorHAnsi" w:hAnsiTheme="minorHAnsi" w:cstheme="minorHAnsi"/>
          <w:i/>
        </w:rPr>
      </w:pPr>
      <w:r w:rsidRPr="00C73365">
        <w:rPr>
          <w:rFonts w:asciiTheme="minorHAnsi" w:hAnsiTheme="minorHAnsi" w:cstheme="minorHAnsi"/>
          <w:i/>
        </w:rPr>
        <w:t>Source: The State of the Antiretroviral Drug Market in Low- and Middle-Income Countries, 2015-2020</w:t>
      </w:r>
    </w:p>
    <w:p w:rsidR="00943434" w:rsidRPr="00C73365" w:rsidRDefault="00943434" w:rsidP="00943434">
      <w:pPr>
        <w:pStyle w:val="ListParagraph"/>
        <w:numPr>
          <w:ilvl w:val="3"/>
          <w:numId w:val="9"/>
        </w:numPr>
        <w:spacing w:after="0"/>
        <w:outlineLvl w:val="2"/>
        <w:rPr>
          <w:rFonts w:asciiTheme="minorHAnsi" w:hAnsiTheme="minorHAnsi" w:cstheme="minorHAnsi"/>
          <w:b/>
          <w:szCs w:val="20"/>
          <w:lang w:val="fr-FR"/>
        </w:rPr>
      </w:pPr>
      <w:bookmarkStart w:id="292" w:name="_Toc408918387"/>
      <w:bookmarkStart w:id="293" w:name="_Toc409537468"/>
      <w:r w:rsidRPr="00C73365">
        <w:rPr>
          <w:rFonts w:asciiTheme="minorHAnsi" w:hAnsiTheme="minorHAnsi" w:cstheme="minorHAnsi"/>
          <w:lang w:val="fr-FR"/>
        </w:rPr>
        <w:t>Pipeline de R&amp;D du VIH et concurrence</w:t>
      </w:r>
      <w:bookmarkEnd w:id="292"/>
      <w:bookmarkEnd w:id="293"/>
    </w:p>
    <w:p w:rsidR="00943434" w:rsidRPr="00C73365" w:rsidRDefault="00943434" w:rsidP="00943434">
      <w:pPr>
        <w:pStyle w:val="ListParagraph"/>
        <w:ind w:left="2520"/>
        <w:rPr>
          <w:rFonts w:asciiTheme="minorHAnsi" w:hAnsiTheme="minorHAnsi" w:cstheme="minorHAnsi"/>
          <w:b/>
          <w:szCs w:val="20"/>
          <w:lang w:val="fr-FR"/>
        </w:rPr>
      </w:pPr>
    </w:p>
    <w:p w:rsidR="00943434" w:rsidRPr="00C73365" w:rsidRDefault="00943434" w:rsidP="004572A0">
      <w:pPr>
        <w:pStyle w:val="BodyText"/>
        <w:rPr>
          <w:rFonts w:asciiTheme="minorHAnsi" w:hAnsiTheme="minorHAnsi" w:cstheme="minorHAnsi"/>
          <w:b/>
          <w:u w:val="single"/>
          <w:lang w:val="fr-FR"/>
        </w:rPr>
      </w:pPr>
      <w:r w:rsidRPr="00C73365">
        <w:rPr>
          <w:rFonts w:asciiTheme="minorHAnsi" w:hAnsiTheme="minorHAnsi" w:cstheme="minorHAnsi"/>
          <w:lang w:val="fr-FR"/>
        </w:rPr>
        <w:t xml:space="preserve">Le pipeline de développement avancé des nouveaux produits contre le VIH/SIDA se concentre sur la mise au point de combinaison à doses fixes (FDC) ou de régime à comprimé unique (STR) sur la base d’agents thérapeutiques déjà sur le marché. En effet, la simplification des régimes posologiques répond à une forte demande thérapeutique. Le succès d’Atripla de Gilead souligne l’importance croissante des STR, en dépit de ses effets secondaire sur le système nerveux central. Il existe actuellement </w:t>
      </w:r>
      <w:r w:rsidRPr="00C73365">
        <w:rPr>
          <w:rFonts w:asciiTheme="minorHAnsi" w:hAnsiTheme="minorHAnsi" w:cstheme="minorHAnsi"/>
          <w:spacing w:val="-4"/>
          <w:lang w:val="fr-FR"/>
        </w:rPr>
        <w:t xml:space="preserve">en stade avancé de développement 3 régimes a comprimé unique (STR) et 4 combinaisons à dose fixe (FCD) </w:t>
      </w:r>
    </w:p>
    <w:p w:rsidR="00943434" w:rsidRPr="00C73365" w:rsidRDefault="00943434" w:rsidP="004572A0">
      <w:pPr>
        <w:pStyle w:val="BodyText"/>
        <w:rPr>
          <w:rFonts w:asciiTheme="minorHAnsi" w:eastAsiaTheme="minorEastAsia" w:hAnsiTheme="minorHAnsi" w:cstheme="minorHAnsi"/>
          <w:lang w:val="fr-FR" w:eastAsia="fr-FR"/>
        </w:rPr>
      </w:pPr>
      <w:r w:rsidRPr="00C73365">
        <w:rPr>
          <w:rFonts w:asciiTheme="minorHAnsi" w:eastAsiaTheme="minorEastAsia" w:hAnsiTheme="minorHAnsi" w:cstheme="minorHAnsi"/>
          <w:lang w:val="fr-FR" w:eastAsia="fr-FR"/>
        </w:rPr>
        <w:t>Avec des nouveaux agents thérapeutiques qui étendent l’espérance de vie des malades infectés par le HIV, les sociétés pharmaceutiques actives dans la R&amp;D de médicaments antirétroviraux se concentrent sur des nouveaux composés mieux tolérés et disposant d’un meilleur profil d’innocuité. Des nouveaux produits actifs contre des VIH résistants correspondent aussi à un important besoin médical, car les traitements disponibles sont composés d’agents thérapeutiques individualisés avec des profils de tolérance et d’efficacité sous optimaux.</w:t>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Le STR de Gilead/Janssen, combinaison de darunavir/cobicistat/emcitribacine/TDF, qui devrait être lancé dans un futur proche, pourrait permettre à des patients infectés par des souches de VIH résistant aux traitements d</w:t>
      </w:r>
      <w:r w:rsidR="004572A0" w:rsidRPr="00C73365">
        <w:rPr>
          <w:rFonts w:asciiTheme="minorHAnsi" w:hAnsiTheme="minorHAnsi" w:cstheme="minorHAnsi"/>
          <w:lang w:val="fr-FR"/>
        </w:rPr>
        <w:t>’</w:t>
      </w:r>
      <w:r w:rsidRPr="00C73365">
        <w:rPr>
          <w:rFonts w:asciiTheme="minorHAnsi" w:hAnsiTheme="minorHAnsi" w:cstheme="minorHAnsi"/>
          <w:lang w:val="fr-FR"/>
        </w:rPr>
        <w:t>accéder à un STR, un traitement plus simple d</w:t>
      </w:r>
      <w:r w:rsidR="004572A0" w:rsidRPr="00C73365">
        <w:rPr>
          <w:rFonts w:asciiTheme="minorHAnsi" w:hAnsiTheme="minorHAnsi" w:cstheme="minorHAnsi"/>
          <w:lang w:val="fr-FR"/>
        </w:rPr>
        <w:t>’</w:t>
      </w:r>
      <w:r w:rsidRPr="00C73365">
        <w:rPr>
          <w:rFonts w:asciiTheme="minorHAnsi" w:hAnsiTheme="minorHAnsi" w:cstheme="minorHAnsi"/>
          <w:lang w:val="fr-FR"/>
        </w:rPr>
        <w:t>emploi.</w:t>
      </w:r>
    </w:p>
    <w:p w:rsidR="00943434" w:rsidRPr="00C73365" w:rsidRDefault="00943434" w:rsidP="004572A0">
      <w:pPr>
        <w:pStyle w:val="BodyText"/>
        <w:rPr>
          <w:rFonts w:asciiTheme="minorHAnsi" w:hAnsiTheme="minorHAnsi" w:cstheme="minorHAnsi"/>
          <w:b/>
          <w:i/>
          <w:sz w:val="18"/>
          <w:lang w:val="fr-FR"/>
        </w:rPr>
      </w:pPr>
      <w:r w:rsidRPr="00C73365">
        <w:rPr>
          <w:rFonts w:asciiTheme="minorHAnsi" w:hAnsiTheme="minorHAnsi" w:cstheme="minorHAnsi"/>
          <w:b/>
          <w:lang w:val="fr-FR"/>
        </w:rPr>
        <w:t>Pipeline avancé de produits clès en développement</w:t>
      </w:r>
      <w:r w:rsidRPr="00C73365">
        <w:rPr>
          <w:rFonts w:asciiTheme="minorHAnsi" w:hAnsiTheme="minorHAnsi" w:cstheme="minorHAnsi"/>
          <w:b/>
          <w:i/>
          <w:sz w:val="18"/>
          <w:lang w:val="fr-FR"/>
        </w:rPr>
        <w:t xml:space="preserve"> </w:t>
      </w:r>
    </w:p>
    <w:p w:rsidR="00943434" w:rsidRPr="00C73365" w:rsidRDefault="00943434" w:rsidP="00943434">
      <w:pPr>
        <w:rPr>
          <w:rFonts w:asciiTheme="minorHAnsi" w:hAnsiTheme="minorHAnsi" w:cstheme="minorHAnsi"/>
          <w:b/>
          <w:bCs/>
          <w:szCs w:val="20"/>
        </w:rPr>
      </w:pPr>
      <w:r w:rsidRPr="00C73365">
        <w:rPr>
          <w:rFonts w:asciiTheme="minorHAnsi" w:hAnsiTheme="minorHAnsi" w:cstheme="minorHAnsi"/>
          <w:b/>
          <w:bCs/>
          <w:noProof/>
          <w:szCs w:val="20"/>
          <w:lang w:val="fr-FR" w:eastAsia="fr-FR"/>
        </w:rPr>
        <w:lastRenderedPageBreak/>
        <w:drawing>
          <wp:inline distT="0" distB="0" distL="0" distR="0" wp14:anchorId="229020F8" wp14:editId="0E4D9639">
            <wp:extent cx="5832764" cy="290269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44793" cy="2908676"/>
                    </a:xfrm>
                    <a:prstGeom prst="rect">
                      <a:avLst/>
                    </a:prstGeom>
                  </pic:spPr>
                </pic:pic>
              </a:graphicData>
            </a:graphic>
          </wp:inline>
        </w:drawing>
      </w: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Sur la base des résultats cliniques obtenus (Phases I et première</w:t>
      </w:r>
      <w:r w:rsidR="008B16FF" w:rsidRPr="00C73365">
        <w:rPr>
          <w:rFonts w:asciiTheme="minorHAnsi" w:hAnsiTheme="minorHAnsi" w:cstheme="minorHAnsi"/>
          <w:lang w:val="fr-FR"/>
        </w:rPr>
        <w:t>s études de</w:t>
      </w:r>
      <w:r w:rsidRPr="00C73365">
        <w:rPr>
          <w:rFonts w:asciiTheme="minorHAnsi" w:hAnsiTheme="minorHAnsi" w:cstheme="minorHAnsi"/>
          <w:lang w:val="fr-FR"/>
        </w:rPr>
        <w:t xml:space="preserve"> Phase IIa) et des données précliniques obtenues à ce jour par </w:t>
      </w:r>
      <w:r w:rsidR="00EF089C" w:rsidRPr="00C73365">
        <w:rPr>
          <w:rFonts w:asciiTheme="minorHAnsi" w:hAnsiTheme="minorHAnsi" w:cstheme="minorHAnsi"/>
          <w:lang w:val="fr-FR"/>
        </w:rPr>
        <w:t>ABIVAX</w:t>
      </w:r>
      <w:r w:rsidRPr="00C73365">
        <w:rPr>
          <w:rFonts w:asciiTheme="minorHAnsi" w:hAnsiTheme="minorHAnsi" w:cstheme="minorHAnsi"/>
          <w:lang w:val="fr-FR"/>
        </w:rPr>
        <w:t>, ABX464 a le potentiel de s</w:t>
      </w:r>
      <w:r w:rsidR="004572A0" w:rsidRPr="00C73365">
        <w:rPr>
          <w:rFonts w:asciiTheme="minorHAnsi" w:hAnsiTheme="minorHAnsi" w:cstheme="minorHAnsi"/>
          <w:lang w:val="fr-FR"/>
        </w:rPr>
        <w:t>’</w:t>
      </w:r>
      <w:r w:rsidRPr="00C73365">
        <w:rPr>
          <w:rFonts w:asciiTheme="minorHAnsi" w:hAnsiTheme="minorHAnsi" w:cstheme="minorHAnsi"/>
          <w:lang w:val="fr-FR"/>
        </w:rPr>
        <w:t>imposer comme un traitement privilégié dans la lutte contre le VIH, car il apporte</w:t>
      </w:r>
      <w:r w:rsidR="008B16FF" w:rsidRPr="00C73365">
        <w:rPr>
          <w:rFonts w:asciiTheme="minorHAnsi" w:hAnsiTheme="minorHAnsi" w:cstheme="minorHAnsi"/>
          <w:lang w:val="fr-FR"/>
        </w:rPr>
        <w:t>rait</w:t>
      </w:r>
      <w:r w:rsidRPr="00C73365">
        <w:rPr>
          <w:rFonts w:asciiTheme="minorHAnsi" w:hAnsiTheme="minorHAnsi" w:cstheme="minorHAnsi"/>
          <w:lang w:val="fr-FR"/>
        </w:rPr>
        <w:t xml:space="preserve"> ce que le corps médical attend de nouveaux médicaments contre le VIH :</w:t>
      </w:r>
    </w:p>
    <w:p w:rsidR="00943434" w:rsidRPr="00C73365" w:rsidRDefault="006A4FB1"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C</w:t>
      </w:r>
      <w:r w:rsidR="00943434" w:rsidRPr="00C73365">
        <w:rPr>
          <w:rFonts w:asciiTheme="minorHAnsi" w:hAnsiTheme="minorHAnsi" w:cstheme="minorHAnsi"/>
          <w:szCs w:val="20"/>
          <w:lang w:val="fr-FR"/>
        </w:rPr>
        <w:t>ontrôle de la charge virale sur le long terme ;</w:t>
      </w:r>
    </w:p>
    <w:p w:rsidR="00943434" w:rsidRPr="00C73365" w:rsidRDefault="006A4FB1"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R</w:t>
      </w:r>
      <w:r w:rsidR="00943434" w:rsidRPr="00C73365">
        <w:rPr>
          <w:rFonts w:asciiTheme="minorHAnsi" w:hAnsiTheme="minorHAnsi" w:cstheme="minorHAnsi"/>
          <w:szCs w:val="20"/>
          <w:lang w:val="fr-FR"/>
        </w:rPr>
        <w:t>éduction de la fréquence d</w:t>
      </w:r>
      <w:r w:rsidR="004572A0" w:rsidRPr="00C73365">
        <w:rPr>
          <w:rFonts w:asciiTheme="minorHAnsi" w:hAnsiTheme="minorHAnsi" w:cstheme="minorHAnsi"/>
          <w:szCs w:val="20"/>
          <w:lang w:val="fr-FR"/>
        </w:rPr>
        <w:t>’</w:t>
      </w:r>
      <w:r w:rsidR="00943434" w:rsidRPr="00C73365">
        <w:rPr>
          <w:rFonts w:asciiTheme="minorHAnsi" w:hAnsiTheme="minorHAnsi" w:cstheme="minorHAnsi"/>
          <w:szCs w:val="20"/>
          <w:lang w:val="fr-FR"/>
        </w:rPr>
        <w:t>administration ;</w:t>
      </w:r>
    </w:p>
    <w:p w:rsidR="00943434" w:rsidRPr="00C73365" w:rsidRDefault="006A4FB1" w:rsidP="00434C49">
      <w:pPr>
        <w:pStyle w:val="ListParagraph"/>
        <w:numPr>
          <w:ilvl w:val="0"/>
          <w:numId w:val="74"/>
        </w:numPr>
        <w:spacing w:after="0" w:line="240" w:lineRule="atLeast"/>
        <w:contextualSpacing/>
        <w:rPr>
          <w:rFonts w:asciiTheme="minorHAnsi" w:hAnsiTheme="minorHAnsi" w:cstheme="minorHAnsi"/>
          <w:szCs w:val="20"/>
          <w:lang w:val="fr-FR"/>
        </w:rPr>
      </w:pPr>
      <w:r w:rsidRPr="00C73365">
        <w:rPr>
          <w:rFonts w:asciiTheme="minorHAnsi" w:hAnsiTheme="minorHAnsi" w:cstheme="minorHAnsi"/>
          <w:szCs w:val="20"/>
          <w:lang w:val="fr-FR"/>
        </w:rPr>
        <w:t>A</w:t>
      </w:r>
      <w:r w:rsidR="00943434" w:rsidRPr="00C73365">
        <w:rPr>
          <w:rFonts w:asciiTheme="minorHAnsi" w:hAnsiTheme="minorHAnsi" w:cstheme="minorHAnsi"/>
          <w:szCs w:val="20"/>
          <w:lang w:val="fr-FR"/>
        </w:rPr>
        <w:t>bsence de résistance ;</w:t>
      </w:r>
    </w:p>
    <w:p w:rsidR="00B67A56" w:rsidRPr="00C73365" w:rsidRDefault="00B67A56" w:rsidP="00B67A56">
      <w:pPr>
        <w:pStyle w:val="ListParagraph"/>
        <w:ind w:left="1428"/>
        <w:rPr>
          <w:rFonts w:asciiTheme="minorHAnsi" w:hAnsiTheme="minorHAnsi" w:cstheme="minorHAnsi"/>
          <w:szCs w:val="20"/>
          <w:lang w:val="fr-FR"/>
        </w:rPr>
      </w:pPr>
    </w:p>
    <w:p w:rsidR="00B67A56" w:rsidRPr="002B0D0F" w:rsidRDefault="00B67A56" w:rsidP="00B67A56">
      <w:pPr>
        <w:pStyle w:val="ListParagraph"/>
        <w:numPr>
          <w:ilvl w:val="3"/>
          <w:numId w:val="9"/>
        </w:numPr>
        <w:outlineLvl w:val="2"/>
        <w:rPr>
          <w:rFonts w:asciiTheme="minorHAnsi" w:hAnsiTheme="minorHAnsi" w:cstheme="minorHAnsi"/>
          <w:lang w:val="fr-FR"/>
        </w:rPr>
      </w:pPr>
      <w:bookmarkStart w:id="294" w:name="_Toc408918388"/>
      <w:bookmarkStart w:id="295" w:name="_Toc409537469"/>
      <w:r w:rsidRPr="002B0D0F">
        <w:rPr>
          <w:rFonts w:asciiTheme="minorHAnsi" w:hAnsiTheme="minorHAnsi" w:cstheme="minorHAnsi"/>
          <w:lang w:val="fr-FR"/>
        </w:rPr>
        <w:t>La technologie d</w:t>
      </w:r>
      <w:r w:rsidR="004572A0" w:rsidRPr="002B0D0F">
        <w:rPr>
          <w:rFonts w:asciiTheme="minorHAnsi" w:hAnsiTheme="minorHAnsi" w:cstheme="minorHAnsi"/>
          <w:lang w:val="fr-FR"/>
        </w:rPr>
        <w:t>’</w:t>
      </w:r>
      <w:r w:rsidR="00EF089C" w:rsidRPr="002B0D0F">
        <w:rPr>
          <w:rFonts w:asciiTheme="minorHAnsi" w:hAnsiTheme="minorHAnsi" w:cstheme="minorHAnsi"/>
          <w:lang w:val="fr-FR"/>
        </w:rPr>
        <w:t>ABIVAX</w:t>
      </w:r>
      <w:r w:rsidRPr="002B0D0F">
        <w:rPr>
          <w:rFonts w:asciiTheme="minorHAnsi" w:hAnsiTheme="minorHAnsi" w:cstheme="minorHAnsi"/>
          <w:lang w:val="fr-FR"/>
        </w:rPr>
        <w:t> : ABX464, une petite molécule novatrice inhibant la reproduction du VIH</w:t>
      </w:r>
      <w:bookmarkEnd w:id="294"/>
      <w:bookmarkEnd w:id="295"/>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ABX464 est le premier médicament candidat issu de la plateforme technologique propriétaire d</w:t>
      </w:r>
      <w:r w:rsidR="004572A0" w:rsidRPr="00C73365">
        <w:rPr>
          <w:rFonts w:asciiTheme="minorHAnsi" w:hAnsiTheme="minorHAnsi" w:cstheme="minorHAnsi"/>
          <w:lang w:val="fr-FR"/>
        </w:rPr>
        <w:t>’</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de la chimiothèque de plus de 1</w:t>
      </w:r>
      <w:r w:rsidR="008B16FF" w:rsidRPr="00C73365">
        <w:rPr>
          <w:rFonts w:asciiTheme="minorHAnsi" w:hAnsiTheme="minorHAnsi" w:cstheme="minorHAnsi"/>
          <w:lang w:val="fr-FR"/>
        </w:rPr>
        <w:t>2</w:t>
      </w:r>
      <w:r w:rsidRPr="00C73365">
        <w:rPr>
          <w:rFonts w:asciiTheme="minorHAnsi" w:hAnsiTheme="minorHAnsi" w:cstheme="minorHAnsi"/>
          <w:lang w:val="fr-FR"/>
        </w:rPr>
        <w:t>00 petites molécules qui en a été dérivée.</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Cette plate-forme technologique est dédiée à la génération de petites molécules antivirales mettant en œuvre un mode d</w:t>
      </w:r>
      <w:r w:rsidR="004572A0" w:rsidRPr="00C73365">
        <w:rPr>
          <w:rFonts w:asciiTheme="minorHAnsi" w:hAnsiTheme="minorHAnsi" w:cstheme="minorHAnsi"/>
          <w:lang w:val="fr-FR"/>
        </w:rPr>
        <w:t>’</w:t>
      </w:r>
      <w:r w:rsidRPr="00C73365">
        <w:rPr>
          <w:rFonts w:asciiTheme="minorHAnsi" w:hAnsiTheme="minorHAnsi" w:cstheme="minorHAnsi"/>
          <w:lang w:val="fr-FR"/>
        </w:rPr>
        <w:t>action novateur. Elle est basée sur une connaissance approfondie des processus de transformation de l</w:t>
      </w:r>
      <w:r w:rsidR="004572A0" w:rsidRPr="00C73365">
        <w:rPr>
          <w:rFonts w:asciiTheme="minorHAnsi" w:hAnsiTheme="minorHAnsi" w:cstheme="minorHAnsi"/>
          <w:lang w:val="fr-FR"/>
        </w:rPr>
        <w:t>’</w:t>
      </w:r>
      <w:r w:rsidRPr="00C73365">
        <w:rPr>
          <w:rFonts w:asciiTheme="minorHAnsi" w:hAnsiTheme="minorHAnsi" w:cstheme="minorHAnsi"/>
          <w:lang w:val="fr-FR"/>
        </w:rPr>
        <w:t>ARN viral à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intérieur des cellules humaines hôtes et de la capacité de ces composés chimiques propriétaires à inhiber les interactions ARN/protéines. </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Le programme de découverte de candidats-médicaments se focalise sur une cible médicamenteuse sous-exploitée, le complexe ribonucléoprotéinique (RNP). L</w:t>
      </w:r>
      <w:r w:rsidR="004572A0" w:rsidRPr="00C73365">
        <w:rPr>
          <w:rFonts w:asciiTheme="minorHAnsi" w:hAnsiTheme="minorHAnsi" w:cstheme="minorHAnsi"/>
          <w:lang w:val="fr-FR"/>
        </w:rPr>
        <w:t>’</w:t>
      </w:r>
      <w:r w:rsidRPr="00C73365">
        <w:rPr>
          <w:rFonts w:asciiTheme="minorHAnsi" w:hAnsiTheme="minorHAnsi" w:cstheme="minorHAnsi"/>
          <w:lang w:val="fr-FR"/>
        </w:rPr>
        <w:t>ARN est toujours présent sous forme de complexe, associé à des protéines, pour former des RNP. Dans le cas des virus, les protéines cellulaires liant l</w:t>
      </w:r>
      <w:r w:rsidR="004572A0" w:rsidRPr="00C73365">
        <w:rPr>
          <w:rFonts w:asciiTheme="minorHAnsi" w:hAnsiTheme="minorHAnsi" w:cstheme="minorHAnsi"/>
          <w:lang w:val="fr-FR"/>
        </w:rPr>
        <w:t>’</w:t>
      </w:r>
      <w:r w:rsidRPr="00C73365">
        <w:rPr>
          <w:rFonts w:asciiTheme="minorHAnsi" w:hAnsiTheme="minorHAnsi" w:cstheme="minorHAnsi"/>
          <w:lang w:val="fr-FR"/>
        </w:rPr>
        <w:t>ARN sont généralement liées de façon transitoire aux ARN viraux codants et contrôlent plusieurs aspects de leur métabolisme, de la transcription à la traduction et à la dégénération. A l</w:t>
      </w:r>
      <w:r w:rsidR="004572A0" w:rsidRPr="00C73365">
        <w:rPr>
          <w:rFonts w:asciiTheme="minorHAnsi" w:hAnsiTheme="minorHAnsi" w:cstheme="minorHAnsi"/>
          <w:lang w:val="fr-FR"/>
        </w:rPr>
        <w:t>’</w:t>
      </w:r>
      <w:r w:rsidRPr="00C73365">
        <w:rPr>
          <w:rFonts w:asciiTheme="minorHAnsi" w:hAnsiTheme="minorHAnsi" w:cstheme="minorHAnsi"/>
          <w:lang w:val="fr-FR"/>
        </w:rPr>
        <w:t>inverse, au travers d</w:t>
      </w:r>
      <w:r w:rsidR="004572A0" w:rsidRPr="00C73365">
        <w:rPr>
          <w:rFonts w:asciiTheme="minorHAnsi" w:hAnsiTheme="minorHAnsi" w:cstheme="minorHAnsi"/>
          <w:lang w:val="fr-FR"/>
        </w:rPr>
        <w:t>’</w:t>
      </w:r>
      <w:r w:rsidRPr="00C73365">
        <w:rPr>
          <w:rFonts w:asciiTheme="minorHAnsi" w:hAnsiTheme="minorHAnsi" w:cstheme="minorHAnsi"/>
          <w:lang w:val="fr-FR"/>
        </w:rPr>
        <w:t>interactions directes, les protéines virales codées détournent les mécanismes cellulaires médiées par les RNP, ce qui permet la réplication virale. Les médicaments antiviraux d</w:t>
      </w:r>
      <w:r w:rsidR="004572A0" w:rsidRPr="00C73365">
        <w:rPr>
          <w:rFonts w:asciiTheme="minorHAnsi" w:hAnsiTheme="minorHAnsi" w:cstheme="minorHAnsi"/>
          <w:lang w:val="fr-FR"/>
        </w:rPr>
        <w:t>’</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ciblent les complexes RNP impliqués dans ces interactions.</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ciblage des RNP est difficile en raison des rôles multiples joués par ces complexes, de leurs conformations dynamiques et de leur instabilité chimique. Pour faire face à ce défi,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développé une chimiothèque servant au criblage </w:t>
      </w:r>
      <w:r w:rsidRPr="00C73365">
        <w:rPr>
          <w:rFonts w:asciiTheme="minorHAnsi" w:hAnsiTheme="minorHAnsi" w:cstheme="minorHAnsi"/>
          <w:lang w:val="fr-FR"/>
        </w:rPr>
        <w:lastRenderedPageBreak/>
        <w:t>cellulaire, ainsi que des plateformes technologiques dédiées, destinées à caractériser les interactions RNP-médicaments, et mettant notamment en œuvre la protéomique</w:t>
      </w:r>
      <w:r w:rsidRPr="00C73365">
        <w:rPr>
          <w:rStyle w:val="FootnoteReference"/>
          <w:rFonts w:asciiTheme="minorHAnsi" w:eastAsia="SimSun" w:hAnsiTheme="minorHAnsi" w:cstheme="minorHAnsi"/>
          <w:lang w:val="fr-FR"/>
        </w:rPr>
        <w:footnoteReference w:id="13"/>
      </w:r>
      <w:r w:rsidRPr="00C73365">
        <w:rPr>
          <w:rFonts w:asciiTheme="minorHAnsi" w:hAnsiTheme="minorHAnsi" w:cstheme="minorHAnsi"/>
          <w:lang w:val="fr-FR"/>
        </w:rPr>
        <w:t>, l</w:t>
      </w:r>
      <w:r w:rsidR="004572A0" w:rsidRPr="00C73365">
        <w:rPr>
          <w:rFonts w:asciiTheme="minorHAnsi" w:hAnsiTheme="minorHAnsi" w:cstheme="minorHAnsi"/>
          <w:lang w:val="fr-FR"/>
        </w:rPr>
        <w:t>’</w:t>
      </w:r>
      <w:r w:rsidRPr="00C73365">
        <w:rPr>
          <w:rFonts w:asciiTheme="minorHAnsi" w:hAnsiTheme="minorHAnsi" w:cstheme="minorHAnsi"/>
          <w:lang w:val="fr-FR"/>
        </w:rPr>
        <w:t>imagerie cellulaire, ou encore la bio-informatique</w:t>
      </w:r>
      <w:r w:rsidRPr="00C73365">
        <w:rPr>
          <w:rStyle w:val="FootnoteReference"/>
          <w:rFonts w:asciiTheme="minorHAnsi" w:eastAsia="SimSun" w:hAnsiTheme="minorHAnsi" w:cstheme="minorHAnsi"/>
          <w:lang w:val="fr-FR"/>
        </w:rPr>
        <w:footnoteReference w:id="14"/>
      </w:r>
      <w:r w:rsidRPr="00C73365">
        <w:rPr>
          <w:rFonts w:asciiTheme="minorHAnsi" w:hAnsiTheme="minorHAnsi" w:cstheme="minorHAnsi"/>
          <w:lang w:val="fr-FR"/>
        </w:rPr>
        <w:t xml:space="preserve">. </w:t>
      </w:r>
    </w:p>
    <w:p w:rsidR="00B67A56" w:rsidRPr="00C73365" w:rsidRDefault="00B67A56" w:rsidP="004572A0">
      <w:pPr>
        <w:pStyle w:val="BodyText"/>
        <w:rPr>
          <w:rFonts w:asciiTheme="minorHAnsi" w:hAnsiTheme="minorHAnsi" w:cstheme="minorHAnsi"/>
          <w:b/>
          <w:lang w:val="fr-FR"/>
        </w:rPr>
      </w:pPr>
      <w:r w:rsidRPr="00C73365">
        <w:rPr>
          <w:rFonts w:asciiTheme="minorHAnsi" w:hAnsiTheme="minorHAnsi" w:cstheme="minorHAnsi"/>
          <w:b/>
          <w:lang w:val="fr-FR"/>
        </w:rPr>
        <w:t>Mécanisme d’action d’ABX464 :</w:t>
      </w:r>
    </w:p>
    <w:p w:rsidR="00B67A56" w:rsidRPr="00C73365" w:rsidRDefault="00B67A56" w:rsidP="00B67A56">
      <w:pPr>
        <w:rPr>
          <w:rFonts w:asciiTheme="minorHAnsi" w:hAnsiTheme="minorHAnsi" w:cstheme="minorHAnsi"/>
          <w:b/>
          <w:color w:val="7030A0"/>
          <w:szCs w:val="20"/>
          <w:lang w:val="fr-FR"/>
        </w:rPr>
      </w:pPr>
    </w:p>
    <w:p w:rsidR="00B67A56" w:rsidRPr="00C73365" w:rsidRDefault="00B67A56" w:rsidP="00A64BA1">
      <w:pPr>
        <w:jc w:val="center"/>
        <w:rPr>
          <w:rFonts w:asciiTheme="minorHAnsi" w:hAnsiTheme="minorHAnsi" w:cstheme="minorHAnsi"/>
          <w:szCs w:val="20"/>
          <w:lang w:val="fr-FR"/>
        </w:rPr>
      </w:pPr>
      <w:r w:rsidRPr="00C73365">
        <w:rPr>
          <w:rFonts w:asciiTheme="minorHAnsi" w:hAnsiTheme="minorHAnsi" w:cstheme="minorHAnsi"/>
          <w:noProof/>
          <w:szCs w:val="20"/>
          <w:lang w:val="fr-FR" w:eastAsia="fr-FR"/>
        </w:rPr>
        <w:drawing>
          <wp:inline distT="0" distB="0" distL="0" distR="0" wp14:anchorId="5188D129" wp14:editId="08CD048A">
            <wp:extent cx="3471180" cy="28384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srcRect/>
                    <a:stretch>
                      <a:fillRect/>
                    </a:stretch>
                  </pic:blipFill>
                  <pic:spPr bwMode="auto">
                    <a:xfrm>
                      <a:off x="0" y="0"/>
                      <a:ext cx="3471180" cy="2838450"/>
                    </a:xfrm>
                    <a:prstGeom prst="rect">
                      <a:avLst/>
                    </a:prstGeom>
                    <a:noFill/>
                    <a:ln w="9525">
                      <a:noFill/>
                      <a:miter lim="800000"/>
                      <a:headEnd/>
                      <a:tailEnd/>
                    </a:ln>
                  </pic:spPr>
                </pic:pic>
              </a:graphicData>
            </a:graphic>
          </wp:inline>
        </w:drawing>
      </w:r>
    </w:p>
    <w:p w:rsidR="00B67A56" w:rsidRPr="00C73365" w:rsidRDefault="00B67A56" w:rsidP="004572A0">
      <w:pPr>
        <w:pStyle w:val="BodyText"/>
        <w:rPr>
          <w:rFonts w:asciiTheme="minorHAnsi" w:hAnsiTheme="minorHAnsi" w:cstheme="minorHAnsi"/>
          <w:i/>
          <w:lang w:val="fr-FR"/>
        </w:rPr>
      </w:pPr>
      <w:r w:rsidRPr="00C73365">
        <w:rPr>
          <w:rFonts w:asciiTheme="minorHAnsi" w:hAnsiTheme="minorHAnsi" w:cstheme="minorHAnsi"/>
          <w:i/>
          <w:lang w:val="fr-FR"/>
        </w:rPr>
        <w:t xml:space="preserve">Source : </w:t>
      </w:r>
      <w:r w:rsidR="00EF089C" w:rsidRPr="00C73365">
        <w:rPr>
          <w:rFonts w:asciiTheme="minorHAnsi" w:hAnsiTheme="minorHAnsi" w:cstheme="minorHAnsi"/>
          <w:i/>
          <w:lang w:val="fr-FR"/>
        </w:rPr>
        <w:t>ABIVAX</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ABX464 se lie au Cap Binding Complex (CBC), augmente l’épissage des ARN viraux et inhibe l</w:t>
      </w:r>
      <w:r w:rsidR="004572A0" w:rsidRPr="00C73365">
        <w:rPr>
          <w:rFonts w:asciiTheme="minorHAnsi" w:hAnsiTheme="minorHAnsi" w:cstheme="minorHAnsi"/>
          <w:lang w:val="fr-FR"/>
        </w:rPr>
        <w:t>’</w:t>
      </w:r>
      <w:r w:rsidRPr="00C73365">
        <w:rPr>
          <w:rFonts w:asciiTheme="minorHAnsi" w:hAnsiTheme="minorHAnsi" w:cstheme="minorHAnsi"/>
          <w:lang w:val="fr-FR"/>
        </w:rPr>
        <w:t>activité de Rev, protéine du VIH modulant l</w:t>
      </w:r>
      <w:r w:rsidR="004572A0" w:rsidRPr="00C73365">
        <w:rPr>
          <w:rFonts w:asciiTheme="minorHAnsi" w:hAnsiTheme="minorHAnsi" w:cstheme="minorHAnsi"/>
          <w:lang w:val="fr-FR"/>
        </w:rPr>
        <w:t>’</w:t>
      </w:r>
      <w:r w:rsidRPr="00C73365">
        <w:rPr>
          <w:rFonts w:asciiTheme="minorHAnsi" w:hAnsiTheme="minorHAnsi" w:cstheme="minorHAnsi"/>
          <w:lang w:val="fr-FR"/>
        </w:rPr>
        <w:t>épissage de l</w:t>
      </w:r>
      <w:r w:rsidR="004572A0" w:rsidRPr="00C73365">
        <w:rPr>
          <w:rFonts w:asciiTheme="minorHAnsi" w:hAnsiTheme="minorHAnsi" w:cstheme="minorHAnsi"/>
          <w:lang w:val="fr-FR"/>
        </w:rPr>
        <w:t>’</w:t>
      </w:r>
      <w:r w:rsidRPr="00C73365">
        <w:rPr>
          <w:rFonts w:asciiTheme="minorHAnsi" w:hAnsiTheme="minorHAnsi" w:cstheme="minorHAnsi"/>
          <w:lang w:val="fr-FR"/>
        </w:rPr>
        <w:t>ARN et permettant le transport de l</w:t>
      </w:r>
      <w:r w:rsidR="004572A0" w:rsidRPr="00C73365">
        <w:rPr>
          <w:rFonts w:asciiTheme="minorHAnsi" w:hAnsiTheme="minorHAnsi" w:cstheme="minorHAnsi"/>
          <w:lang w:val="fr-FR"/>
        </w:rPr>
        <w:t>’</w:t>
      </w:r>
      <w:r w:rsidRPr="00C73365">
        <w:rPr>
          <w:rFonts w:asciiTheme="minorHAnsi" w:hAnsiTheme="minorHAnsi" w:cstheme="minorHAnsi"/>
          <w:lang w:val="fr-FR"/>
        </w:rPr>
        <w:t>ARN viral non épissé du nucléole vers le cytoplasme, et empêche ainsi la réplication virale dans les cellules infectées par le VIH.</w:t>
      </w:r>
    </w:p>
    <w:p w:rsidR="00B67A56" w:rsidRPr="00C73365" w:rsidRDefault="00B67A56" w:rsidP="00B67A56">
      <w:pPr>
        <w:pStyle w:val="ListParagraph"/>
        <w:numPr>
          <w:ilvl w:val="3"/>
          <w:numId w:val="9"/>
        </w:numPr>
        <w:outlineLvl w:val="2"/>
        <w:rPr>
          <w:rFonts w:asciiTheme="minorHAnsi" w:hAnsiTheme="minorHAnsi" w:cstheme="minorHAnsi"/>
          <w:lang w:val="fr-FR"/>
        </w:rPr>
      </w:pPr>
      <w:bookmarkStart w:id="296" w:name="_Toc408918389"/>
      <w:bookmarkStart w:id="297" w:name="_Toc409537470"/>
      <w:r w:rsidRPr="00C73365">
        <w:rPr>
          <w:rFonts w:asciiTheme="minorHAnsi" w:hAnsiTheme="minorHAnsi" w:cstheme="minorHAnsi"/>
          <w:lang w:val="fr-FR"/>
        </w:rPr>
        <w:t>ABX464 : aperçu des données actuellement disponibles</w:t>
      </w:r>
      <w:bookmarkEnd w:id="296"/>
      <w:bookmarkEnd w:id="297"/>
    </w:p>
    <w:p w:rsidR="00B67A56" w:rsidRPr="00C73365" w:rsidRDefault="00B67A56" w:rsidP="00B67A56">
      <w:pPr>
        <w:pStyle w:val="ListParagraph"/>
        <w:ind w:left="2520"/>
        <w:rPr>
          <w:rFonts w:asciiTheme="minorHAnsi" w:hAnsiTheme="minorHAnsi" w:cstheme="minorHAnsi"/>
          <w:lang w:val="fr-FR"/>
        </w:rPr>
      </w:pP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ABX464 a fait l</w:t>
      </w:r>
      <w:r w:rsidR="004572A0" w:rsidRPr="00C73365">
        <w:rPr>
          <w:rFonts w:asciiTheme="minorHAnsi" w:hAnsiTheme="minorHAnsi" w:cstheme="minorHAnsi"/>
          <w:lang w:val="fr-FR"/>
        </w:rPr>
        <w:t>’</w:t>
      </w:r>
      <w:r w:rsidRPr="00C73365">
        <w:rPr>
          <w:rFonts w:asciiTheme="minorHAnsi" w:hAnsiTheme="minorHAnsi" w:cstheme="minorHAnsi"/>
          <w:lang w:val="fr-FR"/>
        </w:rPr>
        <w:t>objet de tests précliniques dans divers modèles animaux et a été administré à des volontaires sains dans des études de Phase I ainsi qu’à des patients naïfs de tout traitement antérieur dans le cadre d’un première Phase IIa. Une deuxième étude clinique de Phase IIa chez des patients traités a été réalisée et une troisième Phase IIa est en cours.</w:t>
      </w:r>
    </w:p>
    <w:p w:rsidR="00B67A56" w:rsidRPr="00C73365" w:rsidRDefault="00B67A56" w:rsidP="00434C49">
      <w:pPr>
        <w:pStyle w:val="ListParagraph"/>
        <w:numPr>
          <w:ilvl w:val="0"/>
          <w:numId w:val="77"/>
        </w:numPr>
        <w:rPr>
          <w:rFonts w:asciiTheme="minorHAnsi" w:hAnsiTheme="minorHAnsi" w:cstheme="minorHAnsi"/>
          <w:b/>
          <w:color w:val="7030A0"/>
          <w:lang w:val="fr-FR"/>
        </w:rPr>
      </w:pPr>
      <w:r w:rsidRPr="00C73365">
        <w:rPr>
          <w:rFonts w:asciiTheme="minorHAnsi" w:hAnsiTheme="minorHAnsi" w:cstheme="minorHAnsi"/>
          <w:b/>
          <w:color w:val="7030A0"/>
          <w:lang w:val="fr-FR"/>
        </w:rPr>
        <w:t>Données précliniques</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ABX464 représente une nouvelle classe de molécules anti-VIH aux propriétés uniques. ABX464 est non seulement capable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inhiber la réplication virale </w:t>
      </w:r>
      <w:r w:rsidRPr="00C73365">
        <w:rPr>
          <w:rFonts w:asciiTheme="minorHAnsi" w:hAnsiTheme="minorHAnsi" w:cstheme="minorHAnsi"/>
          <w:i/>
          <w:lang w:val="fr-FR"/>
        </w:rPr>
        <w:t>in vitro</w:t>
      </w:r>
      <w:r w:rsidRPr="00C73365">
        <w:rPr>
          <w:rFonts w:asciiTheme="minorHAnsi" w:hAnsiTheme="minorHAnsi" w:cstheme="minorHAnsi"/>
          <w:lang w:val="fr-FR"/>
        </w:rPr>
        <w:t xml:space="preserve"> et </w:t>
      </w:r>
      <w:r w:rsidRPr="00C73365">
        <w:rPr>
          <w:rFonts w:asciiTheme="minorHAnsi" w:hAnsiTheme="minorHAnsi" w:cstheme="minorHAnsi"/>
          <w:i/>
          <w:lang w:val="fr-FR"/>
        </w:rPr>
        <w:t>in vivo,</w:t>
      </w:r>
      <w:r w:rsidRPr="00C73365">
        <w:rPr>
          <w:rFonts w:asciiTheme="minorHAnsi" w:hAnsiTheme="minorHAnsi" w:cstheme="minorHAnsi"/>
          <w:lang w:val="fr-FR"/>
        </w:rPr>
        <w:t xml:space="preserve"> mais également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induire une réduction à long terme de la charge virale après arrêt du traitement </w:t>
      </w:r>
      <w:r w:rsidRPr="00C73365">
        <w:rPr>
          <w:rFonts w:asciiTheme="minorHAnsi" w:hAnsiTheme="minorHAnsi" w:cstheme="minorHAnsi"/>
          <w:i/>
          <w:lang w:val="fr-FR"/>
        </w:rPr>
        <w:t xml:space="preserve">in vivo </w:t>
      </w:r>
      <w:r w:rsidRPr="00C73365">
        <w:rPr>
          <w:rFonts w:asciiTheme="minorHAnsi" w:hAnsiTheme="minorHAnsi" w:cstheme="minorHAnsi"/>
          <w:lang w:val="fr-FR"/>
        </w:rPr>
        <w:t>sans induire de résistance.</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In vitro, ABX464 a démontré sa capacité à réduire la charge virale dans des cellules mononuclées du sang périphérique (CMSP) humaines, fraîchement isolées, infectées par le VIH-1, tout en préservant la population de lymphocytes CD4+RO+. ABX464 a également démontré son efficacité contre toutes les souches cliniques de VIH testées. </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ABX464 n</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 pas induit de résistance après plus de 24 semaines de traitement, ni induit de mutation spécifique dans le génome viral </w:t>
      </w:r>
      <w:r w:rsidRPr="00C73365">
        <w:rPr>
          <w:rFonts w:asciiTheme="minorHAnsi" w:hAnsiTheme="minorHAnsi" w:cstheme="minorHAnsi"/>
          <w:i/>
          <w:lang w:val="fr-FR"/>
        </w:rPr>
        <w:t>in vitro</w:t>
      </w:r>
      <w:r w:rsidRPr="00C73365">
        <w:rPr>
          <w:rFonts w:asciiTheme="minorHAnsi" w:hAnsiTheme="minorHAnsi" w:cstheme="minorHAnsi"/>
          <w:lang w:val="fr-FR"/>
        </w:rPr>
        <w:t>.</w:t>
      </w:r>
    </w:p>
    <w:p w:rsidR="00B67A56" w:rsidRPr="00C73365" w:rsidRDefault="00B67A56" w:rsidP="006A4FB1">
      <w:pPr>
        <w:jc w:val="center"/>
        <w:rPr>
          <w:rFonts w:asciiTheme="minorHAnsi" w:hAnsiTheme="minorHAnsi" w:cstheme="minorHAnsi"/>
          <w:color w:val="7030A0"/>
          <w:szCs w:val="20"/>
          <w:lang w:val="fr-FR"/>
        </w:rPr>
      </w:pPr>
      <w:r w:rsidRPr="00C73365">
        <w:rPr>
          <w:rFonts w:asciiTheme="minorHAnsi" w:hAnsiTheme="minorHAnsi" w:cstheme="minorHAnsi"/>
          <w:b/>
          <w:bCs/>
          <w:color w:val="7030A0"/>
          <w:szCs w:val="20"/>
          <w:lang w:val="fr-FR"/>
        </w:rPr>
        <w:t xml:space="preserve">Etude de résistance </w:t>
      </w:r>
      <w:r w:rsidRPr="00C73365">
        <w:rPr>
          <w:rFonts w:asciiTheme="minorHAnsi" w:hAnsiTheme="minorHAnsi" w:cstheme="minorHAnsi"/>
          <w:b/>
          <w:bCs/>
          <w:i/>
          <w:iCs/>
          <w:color w:val="7030A0"/>
          <w:szCs w:val="20"/>
          <w:lang w:val="fr-FR"/>
        </w:rPr>
        <w:t xml:space="preserve">in vitro </w:t>
      </w:r>
      <w:r w:rsidRPr="00C73365">
        <w:rPr>
          <w:rFonts w:asciiTheme="minorHAnsi" w:hAnsiTheme="minorHAnsi" w:cstheme="minorHAnsi"/>
          <w:b/>
          <w:bCs/>
          <w:iCs/>
          <w:color w:val="7030A0"/>
          <w:szCs w:val="20"/>
          <w:lang w:val="fr-FR"/>
        </w:rPr>
        <w:t>du traitement du VIH*</w:t>
      </w:r>
    </w:p>
    <w:p w:rsidR="00B67A56" w:rsidRPr="00C73365" w:rsidRDefault="00B67A56" w:rsidP="006A4FB1">
      <w:pPr>
        <w:jc w:val="center"/>
        <w:rPr>
          <w:rFonts w:asciiTheme="minorHAnsi" w:hAnsiTheme="minorHAnsi" w:cstheme="minorHAnsi"/>
          <w:b/>
          <w:bCs/>
          <w:i/>
          <w:iCs/>
          <w:color w:val="7030A0"/>
          <w:szCs w:val="20"/>
          <w:lang w:val="fr-FR"/>
        </w:rPr>
      </w:pPr>
      <w:r w:rsidRPr="00C73365">
        <w:rPr>
          <w:rFonts w:asciiTheme="minorHAnsi" w:hAnsiTheme="minorHAnsi" w:cstheme="minorHAnsi"/>
          <w:b/>
          <w:bCs/>
          <w:i/>
          <w:iCs/>
          <w:color w:val="7030A0"/>
          <w:szCs w:val="20"/>
          <w:lang w:val="fr-FR"/>
        </w:rPr>
        <w:t>(6-mois de suivi)</w:t>
      </w:r>
    </w:p>
    <w:tbl>
      <w:tblPr>
        <w:tblW w:w="3969" w:type="dxa"/>
        <w:tblInd w:w="2842" w:type="dxa"/>
        <w:tblCellMar>
          <w:left w:w="70" w:type="dxa"/>
          <w:right w:w="70" w:type="dxa"/>
        </w:tblCellMar>
        <w:tblLook w:val="04A0" w:firstRow="1" w:lastRow="0" w:firstColumn="1" w:lastColumn="0" w:noHBand="0" w:noVBand="1"/>
      </w:tblPr>
      <w:tblGrid>
        <w:gridCol w:w="1223"/>
        <w:gridCol w:w="146"/>
        <w:gridCol w:w="1228"/>
        <w:gridCol w:w="146"/>
        <w:gridCol w:w="1226"/>
      </w:tblGrid>
      <w:tr w:rsidR="00B67A56" w:rsidRPr="00C73365" w:rsidTr="006A4FB1">
        <w:trPr>
          <w:trHeight w:val="555"/>
        </w:trPr>
        <w:tc>
          <w:tcPr>
            <w:tcW w:w="1223"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eastAsia="fr-FR"/>
              </w:rPr>
              <w:t>Drug</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b/>
                <w:bCs/>
                <w:color w:val="000000"/>
                <w:szCs w:val="20"/>
                <w:lang w:val="fr-FR" w:eastAsia="fr-FR"/>
              </w:rPr>
            </w:pPr>
          </w:p>
        </w:tc>
        <w:tc>
          <w:tcPr>
            <w:tcW w:w="1228"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b/>
                <w:bCs/>
                <w:color w:val="000000"/>
                <w:szCs w:val="20"/>
                <w:lang w:eastAsia="fr-FR"/>
              </w:rPr>
            </w:pPr>
            <w:r w:rsidRPr="00C73365">
              <w:rPr>
                <w:rFonts w:asciiTheme="minorHAnsi" w:hAnsiTheme="minorHAnsi" w:cstheme="minorHAnsi"/>
                <w:b/>
                <w:bCs/>
                <w:color w:val="000000"/>
                <w:szCs w:val="20"/>
                <w:lang w:eastAsia="fr-FR"/>
              </w:rPr>
              <w:t>Time to HIV resistance (weeks)</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b/>
                <w:bCs/>
                <w:color w:val="000000"/>
                <w:szCs w:val="20"/>
                <w:lang w:eastAsia="fr-FR"/>
              </w:rPr>
            </w:pPr>
          </w:p>
        </w:tc>
        <w:tc>
          <w:tcPr>
            <w:tcW w:w="1226"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HIV Mutants</w:t>
            </w:r>
          </w:p>
        </w:tc>
      </w:tr>
      <w:tr w:rsidR="00B67A56" w:rsidRPr="00C73365" w:rsidTr="006A4FB1">
        <w:trPr>
          <w:trHeight w:val="277"/>
        </w:trPr>
        <w:tc>
          <w:tcPr>
            <w:tcW w:w="1223"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3TC</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8"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4</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6"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M184I/V</w:t>
            </w:r>
          </w:p>
        </w:tc>
      </w:tr>
      <w:tr w:rsidR="00B67A56" w:rsidRPr="00C73365" w:rsidTr="006A4FB1">
        <w:trPr>
          <w:trHeight w:val="277"/>
        </w:trPr>
        <w:tc>
          <w:tcPr>
            <w:tcW w:w="1223"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Tenofovir</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8"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12</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6"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K65R</w:t>
            </w:r>
          </w:p>
        </w:tc>
      </w:tr>
      <w:tr w:rsidR="00B67A56" w:rsidRPr="00C73365" w:rsidTr="006A4FB1">
        <w:trPr>
          <w:trHeight w:val="277"/>
        </w:trPr>
        <w:tc>
          <w:tcPr>
            <w:tcW w:w="1223"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Nevirapine</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8"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3</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6"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K103N, Y181C</w:t>
            </w:r>
          </w:p>
        </w:tc>
      </w:tr>
      <w:tr w:rsidR="00B67A56" w:rsidRPr="00C73365" w:rsidTr="006A4FB1">
        <w:trPr>
          <w:trHeight w:val="277"/>
        </w:trPr>
        <w:tc>
          <w:tcPr>
            <w:tcW w:w="1223"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Efavirenz</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8"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5</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6"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K103N, Y181C</w:t>
            </w:r>
          </w:p>
        </w:tc>
      </w:tr>
      <w:tr w:rsidR="00B67A56" w:rsidRPr="00C73365" w:rsidTr="006A4FB1">
        <w:trPr>
          <w:trHeight w:val="277"/>
        </w:trPr>
        <w:tc>
          <w:tcPr>
            <w:tcW w:w="1223" w:type="dxa"/>
            <w:tcBorders>
              <w:top w:val="nil"/>
              <w:left w:val="nil"/>
              <w:bottom w:val="single" w:sz="4" w:space="0" w:color="7030A0"/>
              <w:right w:val="nil"/>
            </w:tcBorders>
            <w:shd w:val="clear" w:color="auto" w:fill="auto"/>
            <w:vAlign w:val="center"/>
            <w:hideMark/>
          </w:tcPr>
          <w:p w:rsidR="00B67A56" w:rsidRPr="00C73365" w:rsidRDefault="00E32CFE"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ABX464</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8"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No HIV resistance</w:t>
            </w:r>
          </w:p>
        </w:tc>
        <w:tc>
          <w:tcPr>
            <w:tcW w:w="146" w:type="dxa"/>
            <w:tcBorders>
              <w:top w:val="nil"/>
              <w:left w:val="nil"/>
              <w:bottom w:val="nil"/>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p>
        </w:tc>
        <w:tc>
          <w:tcPr>
            <w:tcW w:w="1226" w:type="dxa"/>
            <w:tcBorders>
              <w:top w:val="nil"/>
              <w:left w:val="nil"/>
              <w:bottom w:val="single" w:sz="4" w:space="0" w:color="7030A0"/>
              <w:right w:val="nil"/>
            </w:tcBorders>
            <w:shd w:val="clear" w:color="auto" w:fill="auto"/>
            <w:vAlign w:val="center"/>
            <w:hideMark/>
          </w:tcPr>
          <w:p w:rsidR="00B67A56" w:rsidRPr="00C73365" w:rsidRDefault="00B67A56" w:rsidP="006A4FB1">
            <w:pPr>
              <w:spacing w:after="0"/>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eastAsia="fr-FR"/>
              </w:rPr>
              <w:t>-</w:t>
            </w:r>
          </w:p>
        </w:tc>
      </w:tr>
    </w:tbl>
    <w:p w:rsidR="00B67A56" w:rsidRPr="00C73365" w:rsidRDefault="00B67A56" w:rsidP="006A4FB1">
      <w:pPr>
        <w:pStyle w:val="NormalWeb"/>
        <w:spacing w:before="0" w:beforeAutospacing="0" w:after="120" w:afterAutospacing="0"/>
        <w:jc w:val="center"/>
        <w:textAlignment w:val="baseline"/>
        <w:rPr>
          <w:rFonts w:asciiTheme="minorHAnsi" w:hAnsiTheme="minorHAnsi" w:cstheme="minorHAnsi"/>
          <w:color w:val="7030A0"/>
          <w:sz w:val="16"/>
          <w:szCs w:val="16"/>
        </w:rPr>
      </w:pPr>
      <w:r w:rsidRPr="00C73365">
        <w:rPr>
          <w:rFonts w:asciiTheme="minorHAnsi" w:hAnsiTheme="minorHAnsi" w:cstheme="minorHAnsi"/>
          <w:i/>
          <w:iCs/>
          <w:color w:val="7030A0"/>
          <w:kern w:val="24"/>
          <w:sz w:val="16"/>
          <w:szCs w:val="16"/>
          <w:lang w:val="fr-FR"/>
        </w:rPr>
        <w:t xml:space="preserve">*Model: Quashie PK et al. </w:t>
      </w:r>
      <w:r w:rsidRPr="00C73365">
        <w:rPr>
          <w:rFonts w:asciiTheme="minorHAnsi" w:hAnsiTheme="minorHAnsi" w:cstheme="minorHAnsi"/>
          <w:i/>
          <w:iCs/>
          <w:color w:val="7030A0"/>
          <w:kern w:val="24"/>
          <w:sz w:val="16"/>
          <w:szCs w:val="16"/>
        </w:rPr>
        <w:t>J. Virology 86:2696 (2012).</w:t>
      </w:r>
      <w:r w:rsidRPr="00C73365">
        <w:rPr>
          <w:rFonts w:asciiTheme="minorHAnsi" w:hAnsiTheme="minorHAnsi" w:cstheme="minorHAnsi"/>
          <w:color w:val="7030A0"/>
          <w:sz w:val="16"/>
          <w:szCs w:val="16"/>
        </w:rPr>
        <w:t xml:space="preserve">   </w:t>
      </w:r>
      <w:r w:rsidRPr="00C73365">
        <w:rPr>
          <w:rFonts w:asciiTheme="minorHAnsi" w:hAnsiTheme="minorHAnsi" w:cstheme="minorHAnsi"/>
          <w:i/>
          <w:iCs/>
          <w:color w:val="7030A0"/>
          <w:kern w:val="24"/>
          <w:sz w:val="16"/>
          <w:szCs w:val="16"/>
        </w:rPr>
        <w:t>McGill University AIDS centre, Montreal</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Plus important, </w:t>
      </w:r>
      <w:r w:rsidRPr="00C73365">
        <w:rPr>
          <w:rFonts w:asciiTheme="minorHAnsi" w:hAnsiTheme="minorHAnsi" w:cstheme="minorHAnsi"/>
          <w:i/>
          <w:lang w:val="fr-FR"/>
        </w:rPr>
        <w:t>in vivo</w:t>
      </w:r>
      <w:r w:rsidRPr="00C73365">
        <w:rPr>
          <w:rFonts w:asciiTheme="minorHAnsi" w:hAnsiTheme="minorHAnsi" w:cstheme="minorHAnsi"/>
          <w:lang w:val="fr-FR"/>
        </w:rPr>
        <w:t xml:space="preserve">, ABX464 </w:t>
      </w:r>
      <w:r w:rsidR="006F3437" w:rsidRPr="00C73365">
        <w:rPr>
          <w:rFonts w:asciiTheme="minorHAnsi" w:hAnsiTheme="minorHAnsi" w:cstheme="minorHAnsi"/>
          <w:lang w:val="fr-FR"/>
        </w:rPr>
        <w:t>a induit</w:t>
      </w:r>
      <w:r w:rsidRPr="00C73365">
        <w:rPr>
          <w:rFonts w:asciiTheme="minorHAnsi" w:hAnsiTheme="minorHAnsi" w:cstheme="minorHAnsi"/>
          <w:lang w:val="fr-FR"/>
        </w:rPr>
        <w:t xml:space="preserve"> une réduction significative de la charge virale chez des souris infectées par le VIH, accompagné d</w:t>
      </w:r>
      <w:r w:rsidR="004572A0" w:rsidRPr="00C73365">
        <w:rPr>
          <w:rFonts w:asciiTheme="minorHAnsi" w:hAnsiTheme="minorHAnsi" w:cstheme="minorHAnsi"/>
          <w:lang w:val="fr-FR"/>
        </w:rPr>
        <w:t>’</w:t>
      </w:r>
      <w:r w:rsidRPr="00C73365">
        <w:rPr>
          <w:rFonts w:asciiTheme="minorHAnsi" w:hAnsiTheme="minorHAnsi" w:cstheme="minorHAnsi"/>
          <w:lang w:val="fr-FR"/>
        </w:rPr>
        <w:t>un effet à long terme sur cette charge virale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 Ce dernier effet, c</w:t>
      </w:r>
      <w:r w:rsidR="004572A0" w:rsidRPr="00C73365">
        <w:rPr>
          <w:rFonts w:asciiTheme="minorHAnsi" w:hAnsiTheme="minorHAnsi" w:cstheme="minorHAnsi"/>
          <w:lang w:val="fr-FR"/>
        </w:rPr>
        <w:t>’</w:t>
      </w:r>
      <w:r w:rsidRPr="00C73365">
        <w:rPr>
          <w:rFonts w:asciiTheme="minorHAnsi" w:hAnsiTheme="minorHAnsi" w:cstheme="minorHAnsi"/>
          <w:lang w:val="fr-FR"/>
        </w:rPr>
        <w:t>est-à-dire l</w:t>
      </w:r>
      <w:r w:rsidR="004572A0" w:rsidRPr="00C73365">
        <w:rPr>
          <w:rFonts w:asciiTheme="minorHAnsi" w:hAnsiTheme="minorHAnsi" w:cstheme="minorHAnsi"/>
          <w:lang w:val="fr-FR"/>
        </w:rPr>
        <w:t>’</w:t>
      </w:r>
      <w:r w:rsidRPr="00C73365">
        <w:rPr>
          <w:rFonts w:asciiTheme="minorHAnsi" w:hAnsiTheme="minorHAnsi" w:cstheme="minorHAnsi"/>
          <w:lang w:val="fr-FR"/>
        </w:rPr>
        <w:t>absence de recrudescence de la charge virale six semaines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 n</w:t>
      </w:r>
      <w:r w:rsidR="004572A0" w:rsidRPr="00C73365">
        <w:rPr>
          <w:rFonts w:asciiTheme="minorHAnsi" w:hAnsiTheme="minorHAnsi" w:cstheme="minorHAnsi"/>
          <w:lang w:val="fr-FR"/>
        </w:rPr>
        <w:t>’</w:t>
      </w:r>
      <w:r w:rsidRPr="00C73365">
        <w:rPr>
          <w:rFonts w:asciiTheme="minorHAnsi" w:hAnsiTheme="minorHAnsi" w:cstheme="minorHAnsi"/>
          <w:lang w:val="fr-FR"/>
        </w:rPr>
        <w:t>a été observé qu</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avec </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ABX464, tandis que le groupe témoin (traité avec une combinaison de 3TC, de Raltegravir et de ténofovir (TAR) de manière à obtenir une inhibition virale), a dépassé les niveaux de charge virale de prétraitement seulement deux semaines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ABX464 constitue la première thérapie anti-VIH ayant démontré une capacité à maintenir une charge virale faible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 Il est important de noter qu</w:t>
      </w:r>
      <w:r w:rsidR="004572A0" w:rsidRPr="00C73365">
        <w:rPr>
          <w:rFonts w:asciiTheme="minorHAnsi" w:hAnsiTheme="minorHAnsi" w:cstheme="minorHAnsi"/>
          <w:lang w:val="fr-FR"/>
        </w:rPr>
        <w:t>’</w:t>
      </w:r>
      <w:r w:rsidRPr="00C73365">
        <w:rPr>
          <w:rFonts w:asciiTheme="minorHAnsi" w:hAnsiTheme="minorHAnsi" w:cstheme="minorHAnsi"/>
          <w:lang w:val="fr-FR"/>
        </w:rPr>
        <w:t>aucune des thérapies actuelles utilisée seule n</w:t>
      </w:r>
      <w:r w:rsidR="004572A0" w:rsidRPr="00C73365">
        <w:rPr>
          <w:rFonts w:asciiTheme="minorHAnsi" w:hAnsiTheme="minorHAnsi" w:cstheme="minorHAnsi"/>
          <w:lang w:val="fr-FR"/>
        </w:rPr>
        <w:t>’</w:t>
      </w:r>
      <w:r w:rsidRPr="00C73365">
        <w:rPr>
          <w:rFonts w:asciiTheme="minorHAnsi" w:hAnsiTheme="minorHAnsi" w:cstheme="minorHAnsi"/>
          <w:lang w:val="fr-FR"/>
        </w:rPr>
        <w:t>est efficace dans ce modèle murin (souris).</w:t>
      </w:r>
    </w:p>
    <w:p w:rsidR="00B67A56" w:rsidRPr="00C73365" w:rsidRDefault="00B67A56" w:rsidP="006A4FB1">
      <w:pPr>
        <w:jc w:val="center"/>
        <w:rPr>
          <w:rFonts w:asciiTheme="minorHAnsi" w:hAnsiTheme="minorHAnsi" w:cstheme="minorHAnsi"/>
          <w:szCs w:val="20"/>
          <w:lang w:val="fr-FR"/>
        </w:rPr>
      </w:pPr>
      <w:r w:rsidRPr="00C73365">
        <w:rPr>
          <w:rFonts w:asciiTheme="minorHAnsi" w:hAnsiTheme="minorHAnsi" w:cstheme="minorHAnsi"/>
          <w:noProof/>
          <w:szCs w:val="20"/>
          <w:lang w:val="fr-FR" w:eastAsia="fr-FR"/>
        </w:rPr>
        <w:drawing>
          <wp:inline distT="0" distB="0" distL="0" distR="0" wp14:anchorId="3C33D22A" wp14:editId="2B12594B">
            <wp:extent cx="4951709" cy="2491804"/>
            <wp:effectExtent l="0" t="0" r="1905"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6795" cy="2534621"/>
                    </a:xfrm>
                    <a:prstGeom prst="rect">
                      <a:avLst/>
                    </a:prstGeom>
                    <a:noFill/>
                  </pic:spPr>
                </pic:pic>
              </a:graphicData>
            </a:graphic>
          </wp:inline>
        </w:drawing>
      </w:r>
    </w:p>
    <w:p w:rsidR="00B67A56" w:rsidRPr="00C73365" w:rsidRDefault="00B67A56" w:rsidP="00B67A56">
      <w:pPr>
        <w:rPr>
          <w:rFonts w:asciiTheme="minorHAnsi" w:hAnsiTheme="minorHAnsi" w:cstheme="minorHAnsi"/>
          <w:szCs w:val="20"/>
          <w:lang w:val="fr-FR"/>
        </w:rPr>
      </w:pP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Un programme préclinique complet, requis par les autorités avant de passer au stade du développement clinique de Phase I et IIa, a été réalisé sur des rats, des singes, des chiens et des mini-porcs. Ce programme préclinique avait pour but d</w:t>
      </w:r>
      <w:r w:rsidR="004572A0" w:rsidRPr="00C73365">
        <w:rPr>
          <w:rFonts w:asciiTheme="minorHAnsi" w:hAnsiTheme="minorHAnsi" w:cstheme="minorHAnsi"/>
          <w:lang w:val="fr-FR"/>
        </w:rPr>
        <w:t>’</w:t>
      </w:r>
      <w:r w:rsidRPr="00C73365">
        <w:rPr>
          <w:rFonts w:asciiTheme="minorHAnsi" w:hAnsiTheme="minorHAnsi" w:cstheme="minorHAnsi"/>
          <w:lang w:val="fr-FR"/>
        </w:rPr>
        <w:t>évaluer l</w:t>
      </w:r>
      <w:r w:rsidR="004572A0" w:rsidRPr="00C73365">
        <w:rPr>
          <w:rFonts w:asciiTheme="minorHAnsi" w:hAnsiTheme="minorHAnsi" w:cstheme="minorHAnsi"/>
          <w:lang w:val="fr-FR"/>
        </w:rPr>
        <w:t>’</w:t>
      </w:r>
      <w:r w:rsidRPr="00C73365">
        <w:rPr>
          <w:rFonts w:asciiTheme="minorHAnsi" w:hAnsiTheme="minorHAnsi" w:cstheme="minorHAnsi"/>
          <w:lang w:val="fr-FR"/>
        </w:rPr>
        <w:t>éventuelle toxicité d</w:t>
      </w:r>
      <w:r w:rsidR="004572A0" w:rsidRPr="00C73365">
        <w:rPr>
          <w:rFonts w:asciiTheme="minorHAnsi" w:hAnsiTheme="minorHAnsi" w:cstheme="minorHAnsi"/>
          <w:lang w:val="fr-FR"/>
        </w:rPr>
        <w:t>’</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chez les animaux. Aujourd’hui, les données précliniques générées sont suffisantes pour conduire une Phase IIb.</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ABX464 s</w:t>
      </w:r>
      <w:r w:rsidR="004572A0" w:rsidRPr="00C73365">
        <w:rPr>
          <w:rFonts w:asciiTheme="minorHAnsi" w:hAnsiTheme="minorHAnsi" w:cstheme="minorHAnsi"/>
          <w:lang w:val="fr-FR"/>
        </w:rPr>
        <w:t>’</w:t>
      </w:r>
      <w:r w:rsidRPr="00C73365">
        <w:rPr>
          <w:rFonts w:asciiTheme="minorHAnsi" w:hAnsiTheme="minorHAnsi" w:cstheme="minorHAnsi"/>
          <w:lang w:val="fr-FR"/>
        </w:rPr>
        <w:t>est révélé non-génotoxique. Aucun effet indésirable n</w:t>
      </w:r>
      <w:r w:rsidR="004572A0" w:rsidRPr="00C73365">
        <w:rPr>
          <w:rFonts w:asciiTheme="minorHAnsi" w:hAnsiTheme="minorHAnsi" w:cstheme="minorHAnsi"/>
          <w:lang w:val="fr-FR"/>
        </w:rPr>
        <w:t>’</w:t>
      </w:r>
      <w:r w:rsidRPr="00C73365">
        <w:rPr>
          <w:rFonts w:asciiTheme="minorHAnsi" w:hAnsiTheme="minorHAnsi" w:cstheme="minorHAnsi"/>
          <w:lang w:val="fr-FR"/>
        </w:rPr>
        <w:t>a été observé sur le système nerveux central ou périphérique, ni sur la fonction respiratoire, après administration d</w:t>
      </w:r>
      <w:r w:rsidR="004572A0" w:rsidRPr="00C73365">
        <w:rPr>
          <w:rFonts w:asciiTheme="minorHAnsi" w:hAnsiTheme="minorHAnsi" w:cstheme="minorHAnsi"/>
          <w:lang w:val="fr-FR"/>
        </w:rPr>
        <w:t>’</w:t>
      </w:r>
      <w:r w:rsidRPr="00C73365">
        <w:rPr>
          <w:rFonts w:asciiTheme="minorHAnsi" w:hAnsiTheme="minorHAnsi" w:cstheme="minorHAnsi"/>
          <w:lang w:val="fr-FR"/>
        </w:rPr>
        <w:t>ABX464 à des doses allant jusqu</w:t>
      </w:r>
      <w:r w:rsidR="004572A0" w:rsidRPr="00C73365">
        <w:rPr>
          <w:rFonts w:asciiTheme="minorHAnsi" w:hAnsiTheme="minorHAnsi" w:cstheme="minorHAnsi"/>
          <w:lang w:val="fr-FR"/>
        </w:rPr>
        <w:t>’</w:t>
      </w:r>
      <w:r w:rsidRPr="00C73365">
        <w:rPr>
          <w:rFonts w:asciiTheme="minorHAnsi" w:hAnsiTheme="minorHAnsi" w:cstheme="minorHAnsi"/>
          <w:lang w:val="fr-FR"/>
        </w:rPr>
        <w:t>à 300 mg/kg chez le rat Wistar. Chez des ouistitis conscients, ABX464, administré à des doses de 250 mg/kg, n</w:t>
      </w:r>
      <w:r w:rsidR="004572A0" w:rsidRPr="00C73365">
        <w:rPr>
          <w:rFonts w:asciiTheme="minorHAnsi" w:hAnsiTheme="minorHAnsi" w:cstheme="minorHAnsi"/>
          <w:lang w:val="fr-FR"/>
        </w:rPr>
        <w:t>’</w:t>
      </w:r>
      <w:r w:rsidRPr="00C73365">
        <w:rPr>
          <w:rFonts w:asciiTheme="minorHAnsi" w:hAnsiTheme="minorHAnsi" w:cstheme="minorHAnsi"/>
          <w:lang w:val="fr-FR"/>
        </w:rPr>
        <w:t>a pas eu d</w:t>
      </w:r>
      <w:r w:rsidR="004572A0" w:rsidRPr="00C73365">
        <w:rPr>
          <w:rFonts w:asciiTheme="minorHAnsi" w:hAnsiTheme="minorHAnsi" w:cstheme="minorHAnsi"/>
          <w:lang w:val="fr-FR"/>
        </w:rPr>
        <w:t>’</w:t>
      </w:r>
      <w:r w:rsidRPr="00C73365">
        <w:rPr>
          <w:rFonts w:asciiTheme="minorHAnsi" w:hAnsiTheme="minorHAnsi" w:cstheme="minorHAnsi"/>
          <w:lang w:val="fr-FR"/>
        </w:rPr>
        <w:t>effet statistiquement significatif sur la pression artérielle, le rythme cardiaque ou la conduction cardiaque. De plus, aucune perturbation de la dérivation II de l</w:t>
      </w:r>
      <w:r w:rsidR="004572A0" w:rsidRPr="00C73365">
        <w:rPr>
          <w:rFonts w:asciiTheme="minorHAnsi" w:hAnsiTheme="minorHAnsi" w:cstheme="minorHAnsi"/>
          <w:lang w:val="fr-FR"/>
        </w:rPr>
        <w:t>’</w:t>
      </w:r>
      <w:r w:rsidRPr="00C73365">
        <w:rPr>
          <w:rFonts w:asciiTheme="minorHAnsi" w:hAnsiTheme="minorHAnsi" w:cstheme="minorHAnsi"/>
          <w:lang w:val="fr-FR"/>
        </w:rPr>
        <w:t>électrocardiogramme, attribuée à ABX464, n</w:t>
      </w:r>
      <w:r w:rsidR="004572A0" w:rsidRPr="00C73365">
        <w:rPr>
          <w:rFonts w:asciiTheme="minorHAnsi" w:hAnsiTheme="minorHAnsi" w:cstheme="minorHAnsi"/>
          <w:lang w:val="fr-FR"/>
        </w:rPr>
        <w:t>’</w:t>
      </w:r>
      <w:r w:rsidRPr="00C73365">
        <w:rPr>
          <w:rFonts w:asciiTheme="minorHAnsi" w:hAnsiTheme="minorHAnsi" w:cstheme="minorHAnsi"/>
          <w:lang w:val="fr-FR"/>
        </w:rPr>
        <w:t>a été constatée. Le profil de toxicité démontré lors de cet important programme préclinique a permis d</w:t>
      </w:r>
      <w:r w:rsidR="004572A0" w:rsidRPr="00C73365">
        <w:rPr>
          <w:rFonts w:asciiTheme="minorHAnsi" w:hAnsiTheme="minorHAnsi" w:cstheme="minorHAnsi"/>
          <w:lang w:val="fr-FR"/>
        </w:rPr>
        <w:t>’</w:t>
      </w:r>
      <w:r w:rsidRPr="00C73365">
        <w:rPr>
          <w:rFonts w:asciiTheme="minorHAnsi" w:hAnsiTheme="minorHAnsi" w:cstheme="minorHAnsi"/>
          <w:lang w:val="fr-FR"/>
        </w:rPr>
        <w:t>évoluer vers les premières études cliniques chez l</w:t>
      </w:r>
      <w:r w:rsidR="004572A0" w:rsidRPr="00C73365">
        <w:rPr>
          <w:rFonts w:asciiTheme="minorHAnsi" w:hAnsiTheme="minorHAnsi" w:cstheme="minorHAnsi"/>
          <w:lang w:val="fr-FR"/>
        </w:rPr>
        <w:t>’</w:t>
      </w:r>
      <w:r w:rsidRPr="00C73365">
        <w:rPr>
          <w:rFonts w:asciiTheme="minorHAnsi" w:hAnsiTheme="minorHAnsi" w:cstheme="minorHAnsi"/>
          <w:lang w:val="fr-FR"/>
        </w:rPr>
        <w:t>homme.</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Afin de permettre la suite du développement clinique, d’autres études précliniques règlementaires ont été réalisées. Une étude d’administration chronique de 3 mois chez le rat a montré que la molécule était bien tolérée avec une dose maximale tolérée de 120 mg/kg/jour. Cette étude a été suivie par une étude de 6 mois de traitement à l’issue de laquelle une dose maximale tolérée a été établie.</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Chez le non-rongeur, une étude de 2 mois de traitement a été réalisée chez le mini-porc et les résultats montrent qu’ABX464 est bien toléré à 10 mg/kg/jour. Une étude de 3 mois a été effectuée et a montré que les doses de 5, 10 et 15mg/kg étaient bien tolérées. Une étude de 6/9 mois a permis de définir une dose maximale tolérée à 5 mg/kg/jour.</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De plus, de la toxicité de la molécule sur la reproduction a été testée dans cinq études : deux études préliminaires chez le rat et le lapin pour évaluer la toxicité sur l’implémentation de l’embryon et trois études réglementaires pour évaluer les effets sur la fertilité, le développement embryonnaire et le développement postnatal incluant les fonctions maternelles. Les résultats ont montré qu’ABX464 possède une activité tératogène.</w:t>
      </w:r>
    </w:p>
    <w:p w:rsidR="00B67A56" w:rsidRPr="00C73365" w:rsidRDefault="00B67A56" w:rsidP="004572A0">
      <w:pPr>
        <w:pStyle w:val="BodyText"/>
        <w:rPr>
          <w:rFonts w:asciiTheme="minorHAnsi" w:hAnsiTheme="minorHAnsi" w:cstheme="minorHAnsi"/>
          <w:b/>
          <w:lang w:val="fr-FR"/>
        </w:rPr>
      </w:pPr>
      <w:r w:rsidRPr="00C73365">
        <w:rPr>
          <w:rFonts w:asciiTheme="minorHAnsi" w:hAnsiTheme="minorHAnsi" w:cstheme="minorHAnsi"/>
          <w:b/>
          <w:lang w:val="fr-FR"/>
        </w:rPr>
        <w:t>Principales propriétés différenciatrices d</w:t>
      </w:r>
      <w:r w:rsidR="004572A0" w:rsidRPr="00C73365">
        <w:rPr>
          <w:rFonts w:asciiTheme="minorHAnsi" w:hAnsiTheme="minorHAnsi" w:cstheme="minorHAnsi"/>
          <w:b/>
          <w:lang w:val="fr-FR"/>
        </w:rPr>
        <w:t>’</w:t>
      </w:r>
      <w:r w:rsidRPr="00C73365">
        <w:rPr>
          <w:rFonts w:asciiTheme="minorHAnsi" w:hAnsiTheme="minorHAnsi" w:cstheme="minorHAnsi"/>
          <w:b/>
          <w:lang w:val="fr-FR"/>
        </w:rPr>
        <w:t>ABX464 sur la base des données précliniques</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TAR actuelles ont prouvé leur efficacité en termes de réduction de la charge virale chez les patients, mais deux grands problèmes persistent : </w:t>
      </w:r>
    </w:p>
    <w:p w:rsidR="00B67A56" w:rsidRPr="00C73365" w:rsidRDefault="00B67A56"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 xml:space="preserve">la capacité du virus à muter et à développer une résistance aux traitements, et </w:t>
      </w:r>
    </w:p>
    <w:p w:rsidR="00B67A56" w:rsidRPr="00C73365" w:rsidRDefault="00B67A56"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absence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effet à long terme et la remontée de la charge virale après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arrêt du traitement.</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Les données précliniques relatives à ABX464 font état de propriétés uniques et très différentes par rapport aux TAR actuels :</w:t>
      </w:r>
    </w:p>
    <w:p w:rsidR="00B67A56" w:rsidRPr="00C73365" w:rsidRDefault="00B67A56"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ABX464 n</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 pas démontré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induction de résistance in vitro</w:t>
      </w:r>
    </w:p>
    <w:p w:rsidR="00B67A56" w:rsidRPr="00C73365" w:rsidRDefault="00B67A56"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ABX464 est efficace utilisé seul chez les souris infectées</w:t>
      </w:r>
    </w:p>
    <w:p w:rsidR="00B67A56" w:rsidRPr="00C73365" w:rsidRDefault="00B67A56"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ABX464 a un effet à long terme sur la charge virale après arrêt du traitement (effet à long terme constatée chez les souris infectées pendant au moins 50 jours après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arrêt du traitement).</w:t>
      </w:r>
    </w:p>
    <w:p w:rsidR="00B67A56" w:rsidRPr="00C73365" w:rsidRDefault="00B67A56" w:rsidP="00434C49">
      <w:pPr>
        <w:pStyle w:val="ListParagraph"/>
        <w:keepNext/>
        <w:keepLines/>
        <w:numPr>
          <w:ilvl w:val="0"/>
          <w:numId w:val="77"/>
        </w:num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Essais cliniques d</w:t>
      </w:r>
      <w:r w:rsidR="004572A0" w:rsidRPr="00C73365">
        <w:rPr>
          <w:rFonts w:asciiTheme="minorHAnsi" w:hAnsiTheme="minorHAnsi" w:cstheme="minorHAnsi"/>
          <w:b/>
          <w:color w:val="7030A0"/>
          <w:szCs w:val="20"/>
          <w:lang w:val="fr-FR"/>
        </w:rPr>
        <w:t>’</w:t>
      </w:r>
      <w:r w:rsidRPr="00C73365">
        <w:rPr>
          <w:rFonts w:asciiTheme="minorHAnsi" w:hAnsiTheme="minorHAnsi" w:cstheme="minorHAnsi"/>
          <w:b/>
          <w:color w:val="7030A0"/>
          <w:szCs w:val="20"/>
          <w:lang w:val="fr-FR"/>
        </w:rPr>
        <w:t xml:space="preserve">ABX464 et plans de développement cliniques </w:t>
      </w:r>
    </w:p>
    <w:p w:rsidR="00B67A56" w:rsidRPr="00C73365" w:rsidRDefault="00B67A56" w:rsidP="004572A0">
      <w:pPr>
        <w:pStyle w:val="BodyText"/>
        <w:rPr>
          <w:rFonts w:asciiTheme="minorHAnsi" w:hAnsiTheme="minorHAnsi" w:cstheme="minorHAnsi"/>
          <w:b/>
          <w:lang w:val="fr-FR"/>
        </w:rPr>
      </w:pPr>
      <w:r w:rsidRPr="00C73365">
        <w:rPr>
          <w:rFonts w:asciiTheme="minorHAnsi" w:hAnsiTheme="minorHAnsi" w:cstheme="minorHAnsi"/>
          <w:b/>
          <w:lang w:val="fr-FR"/>
        </w:rPr>
        <w:t>Etude de pharmacocinétique chez des volontaires sains :</w:t>
      </w:r>
    </w:p>
    <w:p w:rsidR="00B67A56" w:rsidRPr="00C73365" w:rsidRDefault="00B67A56"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Une première étude chez l</w:t>
      </w:r>
      <w:r w:rsidR="004572A0" w:rsidRPr="00C73365">
        <w:rPr>
          <w:rFonts w:asciiTheme="minorHAnsi" w:hAnsiTheme="minorHAnsi" w:cstheme="minorHAnsi"/>
          <w:lang w:val="fr-FR"/>
        </w:rPr>
        <w:t>’</w:t>
      </w:r>
      <w:r w:rsidRPr="00C73365">
        <w:rPr>
          <w:rFonts w:asciiTheme="minorHAnsi" w:hAnsiTheme="minorHAnsi" w:cstheme="minorHAnsi"/>
          <w:lang w:val="fr-FR"/>
        </w:rPr>
        <w:t>homme a été réalisée en France sur 24 volontaires sains au deuxième trimestre 2014. L</w:t>
      </w:r>
      <w:r w:rsidR="004572A0" w:rsidRPr="00C73365">
        <w:rPr>
          <w:rFonts w:asciiTheme="minorHAnsi" w:hAnsiTheme="minorHAnsi" w:cstheme="minorHAnsi"/>
          <w:lang w:val="fr-FR"/>
        </w:rPr>
        <w:t>’</w:t>
      </w:r>
      <w:r w:rsidRPr="00C73365">
        <w:rPr>
          <w:rFonts w:asciiTheme="minorHAnsi" w:hAnsiTheme="minorHAnsi" w:cstheme="minorHAnsi"/>
          <w:lang w:val="fr-FR"/>
        </w:rPr>
        <w:t>objectif de cette étude était de déterminer le profil pharmacocinétique d</w:t>
      </w:r>
      <w:r w:rsidR="004572A0" w:rsidRPr="00C73365">
        <w:rPr>
          <w:rFonts w:asciiTheme="minorHAnsi" w:hAnsiTheme="minorHAnsi" w:cstheme="minorHAnsi"/>
          <w:lang w:val="fr-FR"/>
        </w:rPr>
        <w:t>’</w:t>
      </w:r>
      <w:r w:rsidRPr="00C73365">
        <w:rPr>
          <w:rFonts w:asciiTheme="minorHAnsi" w:hAnsiTheme="minorHAnsi" w:cstheme="minorHAnsi"/>
          <w:lang w:val="fr-FR"/>
        </w:rPr>
        <w:t>ABX464 et d</w:t>
      </w:r>
      <w:r w:rsidR="004572A0" w:rsidRPr="00C73365">
        <w:rPr>
          <w:rFonts w:asciiTheme="minorHAnsi" w:hAnsiTheme="minorHAnsi" w:cstheme="minorHAnsi"/>
          <w:lang w:val="fr-FR"/>
        </w:rPr>
        <w:t>’</w:t>
      </w:r>
      <w:r w:rsidRPr="00C73365">
        <w:rPr>
          <w:rFonts w:asciiTheme="minorHAnsi" w:hAnsiTheme="minorHAnsi" w:cstheme="minorHAnsi"/>
          <w:lang w:val="fr-FR"/>
        </w:rPr>
        <w:t>évaluer l</w:t>
      </w:r>
      <w:r w:rsidR="004572A0" w:rsidRPr="00C73365">
        <w:rPr>
          <w:rFonts w:asciiTheme="minorHAnsi" w:hAnsiTheme="minorHAnsi" w:cstheme="minorHAnsi"/>
          <w:lang w:val="fr-FR"/>
        </w:rPr>
        <w:t>’</w:t>
      </w:r>
      <w:r w:rsidRPr="00C73365">
        <w:rPr>
          <w:rFonts w:asciiTheme="minorHAnsi" w:hAnsiTheme="minorHAnsi" w:cstheme="minorHAnsi"/>
          <w:lang w:val="fr-FR"/>
        </w:rPr>
        <w:t>innocuité clinique et biologique du traitement après administration d</w:t>
      </w:r>
      <w:r w:rsidR="004572A0" w:rsidRPr="00C73365">
        <w:rPr>
          <w:rFonts w:asciiTheme="minorHAnsi" w:hAnsiTheme="minorHAnsi" w:cstheme="minorHAnsi"/>
          <w:lang w:val="fr-FR"/>
        </w:rPr>
        <w:t>’</w:t>
      </w:r>
      <w:r w:rsidRPr="00C73365">
        <w:rPr>
          <w:rFonts w:asciiTheme="minorHAnsi" w:hAnsiTheme="minorHAnsi" w:cstheme="minorHAnsi"/>
          <w:lang w:val="fr-FR"/>
        </w:rPr>
        <w:t>une dose unique à des sujets adultes et en bonne santé. 4 dosages journaliers ont été testés : 50, 100, 150 et 200 mg.</w:t>
      </w:r>
    </w:p>
    <w:p w:rsidR="00B67A56" w:rsidRPr="00C73365" w:rsidRDefault="00B67A56"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Les données pharmacocinétiques récoltées dans le cadre de cette étude ont démontré qu</w:t>
      </w:r>
      <w:r w:rsidR="004572A0" w:rsidRPr="00C73365">
        <w:rPr>
          <w:rFonts w:asciiTheme="minorHAnsi" w:hAnsiTheme="minorHAnsi" w:cstheme="minorHAnsi"/>
          <w:lang w:val="fr-FR"/>
        </w:rPr>
        <w:t>’</w:t>
      </w:r>
      <w:r w:rsidRPr="00C73365">
        <w:rPr>
          <w:rFonts w:asciiTheme="minorHAnsi" w:hAnsiTheme="minorHAnsi" w:cstheme="minorHAnsi"/>
          <w:lang w:val="fr-FR"/>
        </w:rPr>
        <w:t>ABX464 est bien absorbé et métabolisé en grande partie en glucuronide-N-ABX464. Le Cmax d</w:t>
      </w:r>
      <w:r w:rsidR="004572A0" w:rsidRPr="00C73365">
        <w:rPr>
          <w:rFonts w:asciiTheme="minorHAnsi" w:hAnsiTheme="minorHAnsi" w:cstheme="minorHAnsi"/>
          <w:lang w:val="fr-FR"/>
        </w:rPr>
        <w:t>’</w:t>
      </w:r>
      <w:r w:rsidRPr="00C73365">
        <w:rPr>
          <w:rFonts w:asciiTheme="minorHAnsi" w:hAnsiTheme="minorHAnsi" w:cstheme="minorHAnsi"/>
          <w:lang w:val="fr-FR"/>
        </w:rPr>
        <w:t>ABX464 a été observé environ deux heures après l</w:t>
      </w:r>
      <w:r w:rsidR="004572A0" w:rsidRPr="00C73365">
        <w:rPr>
          <w:rFonts w:asciiTheme="minorHAnsi" w:hAnsiTheme="minorHAnsi" w:cstheme="minorHAnsi"/>
          <w:lang w:val="fr-FR"/>
        </w:rPr>
        <w:t>’</w:t>
      </w:r>
      <w:r w:rsidRPr="00C73365">
        <w:rPr>
          <w:rFonts w:asciiTheme="minorHAnsi" w:hAnsiTheme="minorHAnsi" w:cstheme="minorHAnsi"/>
          <w:lang w:val="fr-FR"/>
        </w:rPr>
        <w:t>administration dans chacun des groupes, avec des valeurs médianes situées entre 14 et 72 ng/ml. Le Cmax de glucuronide-N-</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y était environ 160 fois supérieur. La limite supérieure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exposition a été atteinte à 150 mg. </w:t>
      </w:r>
    </w:p>
    <w:p w:rsidR="00B67A56" w:rsidRPr="00C73365" w:rsidRDefault="00B67A56"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Aucun effet secondaire grave ou sévère n</w:t>
      </w:r>
      <w:r w:rsidR="004572A0" w:rsidRPr="00C73365">
        <w:rPr>
          <w:rFonts w:asciiTheme="minorHAnsi" w:hAnsiTheme="minorHAnsi" w:cstheme="minorHAnsi"/>
          <w:lang w:val="fr-FR"/>
        </w:rPr>
        <w:t>’</w:t>
      </w:r>
      <w:r w:rsidRPr="00C73365">
        <w:rPr>
          <w:rFonts w:asciiTheme="minorHAnsi" w:hAnsiTheme="minorHAnsi" w:cstheme="minorHAnsi"/>
          <w:lang w:val="fr-FR"/>
        </w:rPr>
        <w:t>a été observé au cours de l</w:t>
      </w:r>
      <w:r w:rsidR="004572A0" w:rsidRPr="00C73365">
        <w:rPr>
          <w:rFonts w:asciiTheme="minorHAnsi" w:hAnsiTheme="minorHAnsi" w:cstheme="minorHAnsi"/>
          <w:lang w:val="fr-FR"/>
        </w:rPr>
        <w:t>’</w:t>
      </w:r>
      <w:r w:rsidRPr="00C73365">
        <w:rPr>
          <w:rFonts w:asciiTheme="minorHAnsi" w:hAnsiTheme="minorHAnsi" w:cstheme="minorHAnsi"/>
          <w:lang w:val="fr-FR"/>
        </w:rPr>
        <w:t>étude. Treize sujets ont rapporté avoir souffert de maux de tête, de nausées et/ou de vomissements, généralement de faible intensité (modérée dans certains cas). Aucun résultat significativement anormal n</w:t>
      </w:r>
      <w:r w:rsidR="004572A0" w:rsidRPr="00C73365">
        <w:rPr>
          <w:rFonts w:asciiTheme="minorHAnsi" w:hAnsiTheme="minorHAnsi" w:cstheme="minorHAnsi"/>
          <w:lang w:val="fr-FR"/>
        </w:rPr>
        <w:t>’</w:t>
      </w:r>
      <w:r w:rsidRPr="00C73365">
        <w:rPr>
          <w:rFonts w:asciiTheme="minorHAnsi" w:hAnsiTheme="minorHAnsi" w:cstheme="minorHAnsi"/>
          <w:lang w:val="fr-FR"/>
        </w:rPr>
        <w:t>est apparu dans les examens physiques, les résultats des tests de laboratoire, les signes vitaux ou les ECG. Le médicament à l</w:t>
      </w:r>
      <w:r w:rsidR="004572A0" w:rsidRPr="00C73365">
        <w:rPr>
          <w:rFonts w:asciiTheme="minorHAnsi" w:hAnsiTheme="minorHAnsi" w:cstheme="minorHAnsi"/>
          <w:lang w:val="fr-FR"/>
        </w:rPr>
        <w:t>’</w:t>
      </w:r>
      <w:r w:rsidRPr="00C73365">
        <w:rPr>
          <w:rFonts w:asciiTheme="minorHAnsi" w:hAnsiTheme="minorHAnsi" w:cstheme="minorHAnsi"/>
          <w:lang w:val="fr-FR"/>
        </w:rPr>
        <w:t>étude a été généralement bien toléré.</w:t>
      </w:r>
    </w:p>
    <w:p w:rsidR="00B67A56" w:rsidRPr="00C73365" w:rsidRDefault="00B67A56"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Une deuxième étude a été lancée en novembre 2014 sur des volontaires sains, visant à évaluer l</w:t>
      </w:r>
      <w:r w:rsidR="004572A0" w:rsidRPr="00C73365">
        <w:rPr>
          <w:rFonts w:asciiTheme="minorHAnsi" w:hAnsiTheme="minorHAnsi" w:cstheme="minorHAnsi"/>
          <w:lang w:val="fr-FR"/>
        </w:rPr>
        <w:t>’</w:t>
      </w:r>
      <w:r w:rsidRPr="00C73365">
        <w:rPr>
          <w:rFonts w:asciiTheme="minorHAnsi" w:hAnsiTheme="minorHAnsi" w:cstheme="minorHAnsi"/>
          <w:lang w:val="fr-FR"/>
        </w:rPr>
        <w:t>impact de la prise alimentaire et de l</w:t>
      </w:r>
      <w:r w:rsidR="004572A0" w:rsidRPr="00C73365">
        <w:rPr>
          <w:rFonts w:asciiTheme="minorHAnsi" w:hAnsiTheme="minorHAnsi" w:cstheme="minorHAnsi"/>
          <w:lang w:val="fr-FR"/>
        </w:rPr>
        <w:t>’</w:t>
      </w:r>
      <w:r w:rsidRPr="00C73365">
        <w:rPr>
          <w:rFonts w:asciiTheme="minorHAnsi" w:hAnsiTheme="minorHAnsi" w:cstheme="minorHAnsi"/>
          <w:lang w:val="fr-FR"/>
        </w:rPr>
        <w:t>administration répétée sur les propriétés pharmacocinétiques et l</w:t>
      </w:r>
      <w:r w:rsidR="004572A0" w:rsidRPr="00C73365">
        <w:rPr>
          <w:rFonts w:asciiTheme="minorHAnsi" w:hAnsiTheme="minorHAnsi" w:cstheme="minorHAnsi"/>
          <w:lang w:val="fr-FR"/>
        </w:rPr>
        <w:t>’</w:t>
      </w:r>
      <w:r w:rsidRPr="00C73365">
        <w:rPr>
          <w:rFonts w:asciiTheme="minorHAnsi" w:hAnsiTheme="minorHAnsi" w:cstheme="minorHAnsi"/>
          <w:lang w:val="fr-FR"/>
        </w:rPr>
        <w:t>innocuité biologique d</w:t>
      </w:r>
      <w:r w:rsidR="004572A0" w:rsidRPr="00C73365">
        <w:rPr>
          <w:rFonts w:asciiTheme="minorHAnsi" w:hAnsiTheme="minorHAnsi" w:cstheme="minorHAnsi"/>
          <w:lang w:val="fr-FR"/>
        </w:rPr>
        <w:t>’</w:t>
      </w:r>
      <w:r w:rsidR="00E32CFE" w:rsidRPr="00C73365">
        <w:rPr>
          <w:rFonts w:asciiTheme="minorHAnsi" w:hAnsiTheme="minorHAnsi" w:cstheme="minorHAnsi"/>
          <w:lang w:val="fr-FR"/>
        </w:rPr>
        <w:t>ABX464</w:t>
      </w:r>
      <w:r w:rsidRPr="00C73365">
        <w:rPr>
          <w:rFonts w:asciiTheme="minorHAnsi" w:hAnsiTheme="minorHAnsi" w:cstheme="minorHAnsi"/>
          <w:lang w:val="fr-FR"/>
        </w:rPr>
        <w:t>. Dans un premier volet, 24 volontaires devaient recevoir une dose unique de 50 mg : 12 avec de la nourriture et 12 sans. Quarante-cinq jours plus tard, les volontaires qui avaient pris le médicament avec de la nourriture devaient le prendre sans nourriture et vice-versa. Un second volet a impliqué 10 volontaires sains, qui devaient prendre une dose de 50 mg tous les 3 jours pendant 12 jours avec un repas, tandis qu</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 autre groupe de 12 volontaires devaient prendre le médicament à jeun. </w:t>
      </w:r>
    </w:p>
    <w:p w:rsidR="00B67A56" w:rsidRPr="00C73365" w:rsidRDefault="00B67A56"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Il ressort de cette deuxième étude que la prise alimentaire augmente significativement les concentrations sanguines d’ABX464 et dans une moindre mesure celles de son métabolite actif (glucuronide-N-ABX464). Cette étude a également démontré une nouvelle fois la bonne tolérance d’ABX464 à jeun ou avec une prise alimentaire.</w:t>
      </w:r>
    </w:p>
    <w:p w:rsidR="00B67A56" w:rsidRPr="00C73365" w:rsidRDefault="00B67A56" w:rsidP="00B67A56">
      <w:pPr>
        <w:pStyle w:val="ConmainL5"/>
        <w:widowControl w:val="0"/>
        <w:tabs>
          <w:tab w:val="num" w:pos="567"/>
        </w:tabs>
        <w:spacing w:after="120"/>
        <w:outlineLvl w:val="9"/>
        <w:rPr>
          <w:rFonts w:asciiTheme="minorHAnsi" w:hAnsiTheme="minorHAnsi" w:cstheme="minorHAnsi"/>
          <w:b/>
          <w:i w:val="0"/>
          <w:color w:val="7030A0"/>
          <w:lang w:val="fr-FR"/>
        </w:rPr>
      </w:pPr>
      <w:r w:rsidRPr="00C73365">
        <w:rPr>
          <w:rFonts w:asciiTheme="minorHAnsi" w:hAnsiTheme="minorHAnsi" w:cstheme="minorHAnsi"/>
          <w:b/>
          <w:i w:val="0"/>
          <w:color w:val="7030A0"/>
          <w:lang w:val="fr-FR"/>
        </w:rPr>
        <w:lastRenderedPageBreak/>
        <w:t>Etudes de phase IIa chez des patients infectés par le VIH :</w:t>
      </w:r>
    </w:p>
    <w:p w:rsidR="00B67A56" w:rsidRPr="00C73365" w:rsidRDefault="00B67A56" w:rsidP="00B67A56">
      <w:pPr>
        <w:pStyle w:val="Default"/>
        <w:spacing w:after="120"/>
        <w:jc w:val="both"/>
        <w:rPr>
          <w:rFonts w:asciiTheme="minorHAnsi" w:hAnsiTheme="minorHAnsi" w:cstheme="minorHAnsi"/>
          <w:color w:val="auto"/>
          <w:sz w:val="20"/>
          <w:szCs w:val="20"/>
          <w:lang w:val="fr-FR"/>
        </w:rPr>
      </w:pPr>
      <w:r w:rsidRPr="00C73365">
        <w:rPr>
          <w:rFonts w:asciiTheme="minorHAnsi" w:hAnsiTheme="minorHAnsi" w:cstheme="minorHAnsi"/>
          <w:color w:val="auto"/>
          <w:sz w:val="20"/>
          <w:szCs w:val="20"/>
          <w:lang w:val="fr-FR"/>
        </w:rPr>
        <w:t>En 2015, une étude de phase IIa sur 66 sujets infectés par le VIH a apporté une première preuve de l’efficacité de l’ABX464 chez l’homme. Cette étude présentée en Février 2016 au congrès scientifique de référence sur le SIDA (CROI, Conférence on Retrovirus and Opportunistic Infections) a évalué l’efficacité et l’innocuité d’ABX464, à doses croissantes et contre placebo, dans le traitement de patients naïfs infectés par le VIH.</w:t>
      </w:r>
    </w:p>
    <w:p w:rsidR="00B67A56" w:rsidRPr="00C73365" w:rsidRDefault="00B67A56" w:rsidP="00B67A56">
      <w:pPr>
        <w:pStyle w:val="Default"/>
        <w:spacing w:after="120"/>
        <w:jc w:val="both"/>
        <w:rPr>
          <w:rFonts w:asciiTheme="minorHAnsi" w:hAnsiTheme="minorHAnsi" w:cstheme="minorHAnsi"/>
          <w:color w:val="auto"/>
          <w:sz w:val="20"/>
          <w:szCs w:val="20"/>
          <w:lang w:val="fr-FR"/>
        </w:rPr>
      </w:pPr>
      <w:r w:rsidRPr="00C73365">
        <w:rPr>
          <w:rFonts w:asciiTheme="minorHAnsi" w:hAnsiTheme="minorHAnsi" w:cstheme="minorHAnsi"/>
          <w:color w:val="auto"/>
          <w:sz w:val="20"/>
          <w:szCs w:val="20"/>
          <w:lang w:val="fr-FR"/>
        </w:rPr>
        <w:t>Une réduction de la charge virale d</w:t>
      </w:r>
      <w:r w:rsidR="004572A0" w:rsidRPr="00C73365">
        <w:rPr>
          <w:rFonts w:asciiTheme="minorHAnsi" w:hAnsiTheme="minorHAnsi" w:cstheme="minorHAnsi"/>
          <w:color w:val="auto"/>
          <w:sz w:val="20"/>
          <w:szCs w:val="20"/>
          <w:lang w:val="fr-FR"/>
        </w:rPr>
        <w:t>’</w:t>
      </w:r>
      <w:r w:rsidRPr="00C73365">
        <w:rPr>
          <w:rFonts w:asciiTheme="minorHAnsi" w:hAnsiTheme="minorHAnsi" w:cstheme="minorHAnsi"/>
          <w:color w:val="auto"/>
          <w:sz w:val="20"/>
          <w:szCs w:val="20"/>
          <w:lang w:val="fr-FR"/>
        </w:rPr>
        <w:t>au moins 0,5 log (plus de 68% de réduction) a été observée chez 1 patient sur 6 dans la cohorte 75 mg, 2 patients sur 6 dans la cohorte 100 mg et 4 patients sur 6 dans la cohorte 150 mg. Il n</w:t>
      </w:r>
      <w:r w:rsidR="004572A0" w:rsidRPr="00C73365">
        <w:rPr>
          <w:rFonts w:asciiTheme="minorHAnsi" w:hAnsiTheme="minorHAnsi" w:cstheme="minorHAnsi"/>
          <w:color w:val="auto"/>
          <w:sz w:val="20"/>
          <w:szCs w:val="20"/>
          <w:lang w:val="fr-FR"/>
        </w:rPr>
        <w:t>’</w:t>
      </w:r>
      <w:r w:rsidRPr="00C73365">
        <w:rPr>
          <w:rFonts w:asciiTheme="minorHAnsi" w:hAnsiTheme="minorHAnsi" w:cstheme="minorHAnsi"/>
          <w:color w:val="auto"/>
          <w:sz w:val="20"/>
          <w:szCs w:val="20"/>
          <w:lang w:val="fr-FR"/>
        </w:rPr>
        <w:t>y a pas eu de variation significative de la charge virale chez les 6 patients sous placebo dans ces cohortes. Les effets indésirables constatés sont ceux fréquemment observés dans le cadre de traitements antiviraux.</w:t>
      </w:r>
    </w:p>
    <w:p w:rsidR="00B67A56" w:rsidRPr="00C73365" w:rsidRDefault="00B67A56" w:rsidP="001E7694">
      <w:pPr>
        <w:pStyle w:val="BodyText"/>
        <w:spacing w:after="120"/>
        <w:rPr>
          <w:rFonts w:asciiTheme="minorHAnsi" w:eastAsia="Candara" w:hAnsiTheme="minorHAnsi" w:cstheme="minorHAnsi"/>
          <w:lang w:val="fr-FR"/>
        </w:rPr>
      </w:pPr>
      <w:r w:rsidRPr="00C73365">
        <w:rPr>
          <w:rFonts w:asciiTheme="minorHAnsi" w:hAnsiTheme="minorHAnsi" w:cstheme="minorHAnsi"/>
          <w:lang w:val="fr-FR"/>
        </w:rPr>
        <w:t xml:space="preserve">Sur la base de ces informations encourageantes, une seconde étude de phase IIa </w:t>
      </w:r>
      <w:r w:rsidRPr="00C73365">
        <w:rPr>
          <w:rFonts w:asciiTheme="minorHAnsi" w:hAnsiTheme="minorHAnsi" w:cstheme="minorHAnsi"/>
          <w:b/>
          <w:lang w:val="fr-FR"/>
        </w:rPr>
        <w:t>(ABX464-004)</w:t>
      </w:r>
      <w:r w:rsidRPr="00C73365">
        <w:rPr>
          <w:rFonts w:asciiTheme="minorHAnsi" w:hAnsiTheme="minorHAnsi" w:cstheme="minorHAnsi"/>
          <w:lang w:val="fr-FR"/>
        </w:rPr>
        <w:t xml:space="preserve"> a été initiée en Espagne, France et Belgique. </w:t>
      </w:r>
      <w:r w:rsidRPr="00C73365">
        <w:rPr>
          <w:rFonts w:asciiTheme="minorHAnsi" w:eastAsia="Candara" w:hAnsiTheme="minorHAnsi" w:cstheme="minorHAnsi"/>
          <w:lang w:val="fr-FR"/>
        </w:rPr>
        <w:t xml:space="preserve">Dans l’étude ABX464-004, 30 patients infectés par le virus du VIH ont été inclus et ont reçu pendant 28 jours, soit ABX464 soit un placebo en plus de leur traitement antirétroviral </w:t>
      </w:r>
      <w:r w:rsidR="001E7694">
        <w:rPr>
          <w:rFonts w:asciiTheme="minorHAnsi" w:eastAsia="Candara" w:hAnsiTheme="minorHAnsi" w:cstheme="minorHAnsi"/>
          <w:lang w:val="fr-FR"/>
        </w:rPr>
        <w:t>(Inhibiteur de protéase - Darunavir)</w:t>
      </w:r>
      <w:r w:rsidRPr="00C73365">
        <w:rPr>
          <w:rFonts w:asciiTheme="minorHAnsi" w:eastAsia="Candara" w:hAnsiTheme="minorHAnsi" w:cstheme="minorHAnsi"/>
          <w:lang w:val="fr-FR"/>
        </w:rPr>
        <w:t xml:space="preserve">. La charge virale au début de l’étude était bien contrôlée. Après 28 jours, tous les traitements ont été interrompus jusqu’au rebond de la charge virale. Des prises de sang ont été effectuées au début de l’étude et après 28 jours de traitement afin d’évaluer l’effet potentiel d’ABX464 sur les réservoirs de VIH dans les cellules périphériques mononuclées du sang. </w:t>
      </w:r>
    </w:p>
    <w:p w:rsidR="00B67A56" w:rsidRPr="00C73365" w:rsidRDefault="00B67A56" w:rsidP="001E7694">
      <w:pPr>
        <w:pStyle w:val="BodyText"/>
        <w:spacing w:after="120"/>
        <w:rPr>
          <w:rFonts w:asciiTheme="minorHAnsi" w:eastAsia="Candara" w:hAnsiTheme="minorHAnsi" w:cstheme="minorHAnsi"/>
          <w:lang w:val="fr-FR"/>
        </w:rPr>
      </w:pPr>
      <w:r w:rsidRPr="00C73365">
        <w:rPr>
          <w:rFonts w:asciiTheme="minorHAnsi" w:eastAsia="Candara" w:hAnsiTheme="minorHAnsi" w:cstheme="minorHAnsi"/>
          <w:lang w:val="fr-FR"/>
        </w:rPr>
        <w:t>L’innocuité était le critère principal de l’étude : ABX464 a été bien toléré et aucun effet secondaire indésirable grave n’a été constaté au sein du groupe s’étant vu administrer ABX464. Chez les patients évaluables (4 placebo, 1</w:t>
      </w:r>
      <w:r w:rsidR="006F3437" w:rsidRPr="00C73365">
        <w:rPr>
          <w:rFonts w:asciiTheme="minorHAnsi" w:eastAsia="Candara" w:hAnsiTheme="minorHAnsi" w:cstheme="minorHAnsi"/>
          <w:lang w:val="fr-FR"/>
        </w:rPr>
        <w:t>5</w:t>
      </w:r>
      <w:r w:rsidRPr="00C73365">
        <w:rPr>
          <w:rFonts w:asciiTheme="minorHAnsi" w:eastAsia="Candara" w:hAnsiTheme="minorHAnsi" w:cstheme="minorHAnsi"/>
          <w:lang w:val="fr-FR"/>
        </w:rPr>
        <w:t xml:space="preserve"> traités avec ABX464), une réduction des copies d’ADN viral/million de PBMC a été observée sur </w:t>
      </w:r>
      <w:r w:rsidR="006F3437" w:rsidRPr="00C73365">
        <w:rPr>
          <w:rFonts w:asciiTheme="minorHAnsi" w:eastAsia="Candara" w:hAnsiTheme="minorHAnsi" w:cstheme="minorHAnsi"/>
          <w:lang w:val="fr-FR"/>
        </w:rPr>
        <w:t>8</w:t>
      </w:r>
      <w:r w:rsidRPr="00C73365">
        <w:rPr>
          <w:rFonts w:asciiTheme="minorHAnsi" w:eastAsia="Candara" w:hAnsiTheme="minorHAnsi" w:cstheme="minorHAnsi"/>
          <w:lang w:val="fr-FR"/>
        </w:rPr>
        <w:t xml:space="preserve"> des 1</w:t>
      </w:r>
      <w:r w:rsidR="006F3437" w:rsidRPr="00C73365">
        <w:rPr>
          <w:rFonts w:asciiTheme="minorHAnsi" w:eastAsia="Candara" w:hAnsiTheme="minorHAnsi" w:cstheme="minorHAnsi"/>
          <w:lang w:val="fr-FR"/>
        </w:rPr>
        <w:t>5</w:t>
      </w:r>
      <w:r w:rsidRPr="00C73365">
        <w:rPr>
          <w:rFonts w:asciiTheme="minorHAnsi" w:eastAsia="Candara" w:hAnsiTheme="minorHAnsi" w:cstheme="minorHAnsi"/>
          <w:lang w:val="fr-FR"/>
        </w:rPr>
        <w:t xml:space="preserve"> patients traités (soit une réduction de -40%, allant de -27% à -67%) et aucune réponse n’a été observée dans le groupe placebo. Les patients répondeurs ont été définis comme étant ceux présentant une réduction minimale de 50 copies et de plus de 25% sur le nombre total de copies d’ADN viral.</w:t>
      </w:r>
    </w:p>
    <w:p w:rsidR="00B67A56" w:rsidRPr="00C73365" w:rsidRDefault="001E7694" w:rsidP="001E7694">
      <w:pPr>
        <w:pStyle w:val="NormalWeb"/>
        <w:shd w:val="clear" w:color="auto" w:fill="FFFFFF"/>
        <w:spacing w:before="0" w:beforeAutospacing="0" w:after="120" w:afterAutospacing="0"/>
        <w:rPr>
          <w:rFonts w:asciiTheme="minorHAnsi" w:hAnsiTheme="minorHAnsi" w:cstheme="minorHAnsi"/>
          <w:bCs/>
          <w:lang w:val="fr-FR"/>
        </w:rPr>
      </w:pPr>
      <w:r>
        <w:rPr>
          <w:rFonts w:asciiTheme="minorHAnsi" w:hAnsiTheme="minorHAnsi" w:cstheme="minorHAnsi"/>
          <w:szCs w:val="20"/>
          <w:lang w:val="fr-FR"/>
        </w:rPr>
        <w:t>A</w:t>
      </w:r>
      <w:r w:rsidR="00B67A56" w:rsidRPr="00C73365">
        <w:rPr>
          <w:rFonts w:asciiTheme="minorHAnsi" w:hAnsiTheme="minorHAnsi" w:cstheme="minorHAnsi"/>
          <w:szCs w:val="20"/>
          <w:lang w:val="fr-FR"/>
        </w:rPr>
        <w:t xml:space="preserve">fin de mieux comprendre l’action de la molécule sur les réservoirs du virus, une étude « compartimentale », </w:t>
      </w:r>
      <w:r w:rsidR="00B67A56" w:rsidRPr="00C73365">
        <w:rPr>
          <w:rFonts w:asciiTheme="minorHAnsi" w:hAnsiTheme="minorHAnsi" w:cstheme="minorHAnsi"/>
          <w:b/>
          <w:szCs w:val="20"/>
          <w:lang w:val="fr-FR"/>
        </w:rPr>
        <w:t>ABX464-005</w:t>
      </w:r>
      <w:r w:rsidR="00B67A56" w:rsidRPr="00C73365">
        <w:rPr>
          <w:rFonts w:asciiTheme="minorHAnsi" w:hAnsiTheme="minorHAnsi" w:cstheme="minorHAnsi"/>
          <w:szCs w:val="20"/>
          <w:lang w:val="fr-FR"/>
        </w:rPr>
        <w:t>, a été initiée. Cette étude de Phase IIa vise à caractériser les implications immunologiques d’un traitement par ABX464. Le centre de l’essai inclura 12 volontaires sains ainsi que 24 patients infectés par le VIH. Les sujets seront randomisés et recevront ABX464 (ou son placebo) pendant 28 jours. Le protocole de cette étude a reçu l’approbation des autorités réglementaires et d’éthique le 16 mars 2017 et les premiers patients ont été recrutés en Avril 2017.</w:t>
      </w:r>
      <w:r w:rsidR="00B67A56" w:rsidRPr="00C73365">
        <w:rPr>
          <w:rFonts w:asciiTheme="minorHAnsi" w:hAnsiTheme="minorHAnsi" w:cstheme="minorHAnsi"/>
          <w:bCs/>
          <w:lang w:val="fr-FR"/>
        </w:rPr>
        <w:t xml:space="preserve"> Les résultats provenant d’un premier groupe de 11 patients ont été communiqués </w:t>
      </w:r>
      <w:r w:rsidR="00E73A7C">
        <w:rPr>
          <w:rFonts w:asciiTheme="minorHAnsi" w:hAnsiTheme="minorHAnsi" w:cstheme="minorHAnsi"/>
          <w:bCs/>
          <w:lang w:val="fr-FR"/>
        </w:rPr>
        <w:t>le 28 septembre</w:t>
      </w:r>
      <w:r w:rsidR="00B67A56" w:rsidRPr="00C73365">
        <w:rPr>
          <w:rFonts w:asciiTheme="minorHAnsi" w:hAnsiTheme="minorHAnsi" w:cstheme="minorHAnsi"/>
          <w:bCs/>
          <w:lang w:val="fr-FR"/>
        </w:rPr>
        <w:t xml:space="preserve"> 2017. Ils confirment </w:t>
      </w:r>
      <w:r w:rsidR="00B67A56" w:rsidRPr="00C73365">
        <w:rPr>
          <w:rFonts w:asciiTheme="minorHAnsi" w:hAnsiTheme="minorHAnsi" w:cstheme="minorHAnsi"/>
          <w:lang w:val="fr-FR"/>
        </w:rPr>
        <w:t xml:space="preserve">une baisse des réservoirs du VIH induite par ABX464. </w:t>
      </w:r>
      <w:r w:rsidR="00B67A56" w:rsidRPr="00C73365">
        <w:rPr>
          <w:rFonts w:asciiTheme="minorHAnsi" w:hAnsiTheme="minorHAnsi" w:cstheme="minorHAnsi"/>
          <w:bCs/>
          <w:lang w:val="fr-FR"/>
        </w:rPr>
        <w:t xml:space="preserve">Un deuxième groupe de patients recevant une dose de 50mg d’ABX464 pendant 84 jours en plus de leur traitement antirétroviral est en cours de recrutement. Les résultats préliminaires de ce deuxième groupe sont attendus </w:t>
      </w:r>
      <w:r w:rsidR="00D34EC6" w:rsidRPr="00C73365">
        <w:rPr>
          <w:rFonts w:asciiTheme="minorHAnsi" w:hAnsiTheme="minorHAnsi" w:cstheme="minorHAnsi"/>
          <w:bCs/>
          <w:lang w:val="fr-FR"/>
        </w:rPr>
        <w:t>au 3</w:t>
      </w:r>
      <w:r w:rsidR="00D34EC6" w:rsidRPr="00C73365">
        <w:rPr>
          <w:rFonts w:asciiTheme="minorHAnsi" w:hAnsiTheme="minorHAnsi" w:cstheme="minorHAnsi"/>
          <w:bCs/>
          <w:vertAlign w:val="superscript"/>
          <w:lang w:val="fr-FR"/>
        </w:rPr>
        <w:t>ème</w:t>
      </w:r>
      <w:r w:rsidR="00D34EC6" w:rsidRPr="00C73365">
        <w:rPr>
          <w:rFonts w:asciiTheme="minorHAnsi" w:hAnsiTheme="minorHAnsi" w:cstheme="minorHAnsi"/>
          <w:bCs/>
          <w:lang w:val="fr-FR"/>
        </w:rPr>
        <w:t xml:space="preserve"> trimestre </w:t>
      </w:r>
      <w:r w:rsidR="00B67A56" w:rsidRPr="00C73365">
        <w:rPr>
          <w:rFonts w:asciiTheme="minorHAnsi" w:hAnsiTheme="minorHAnsi" w:cstheme="minorHAnsi"/>
          <w:bCs/>
          <w:lang w:val="fr-FR"/>
        </w:rPr>
        <w:t>2018.</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En fonction des résultats de cette deuxième Phase IIa, la soumission d’un dossier d’IND (Investigational New Drug) auprès des autorités américaines est prévue en 2018. Des résultats positifs de ces essais permettraient de démarrer une </w:t>
      </w:r>
      <w:r w:rsidR="006F3437" w:rsidRPr="00C73365">
        <w:rPr>
          <w:rFonts w:asciiTheme="minorHAnsi" w:hAnsiTheme="minorHAnsi" w:cstheme="minorHAnsi"/>
          <w:lang w:val="fr-FR"/>
        </w:rPr>
        <w:t xml:space="preserve">étude de </w:t>
      </w:r>
      <w:r w:rsidRPr="00C73365">
        <w:rPr>
          <w:rFonts w:asciiTheme="minorHAnsi" w:hAnsiTheme="minorHAnsi" w:cstheme="minorHAnsi"/>
          <w:lang w:val="fr-FR"/>
        </w:rPr>
        <w:t xml:space="preserve">Phase IIb en Europe et aux Etats-Unis </w:t>
      </w:r>
      <w:r w:rsidR="006F3437" w:rsidRPr="00C73365">
        <w:rPr>
          <w:rFonts w:asciiTheme="minorHAnsi" w:hAnsiTheme="minorHAnsi" w:cstheme="minorHAnsi"/>
          <w:lang w:val="fr-FR"/>
        </w:rPr>
        <w:t>d’ici fin</w:t>
      </w:r>
      <w:r w:rsidRPr="00C73365">
        <w:rPr>
          <w:rFonts w:asciiTheme="minorHAnsi" w:hAnsiTheme="minorHAnsi" w:cstheme="minorHAnsi"/>
          <w:lang w:val="fr-FR"/>
        </w:rPr>
        <w:t xml:space="preserve"> 201</w:t>
      </w:r>
      <w:r w:rsidR="00D34EC6" w:rsidRPr="00C73365">
        <w:rPr>
          <w:rFonts w:asciiTheme="minorHAnsi" w:hAnsiTheme="minorHAnsi" w:cstheme="minorHAnsi"/>
          <w:lang w:val="fr-FR"/>
        </w:rPr>
        <w:t>8</w:t>
      </w:r>
      <w:r w:rsidRPr="00C73365">
        <w:rPr>
          <w:rFonts w:asciiTheme="minorHAnsi" w:hAnsiTheme="minorHAnsi" w:cstheme="minorHAnsi"/>
          <w:lang w:val="fr-FR"/>
        </w:rPr>
        <w:t xml:space="preserve">. </w:t>
      </w:r>
    </w:p>
    <w:p w:rsidR="00B67A56" w:rsidRPr="001719D3" w:rsidRDefault="00B67A56" w:rsidP="001719D3">
      <w:pPr>
        <w:pStyle w:val="ListParagraph"/>
        <w:numPr>
          <w:ilvl w:val="2"/>
          <w:numId w:val="9"/>
        </w:numPr>
        <w:spacing w:after="0"/>
        <w:outlineLvl w:val="2"/>
        <w:rPr>
          <w:rFonts w:asciiTheme="minorHAnsi" w:hAnsiTheme="minorHAnsi" w:cstheme="minorHAnsi"/>
          <w:b/>
          <w:color w:val="7030A0"/>
          <w:szCs w:val="22"/>
          <w:lang w:val="fr-FR"/>
        </w:rPr>
      </w:pPr>
      <w:r w:rsidRPr="001719D3">
        <w:rPr>
          <w:rFonts w:asciiTheme="minorHAnsi" w:hAnsiTheme="minorHAnsi" w:cstheme="minorHAnsi"/>
          <w:b/>
          <w:color w:val="7030A0"/>
          <w:szCs w:val="22"/>
          <w:lang w:val="fr-FR"/>
        </w:rPr>
        <w:t>ABX464 : Un traitement anti-inflammatoire dans les Maladies Inflammatoires Chroniques de l’Intestin (MICI) ou Inflammatory Bowel Disease (IBD)</w:t>
      </w:r>
    </w:p>
    <w:p w:rsidR="00943434" w:rsidRPr="00C73365" w:rsidRDefault="00943434" w:rsidP="00943434">
      <w:pPr>
        <w:pStyle w:val="ListParagraph"/>
        <w:numPr>
          <w:ilvl w:val="3"/>
          <w:numId w:val="9"/>
        </w:numPr>
        <w:spacing w:after="0"/>
        <w:outlineLvl w:val="2"/>
        <w:rPr>
          <w:rFonts w:asciiTheme="minorHAnsi" w:hAnsiTheme="minorHAnsi" w:cstheme="minorHAnsi"/>
          <w:sz w:val="18"/>
          <w:szCs w:val="22"/>
          <w:lang w:val="fr-FR"/>
        </w:rPr>
      </w:pPr>
      <w:r w:rsidRPr="00C73365">
        <w:rPr>
          <w:rFonts w:asciiTheme="minorHAnsi" w:hAnsiTheme="minorHAnsi" w:cstheme="minorHAnsi"/>
          <w:lang w:val="fr-FR"/>
        </w:rPr>
        <w:t>MICI - Pathologie et prévalence</w:t>
      </w:r>
    </w:p>
    <w:p w:rsidR="00943434" w:rsidRPr="00C73365" w:rsidRDefault="00943434" w:rsidP="00943434">
      <w:pPr>
        <w:rPr>
          <w:rFonts w:asciiTheme="minorHAnsi" w:hAnsiTheme="minorHAnsi" w:cstheme="minorHAnsi"/>
          <w:b/>
          <w:color w:val="7030A0"/>
          <w:sz w:val="22"/>
          <w:szCs w:val="22"/>
          <w:lang w:val="fr-FR"/>
        </w:rPr>
      </w:pP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Les maladies inflammatoires chroniques de l’intestin, maladie de Crohn et recto-colite hémorragique, se caractérisent par l’inflammation de la paroi d’une partie du tube digestif, liée à une hyperactivité du système immunitaire digestif. Il n’existe pas de traitement curatif de ces maladies, mais les médicaments actuels permettent la plupart du temps un contrôle durable de la maladie et une qualité de vie satisfaisante en dehors des poussées.</w:t>
      </w: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Les MICI sont le plus souvent diagnostiquées chez des sujets jeunes, âgés de 20 à 30 ans. Toutefois, elles peuvent survenir à tout âge et 15% des cas concernent des enfants. Si leur fréquence varie considérablement d</w:t>
      </w:r>
      <w:r w:rsidR="004572A0" w:rsidRPr="00C73365">
        <w:rPr>
          <w:rFonts w:asciiTheme="minorHAnsi" w:hAnsiTheme="minorHAnsi" w:cstheme="minorHAnsi"/>
          <w:lang w:val="fr-FR"/>
        </w:rPr>
        <w:t>’</w:t>
      </w:r>
      <w:r w:rsidRPr="00C73365">
        <w:rPr>
          <w:rFonts w:asciiTheme="minorHAnsi" w:hAnsiTheme="minorHAnsi" w:cstheme="minorHAnsi"/>
          <w:lang w:val="fr-FR"/>
        </w:rPr>
        <w:t>un pays à l</w:t>
      </w:r>
      <w:r w:rsidR="004572A0" w:rsidRPr="00C73365">
        <w:rPr>
          <w:rFonts w:asciiTheme="minorHAnsi" w:hAnsiTheme="minorHAnsi" w:cstheme="minorHAnsi"/>
          <w:lang w:val="fr-FR"/>
        </w:rPr>
        <w:t>’</w:t>
      </w:r>
      <w:r w:rsidRPr="00C73365">
        <w:rPr>
          <w:rFonts w:asciiTheme="minorHAnsi" w:hAnsiTheme="minorHAnsi" w:cstheme="minorHAnsi"/>
          <w:lang w:val="fr-FR"/>
        </w:rPr>
        <w:t>autre, les taux les plus importants sont retrouvés dans les pays industrialisés, notamment en Europe du Nord-Ouest et aux Etats-Unis. En France, où la prévalence est stable ces dernières années, environ 5 nouveaux cas de maladie de Crohn et autant de rectocolites hémorragiques sont diagnostiqués chaque année pour 100 000 habitants. La prévalence augmente en revanche de façon exponentielle dans les pays en cours d’industrialisation (pays du Maghreb, Asie, Afrique du Sud...).</w:t>
      </w:r>
    </w:p>
    <w:p w:rsidR="00943434" w:rsidRPr="00C73365" w:rsidRDefault="00943434" w:rsidP="00943434">
      <w:pPr>
        <w:pStyle w:val="ListParagraph"/>
        <w:numPr>
          <w:ilvl w:val="3"/>
          <w:numId w:val="9"/>
        </w:numPr>
        <w:spacing w:after="0"/>
        <w:outlineLvl w:val="2"/>
        <w:rPr>
          <w:rFonts w:asciiTheme="minorHAnsi" w:hAnsiTheme="minorHAnsi" w:cstheme="minorHAnsi"/>
          <w:b/>
          <w:szCs w:val="20"/>
          <w:lang w:val="fr-FR"/>
        </w:rPr>
      </w:pPr>
      <w:r w:rsidRPr="00C73365">
        <w:rPr>
          <w:rFonts w:asciiTheme="minorHAnsi" w:hAnsiTheme="minorHAnsi" w:cstheme="minorHAnsi"/>
          <w:lang w:val="fr-FR"/>
        </w:rPr>
        <w:t>Options thérapeutiques contre les MICI</w:t>
      </w:r>
    </w:p>
    <w:p w:rsidR="00943434" w:rsidRPr="00C73365" w:rsidRDefault="00943434" w:rsidP="00943434">
      <w:pPr>
        <w:spacing w:line="240" w:lineRule="atLeast"/>
        <w:rPr>
          <w:rFonts w:asciiTheme="minorHAnsi" w:hAnsiTheme="minorHAnsi" w:cstheme="minorHAnsi"/>
          <w:szCs w:val="20"/>
          <w:lang w:val="fr-FR"/>
        </w:rPr>
      </w:pP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 xml:space="preserve">Il n’existe pas de traitement curatif des MICI, mais les médicaments anti-inflammatoires actuels permettent dans la grande majorité des cas un contrôle durable de la maladie, pendant plusieurs années, associé à une qualité de vie satisfaisante. Ils préviennent l’apparition des poussées et prolongent les phases de rémission en favorisant la </w:t>
      </w:r>
      <w:r w:rsidRPr="00C73365">
        <w:rPr>
          <w:rFonts w:asciiTheme="minorHAnsi" w:hAnsiTheme="minorHAnsi" w:cstheme="minorHAnsi"/>
          <w:lang w:val="fr-FR"/>
        </w:rPr>
        <w:lastRenderedPageBreak/>
        <w:t>cicatrisation des lésions du tube digestif. Lors des poussées, des 5-aminosalicylés (5-ASA) peuvent être prescrits chez les personnes souffrant de forme modérée de rectocolite hémorragique. Par contre, ils ne sont pas efficaces dans la maladie de Crohn. Les corticoïdes sont quant à eux de moins en moins utilisés en raison de leurs effets secondaires à moyen et long terme.</w:t>
      </w: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 xml:space="preserve">Chez les patients dont la maladie est évolutive, les médecins instaurent rapidement un traitement immunomodulateur, pour stopper les crises et éviter l’apparition de nouvelles lésions. Ces médicaments permettent de réguler l’immunité des patients et réduire l’inflammation à long terme. Les plus utilisés sont les biothérapies : les anti-TNF-α et anti-Il12/Il-23 bloquent spécifiquement des facteurs d’inflammation impliqués dans la maladie. Environ 70% des patients répondent bien à ces traitements. </w:t>
      </w: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Toutefois, chez la moitié d’entre eux, l’efficacité de ces médicaments s’altère au bout de deux ans, nécessitant de changer de molécule. Une nouvelle génération d’immunomodulateur spécifique de l’intestin (vedolizumab) vient d’arriver sur le marché. Il s’agit d</w:t>
      </w:r>
      <w:r w:rsidR="004572A0" w:rsidRPr="00C73365">
        <w:rPr>
          <w:rFonts w:asciiTheme="minorHAnsi" w:hAnsiTheme="minorHAnsi" w:cstheme="minorHAnsi"/>
          <w:lang w:val="fr-FR"/>
        </w:rPr>
        <w:t>’</w:t>
      </w:r>
      <w:r w:rsidRPr="00C73365">
        <w:rPr>
          <w:rFonts w:asciiTheme="minorHAnsi" w:hAnsiTheme="minorHAnsi" w:cstheme="minorHAnsi"/>
          <w:lang w:val="fr-FR"/>
        </w:rPr>
        <w:t>anticorps monoclonaux qui se lient spécifiquement à des molécules d’adhésion présentes à la surface de cellules immunitaires du sang, empêchant leur passage dans le tube digestif.</w:t>
      </w: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Pour les malades résistants à un traitement bien suivi, ou encore suite à l’apparition de complications, un traitement chirurgical peut être proposé. Après 10 ans d’évolution de leur maladie, plus d</w:t>
      </w:r>
      <w:r w:rsidR="004572A0" w:rsidRPr="00C73365">
        <w:rPr>
          <w:rFonts w:asciiTheme="minorHAnsi" w:hAnsiTheme="minorHAnsi" w:cstheme="minorHAnsi"/>
          <w:lang w:val="fr-FR"/>
        </w:rPr>
        <w:t>’</w:t>
      </w:r>
      <w:r w:rsidRPr="00C73365">
        <w:rPr>
          <w:rFonts w:asciiTheme="minorHAnsi" w:hAnsiTheme="minorHAnsi" w:cstheme="minorHAnsi"/>
          <w:lang w:val="fr-FR"/>
        </w:rPr>
        <w:t>un patient sur deux a subi une intervention chirurgicale afin de retirer le segment du tube digestif le plus atteint. Cette proportion devrait diminuer dans les années à venir grâce à l’arrivée de nouveaux médicaments plus efficaces.</w:t>
      </w: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 xml:space="preserve">Enfin, la fréquence et l’importance des diarrhées peuvent entraîner une carence nutritionnelle. Une supplémentation en fer, acide folique, zinc, magnésium, vitamines... peut être nécessaire, par voie orale ou intraveineuse. </w:t>
      </w:r>
    </w:p>
    <w:p w:rsidR="00943434" w:rsidRPr="003F3572" w:rsidRDefault="00943434" w:rsidP="00943434">
      <w:pPr>
        <w:pStyle w:val="ListParagraph"/>
        <w:numPr>
          <w:ilvl w:val="3"/>
          <w:numId w:val="9"/>
        </w:numPr>
        <w:spacing w:after="0"/>
        <w:outlineLvl w:val="2"/>
        <w:rPr>
          <w:rFonts w:asciiTheme="minorHAnsi" w:hAnsiTheme="minorHAnsi" w:cstheme="minorHAnsi"/>
          <w:lang w:val="fr-FR"/>
        </w:rPr>
      </w:pPr>
      <w:r w:rsidRPr="00C73365">
        <w:rPr>
          <w:rFonts w:asciiTheme="minorHAnsi" w:hAnsiTheme="minorHAnsi" w:cstheme="minorHAnsi"/>
          <w:lang w:val="fr-FR"/>
        </w:rPr>
        <w:t>Le marché des médicaments contre les MICI</w:t>
      </w:r>
    </w:p>
    <w:p w:rsidR="003F3572" w:rsidRDefault="003F3572" w:rsidP="003F3572">
      <w:pPr>
        <w:pStyle w:val="BodyText"/>
        <w:spacing w:after="0"/>
        <w:rPr>
          <w:rFonts w:asciiTheme="minorHAnsi" w:hAnsiTheme="minorHAnsi" w:cstheme="minorHAnsi"/>
          <w:shd w:val="clear" w:color="auto" w:fill="FFFFFF"/>
          <w:lang w:val="fr-FR" w:eastAsia="ja-JP"/>
        </w:rPr>
      </w:pPr>
    </w:p>
    <w:p w:rsidR="00943434" w:rsidRPr="00C73365" w:rsidRDefault="00943434" w:rsidP="003F3572">
      <w:pPr>
        <w:pStyle w:val="BodyText"/>
        <w:spacing w:after="0"/>
        <w:rPr>
          <w:rFonts w:asciiTheme="minorHAnsi" w:hAnsiTheme="minorHAnsi" w:cstheme="minorHAnsi"/>
          <w:lang w:val="fr-FR" w:eastAsia="ja-JP"/>
        </w:rPr>
      </w:pPr>
      <w:r w:rsidRPr="00C73365">
        <w:rPr>
          <w:rFonts w:asciiTheme="minorHAnsi" w:hAnsiTheme="minorHAnsi" w:cstheme="minorHAnsi"/>
          <w:shd w:val="clear" w:color="auto" w:fill="FFFFFF"/>
          <w:lang w:val="fr-FR" w:eastAsia="ja-JP"/>
        </w:rPr>
        <w:t>Les maladies inflammatoires chroniques de l’intestin (ou MICI) regroupent la </w:t>
      </w:r>
      <w:r w:rsidRPr="00C73365">
        <w:rPr>
          <w:rFonts w:asciiTheme="minorHAnsi" w:hAnsiTheme="minorHAnsi" w:cstheme="minorHAnsi"/>
          <w:bCs/>
          <w:bdr w:val="none" w:sz="0" w:space="0" w:color="auto" w:frame="1"/>
          <w:lang w:val="fr-FR" w:eastAsia="ja-JP"/>
        </w:rPr>
        <w:t>maladie de Crohn</w:t>
      </w:r>
      <w:r w:rsidRPr="00C73365">
        <w:rPr>
          <w:rFonts w:asciiTheme="minorHAnsi" w:hAnsiTheme="minorHAnsi" w:cstheme="minorHAnsi"/>
          <w:shd w:val="clear" w:color="auto" w:fill="FFFFFF"/>
          <w:lang w:val="fr-FR" w:eastAsia="ja-JP"/>
        </w:rPr>
        <w:t> et la </w:t>
      </w:r>
      <w:r w:rsidRPr="00C73365">
        <w:rPr>
          <w:rFonts w:asciiTheme="minorHAnsi" w:hAnsiTheme="minorHAnsi" w:cstheme="minorHAnsi"/>
          <w:bCs/>
          <w:bdr w:val="none" w:sz="0" w:space="0" w:color="auto" w:frame="1"/>
          <w:lang w:val="fr-FR" w:eastAsia="ja-JP"/>
        </w:rPr>
        <w:t>rectocolite hémorragique</w:t>
      </w:r>
      <w:r w:rsidRPr="00C73365">
        <w:rPr>
          <w:rFonts w:asciiTheme="minorHAnsi" w:hAnsiTheme="minorHAnsi" w:cstheme="minorHAnsi"/>
          <w:shd w:val="clear" w:color="auto" w:fill="FFFFFF"/>
          <w:lang w:val="fr-FR" w:eastAsia="ja-JP"/>
        </w:rPr>
        <w:t>. Toutes deux se caractérisent par une </w:t>
      </w:r>
      <w:r w:rsidRPr="00C73365">
        <w:rPr>
          <w:rFonts w:asciiTheme="minorHAnsi" w:hAnsiTheme="minorHAnsi" w:cstheme="minorHAnsi"/>
          <w:bCs/>
          <w:bdr w:val="none" w:sz="0" w:space="0" w:color="auto" w:frame="1"/>
          <w:lang w:val="fr-FR" w:eastAsia="ja-JP"/>
        </w:rPr>
        <w:t>inflammation de la paroi d’une partie du tube digestif.</w:t>
      </w: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 xml:space="preserve">En ce qui concerne la rectocolite hémorragique, </w:t>
      </w:r>
      <w:r w:rsidRPr="00C73365">
        <w:rPr>
          <w:rFonts w:asciiTheme="minorHAnsi" w:hAnsiTheme="minorHAnsi" w:cstheme="minorHAnsi"/>
          <w:lang w:val="fr-FR" w:eastAsia="ja-JP"/>
        </w:rPr>
        <w:t>les traitements actuels ont généré des ventes annuelles de 4,8 milliards de dollars dans le monde en 2015, chiffre qui devrait atteindre 5,46 milliards de dollars d</w:t>
      </w:r>
      <w:r w:rsidR="004572A0" w:rsidRPr="00C73365">
        <w:rPr>
          <w:rFonts w:asciiTheme="minorHAnsi" w:hAnsiTheme="minorHAnsi" w:cstheme="minorHAnsi"/>
          <w:lang w:val="fr-FR" w:eastAsia="ja-JP"/>
        </w:rPr>
        <w:t>’</w:t>
      </w:r>
      <w:r w:rsidRPr="00C73365">
        <w:rPr>
          <w:rFonts w:asciiTheme="minorHAnsi" w:hAnsiTheme="minorHAnsi" w:cstheme="minorHAnsi"/>
          <w:lang w:val="fr-FR" w:eastAsia="ja-JP"/>
        </w:rPr>
        <w:t>ici 2025 avec l</w:t>
      </w:r>
      <w:r w:rsidR="004572A0" w:rsidRPr="00C73365">
        <w:rPr>
          <w:rFonts w:asciiTheme="minorHAnsi" w:hAnsiTheme="minorHAnsi" w:cstheme="minorHAnsi"/>
          <w:lang w:val="fr-FR" w:eastAsia="ja-JP"/>
        </w:rPr>
        <w:t>’</w:t>
      </w:r>
      <w:r w:rsidRPr="00C73365">
        <w:rPr>
          <w:rFonts w:asciiTheme="minorHAnsi" w:hAnsiTheme="minorHAnsi" w:cstheme="minorHAnsi"/>
          <w:lang w:val="fr-FR" w:eastAsia="ja-JP"/>
        </w:rPr>
        <w:t>approbation de nouvelles molécules. Bien que la maladie de Crohn soit plus grave que la rectocolite hémorragique, la prévalence mondiale est beaucoup plus faible, avec seulement 1,3 million de patients diagnostiqués et 0,8 million qui reçoivent actuellement un traitement. Pourtant,</w:t>
      </w:r>
      <w:r w:rsidR="003F3572" w:rsidRPr="003F3572">
        <w:rPr>
          <w:rFonts w:asciiTheme="minorHAnsi" w:hAnsiTheme="minorHAnsi" w:cstheme="minorHAnsi"/>
          <w:lang w:val="fr-FR" w:eastAsia="ja-JP"/>
        </w:rPr>
        <w:t xml:space="preserve"> </w:t>
      </w:r>
      <w:r w:rsidR="003F3572">
        <w:rPr>
          <w:rFonts w:asciiTheme="minorHAnsi" w:hAnsiTheme="minorHAnsi" w:cstheme="minorHAnsi"/>
          <w:lang w:val="fr-FR" w:eastAsia="ja-JP"/>
        </w:rPr>
        <w:t>en raison du cout élevé et l’adoption rapide des anticorps monoclonaux de 1</w:t>
      </w:r>
      <w:r w:rsidR="003F3572" w:rsidRPr="001B673C">
        <w:rPr>
          <w:rFonts w:asciiTheme="minorHAnsi" w:hAnsiTheme="minorHAnsi" w:cstheme="minorHAnsi"/>
          <w:vertAlign w:val="superscript"/>
          <w:lang w:val="fr-FR" w:eastAsia="ja-JP"/>
        </w:rPr>
        <w:t>ère</w:t>
      </w:r>
      <w:r w:rsidR="003F3572">
        <w:rPr>
          <w:rFonts w:asciiTheme="minorHAnsi" w:hAnsiTheme="minorHAnsi" w:cstheme="minorHAnsi"/>
          <w:lang w:val="fr-FR" w:eastAsia="ja-JP"/>
        </w:rPr>
        <w:t xml:space="preserve"> et 2</w:t>
      </w:r>
      <w:r w:rsidR="003F3572" w:rsidRPr="001B673C">
        <w:rPr>
          <w:rFonts w:asciiTheme="minorHAnsi" w:hAnsiTheme="minorHAnsi" w:cstheme="minorHAnsi"/>
          <w:vertAlign w:val="superscript"/>
          <w:lang w:val="fr-FR" w:eastAsia="ja-JP"/>
        </w:rPr>
        <w:t>ème</w:t>
      </w:r>
      <w:r w:rsidR="003F3572">
        <w:rPr>
          <w:rFonts w:asciiTheme="minorHAnsi" w:hAnsiTheme="minorHAnsi" w:cstheme="minorHAnsi"/>
          <w:lang w:val="fr-FR" w:eastAsia="ja-JP"/>
        </w:rPr>
        <w:t xml:space="preserve"> génération,</w:t>
      </w:r>
      <w:r w:rsidRPr="00C73365">
        <w:rPr>
          <w:rFonts w:asciiTheme="minorHAnsi" w:hAnsiTheme="minorHAnsi" w:cstheme="minorHAnsi"/>
          <w:lang w:val="fr-FR" w:eastAsia="ja-JP"/>
        </w:rPr>
        <w:t xml:space="preserve"> les ventes annuelles ont atteint 9,2 milliards de dollars au niveau mondial en 2016, ventes qui devraient atteindre 13,4 milliards de dollars d</w:t>
      </w:r>
      <w:r w:rsidR="004572A0" w:rsidRPr="00C73365">
        <w:rPr>
          <w:rFonts w:asciiTheme="minorHAnsi" w:hAnsiTheme="minorHAnsi" w:cstheme="minorHAnsi"/>
          <w:lang w:val="fr-FR" w:eastAsia="ja-JP"/>
        </w:rPr>
        <w:t>’</w:t>
      </w:r>
      <w:r w:rsidRPr="00C73365">
        <w:rPr>
          <w:rFonts w:asciiTheme="minorHAnsi" w:hAnsiTheme="minorHAnsi" w:cstheme="minorHAnsi"/>
          <w:lang w:val="fr-FR" w:eastAsia="ja-JP"/>
        </w:rPr>
        <w:t>ici 2026.</w:t>
      </w:r>
    </w:p>
    <w:p w:rsidR="00943434" w:rsidRPr="00C73365" w:rsidRDefault="00943434" w:rsidP="003F3572">
      <w:pPr>
        <w:pStyle w:val="BodyText"/>
        <w:rPr>
          <w:rFonts w:asciiTheme="minorHAnsi" w:hAnsiTheme="minorHAnsi" w:cstheme="minorHAnsi"/>
          <w:lang w:val="fr-FR"/>
        </w:rPr>
      </w:pPr>
      <w:r w:rsidRPr="00C73365">
        <w:rPr>
          <w:rFonts w:asciiTheme="minorHAnsi" w:hAnsiTheme="minorHAnsi" w:cstheme="minorHAnsi"/>
          <w:lang w:val="fr-FR" w:eastAsia="ja-JP"/>
        </w:rPr>
        <w:t>Au global les MICI ont engendré des ventes mondiales atteignant 14,2 milliards de dollars en 2016, ventes qui devraient atteindre près de 18,6 milliards en 2025 avec un taux de croissance annuel moyen de plus de 3%.</w:t>
      </w:r>
    </w:p>
    <w:p w:rsidR="00943434" w:rsidRPr="003F3572" w:rsidRDefault="00943434" w:rsidP="00943434">
      <w:pPr>
        <w:spacing w:line="240" w:lineRule="atLeast"/>
        <w:ind w:firstLine="708"/>
        <w:rPr>
          <w:rFonts w:asciiTheme="minorHAnsi" w:hAnsiTheme="minorHAnsi" w:cstheme="minorHAnsi"/>
          <w:szCs w:val="20"/>
        </w:rPr>
      </w:pPr>
      <w:r w:rsidRPr="00C73365">
        <w:rPr>
          <w:rFonts w:asciiTheme="minorHAnsi" w:hAnsiTheme="minorHAnsi" w:cstheme="minorHAnsi"/>
          <w:noProof/>
          <w:szCs w:val="20"/>
          <w:lang w:val="fr-FR" w:eastAsia="fr-FR"/>
        </w:rPr>
        <w:drawing>
          <wp:inline distT="0" distB="0" distL="0" distR="0" wp14:anchorId="79F86962" wp14:editId="49EFDE52">
            <wp:extent cx="2356850" cy="3137647"/>
            <wp:effectExtent l="0" t="0" r="571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69717" cy="3154777"/>
                    </a:xfrm>
                    <a:prstGeom prst="rect">
                      <a:avLst/>
                    </a:prstGeom>
                  </pic:spPr>
                </pic:pic>
              </a:graphicData>
            </a:graphic>
          </wp:inline>
        </w:drawing>
      </w:r>
      <w:r w:rsidRPr="003F3572">
        <w:rPr>
          <w:rFonts w:asciiTheme="minorHAnsi" w:hAnsiTheme="minorHAnsi" w:cstheme="minorHAnsi"/>
          <w:szCs w:val="20"/>
        </w:rPr>
        <w:t xml:space="preserve">                    </w:t>
      </w:r>
      <w:r w:rsidRPr="00C73365">
        <w:rPr>
          <w:rFonts w:asciiTheme="minorHAnsi" w:hAnsiTheme="minorHAnsi" w:cstheme="minorHAnsi"/>
          <w:noProof/>
          <w:szCs w:val="20"/>
          <w:lang w:val="fr-FR" w:eastAsia="fr-FR"/>
        </w:rPr>
        <w:drawing>
          <wp:inline distT="0" distB="0" distL="0" distR="0" wp14:anchorId="1230C43D" wp14:editId="73E50078">
            <wp:extent cx="2678457" cy="3128682"/>
            <wp:effectExtent l="0" t="0" r="127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92329" cy="3144886"/>
                    </a:xfrm>
                    <a:prstGeom prst="rect">
                      <a:avLst/>
                    </a:prstGeom>
                  </pic:spPr>
                </pic:pic>
              </a:graphicData>
            </a:graphic>
          </wp:inline>
        </w:drawing>
      </w:r>
    </w:p>
    <w:p w:rsidR="00943434" w:rsidRPr="003F3572" w:rsidRDefault="00943434" w:rsidP="003F3572">
      <w:pPr>
        <w:pStyle w:val="NormalWeb"/>
        <w:jc w:val="center"/>
        <w:rPr>
          <w:rFonts w:asciiTheme="minorHAnsi" w:hAnsiTheme="minorHAnsi" w:cstheme="minorHAnsi"/>
          <w:i/>
        </w:rPr>
      </w:pPr>
      <w:r w:rsidRPr="003F3572">
        <w:rPr>
          <w:rFonts w:asciiTheme="minorHAnsi" w:hAnsiTheme="minorHAnsi" w:cstheme="minorHAnsi"/>
          <w:i/>
        </w:rPr>
        <w:t>Source:</w:t>
      </w:r>
      <w:r w:rsidR="003F3572">
        <w:rPr>
          <w:rFonts w:asciiTheme="minorHAnsi" w:hAnsiTheme="minorHAnsi" w:cstheme="minorHAnsi"/>
          <w:i/>
        </w:rPr>
        <w:t xml:space="preserve"> </w:t>
      </w:r>
      <w:r w:rsidR="003F3572" w:rsidRPr="001B673C">
        <w:rPr>
          <w:rFonts w:asciiTheme="minorHAnsi" w:hAnsiTheme="minorHAnsi" w:cstheme="minorHAnsi"/>
          <w:i/>
        </w:rPr>
        <w:t>GlobalData</w:t>
      </w:r>
      <w:r w:rsidR="003F3572">
        <w:rPr>
          <w:rFonts w:asciiTheme="minorHAnsi" w:hAnsiTheme="minorHAnsi" w:cstheme="minorHAnsi"/>
          <w:i/>
        </w:rPr>
        <w:t xml:space="preserve"> - </w:t>
      </w:r>
      <w:r w:rsidR="003F3572" w:rsidRPr="00895320">
        <w:rPr>
          <w:rFonts w:asciiTheme="minorHAnsi" w:hAnsiTheme="minorHAnsi" w:cstheme="minorHAnsi"/>
          <w:i/>
          <w:szCs w:val="20"/>
        </w:rPr>
        <w:t>PharmaPoint:</w:t>
      </w:r>
      <w:r w:rsidR="003F3572" w:rsidRPr="001B673C">
        <w:rPr>
          <w:rFonts w:asciiTheme="minorHAnsi" w:hAnsiTheme="minorHAnsi" w:cstheme="minorHAnsi"/>
          <w:i/>
          <w:szCs w:val="20"/>
        </w:rPr>
        <w:t xml:space="preserve"> Crohn’s Disease Global Drug Forecast and Market Analysis to 2026 </w:t>
      </w:r>
      <w:r w:rsidR="003F3572">
        <w:rPr>
          <w:rFonts w:asciiTheme="minorHAnsi" w:hAnsiTheme="minorHAnsi" w:cstheme="minorHAnsi"/>
          <w:i/>
        </w:rPr>
        <w:t xml:space="preserve">&amp; </w:t>
      </w:r>
      <w:r w:rsidR="003F3572" w:rsidRPr="001B673C">
        <w:rPr>
          <w:rFonts w:asciiTheme="minorHAnsi" w:hAnsiTheme="minorHAnsi" w:cstheme="minorHAnsi"/>
          <w:i/>
        </w:rPr>
        <w:t>Ulcerative Coliti</w:t>
      </w:r>
      <w:r w:rsidR="003F3572" w:rsidRPr="00895320">
        <w:rPr>
          <w:rFonts w:asciiTheme="minorHAnsi" w:hAnsiTheme="minorHAnsi" w:cstheme="minorHAnsi"/>
          <w:i/>
        </w:rPr>
        <w:t>s</w:t>
      </w:r>
      <w:r w:rsidR="003F3572">
        <w:rPr>
          <w:rFonts w:asciiTheme="minorHAnsi" w:hAnsiTheme="minorHAnsi" w:cstheme="minorHAnsi"/>
          <w:i/>
        </w:rPr>
        <w:t xml:space="preserve"> </w:t>
      </w:r>
      <w:r w:rsidR="003F3572" w:rsidRPr="001B673C">
        <w:rPr>
          <w:rFonts w:asciiTheme="minorHAnsi" w:hAnsiTheme="minorHAnsi" w:cstheme="minorHAnsi"/>
          <w:i/>
        </w:rPr>
        <w:t>Global Drug Forecast and Market Analysis to 2025</w:t>
      </w:r>
    </w:p>
    <w:p w:rsidR="00943434" w:rsidRPr="00C73365" w:rsidRDefault="00943434" w:rsidP="00943434">
      <w:pPr>
        <w:pStyle w:val="ListParagraph"/>
        <w:numPr>
          <w:ilvl w:val="3"/>
          <w:numId w:val="9"/>
        </w:numPr>
        <w:spacing w:after="0"/>
        <w:outlineLvl w:val="2"/>
        <w:rPr>
          <w:rFonts w:asciiTheme="minorHAnsi" w:hAnsiTheme="minorHAnsi" w:cstheme="minorHAnsi"/>
          <w:b/>
          <w:szCs w:val="20"/>
          <w:lang w:val="fr-FR"/>
        </w:rPr>
      </w:pPr>
      <w:r w:rsidRPr="00C73365">
        <w:rPr>
          <w:rFonts w:asciiTheme="minorHAnsi" w:hAnsiTheme="minorHAnsi" w:cstheme="minorHAnsi"/>
          <w:lang w:val="fr-FR"/>
        </w:rPr>
        <w:lastRenderedPageBreak/>
        <w:t>Pipeline de R&amp;D et concurrence</w:t>
      </w:r>
    </w:p>
    <w:p w:rsidR="00943434" w:rsidRPr="00C73365" w:rsidRDefault="00943434" w:rsidP="00943434">
      <w:pPr>
        <w:spacing w:line="240" w:lineRule="atLeast"/>
        <w:rPr>
          <w:rFonts w:asciiTheme="minorHAnsi" w:hAnsiTheme="minorHAnsi" w:cstheme="minorHAnsi"/>
          <w:szCs w:val="20"/>
          <w:lang w:val="fr-FR"/>
        </w:rPr>
      </w:pPr>
    </w:p>
    <w:p w:rsidR="00943434" w:rsidRPr="00C73365" w:rsidRDefault="00943434" w:rsidP="004572A0">
      <w:pPr>
        <w:pStyle w:val="BodyText"/>
        <w:rPr>
          <w:rFonts w:asciiTheme="minorHAnsi" w:hAnsiTheme="minorHAnsi" w:cstheme="minorHAnsi"/>
          <w:lang w:val="fr-FR"/>
        </w:rPr>
      </w:pPr>
      <w:r w:rsidRPr="00C73365">
        <w:rPr>
          <w:rFonts w:asciiTheme="minorHAnsi" w:hAnsiTheme="minorHAnsi" w:cstheme="minorHAnsi"/>
          <w:lang w:val="fr-FR"/>
        </w:rPr>
        <w:t>Plusieurs voies de recherche sont en cours de développement pour améliorer le traitement des maladies inflammatoires chroniques intestinales.</w:t>
      </w:r>
    </w:p>
    <w:p w:rsidR="00943434" w:rsidRPr="00C73365" w:rsidRDefault="00943434"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De nombreux laboratoires travaillent à la mise au point de nouvelles biothérapies, plus efficaces et mieux tolérées. Une nouvelle</w:t>
      </w:r>
      <w:r w:rsidR="007B378C">
        <w:rPr>
          <w:rFonts w:asciiTheme="minorHAnsi" w:hAnsiTheme="minorHAnsi" w:cstheme="minorHAnsi"/>
          <w:lang w:val="fr-FR"/>
        </w:rPr>
        <w:t xml:space="preserve"> </w:t>
      </w:r>
      <w:r w:rsidRPr="00C73365">
        <w:rPr>
          <w:rFonts w:asciiTheme="minorHAnsi" w:hAnsiTheme="minorHAnsi" w:cstheme="minorHAnsi"/>
          <w:lang w:val="fr-FR"/>
        </w:rPr>
        <w:t>classe d’anticorps anti-b7 devrait notamment arriver sur le marché en 2017. Néanmoins, les immunomodulateurs actuels ciblent l’inflammation sans permettre de traiter la fibrose résultant des lésions induites et de leur cicatrisation. Or cette fibrose provoque localement une réduction du diamètre du tube digestif, avec un risque d’occlusion nécessitant une intervention chirurgicale. Des antifibrotiques sont donc également en cours de développement. L’objectif est de les associer aux immunomodulateurs.</w:t>
      </w:r>
    </w:p>
    <w:p w:rsidR="00943434" w:rsidRDefault="00943434" w:rsidP="007B378C">
      <w:pPr>
        <w:pStyle w:val="BodyText"/>
        <w:spacing w:after="0"/>
        <w:rPr>
          <w:rFonts w:asciiTheme="minorHAnsi" w:hAnsiTheme="minorHAnsi" w:cstheme="minorHAnsi"/>
          <w:lang w:val="fr-FR"/>
        </w:rPr>
      </w:pPr>
      <w:r w:rsidRPr="00C73365">
        <w:rPr>
          <w:rFonts w:asciiTheme="minorHAnsi" w:hAnsiTheme="minorHAnsi" w:cstheme="minorHAnsi"/>
          <w:lang w:val="fr-FR"/>
        </w:rPr>
        <w:t>Par ailleurs, une nouvelle molécule de la classe 5-ASA, beaucoup plus efficace, est à l’étude. Les 5-aminosalicylés (5-ASA) sont de</w:t>
      </w:r>
      <w:r w:rsidR="007B378C">
        <w:rPr>
          <w:rFonts w:asciiTheme="minorHAnsi" w:hAnsiTheme="minorHAnsi" w:cstheme="minorHAnsi"/>
          <w:lang w:val="fr-FR"/>
        </w:rPr>
        <w:t xml:space="preserve">s </w:t>
      </w:r>
      <w:r w:rsidRPr="00C73365">
        <w:rPr>
          <w:rFonts w:asciiTheme="minorHAnsi" w:hAnsiTheme="minorHAnsi" w:cstheme="minorHAnsi"/>
          <w:lang w:val="fr-FR"/>
        </w:rPr>
        <w:t>molécules</w:t>
      </w:r>
      <w:r w:rsidR="007B378C">
        <w:rPr>
          <w:rFonts w:asciiTheme="minorHAnsi" w:hAnsiTheme="minorHAnsi" w:cstheme="minorHAnsi"/>
          <w:lang w:val="fr-FR"/>
        </w:rPr>
        <w:t xml:space="preserve"> anciennes</w:t>
      </w:r>
      <w:r w:rsidRPr="00C73365">
        <w:rPr>
          <w:rFonts w:asciiTheme="minorHAnsi" w:hAnsiTheme="minorHAnsi" w:cstheme="minorHAnsi"/>
          <w:lang w:val="fr-FR"/>
        </w:rPr>
        <w:t xml:space="preserve"> dont le développement valut un prix Nobel de médecine à Gerhard Domagk</w:t>
      </w:r>
      <w:r w:rsidR="007B378C">
        <w:rPr>
          <w:rFonts w:asciiTheme="minorHAnsi" w:hAnsiTheme="minorHAnsi" w:cstheme="minorHAnsi"/>
          <w:lang w:val="fr-FR"/>
        </w:rPr>
        <w:t xml:space="preserve"> </w:t>
      </w:r>
      <w:r w:rsidRPr="00C73365">
        <w:rPr>
          <w:rFonts w:asciiTheme="minorHAnsi" w:hAnsiTheme="minorHAnsi" w:cstheme="minorHAnsi"/>
          <w:lang w:val="fr-FR"/>
        </w:rPr>
        <w:t>en 1939. Ce n’est que des années plus tard que les médecins découvrirent de façon fortuite leur utilité dans le traitement des maladies inflammatoires de l’intestin. Et il fallut attendre 2007 pour qu’une équipe décortique les voies de signalisation impliquées dans son mécanisme anti-inflammatoire. Ces travaux ont permis de franchir un pas important dans la mise au point d’une nouvelle molécule plus spécifique (GED-0507-34 Levo), toujours en cours de développement. Elle pourrait avoir une action anti-inflammatoire 50 fois supérieure à celle des 5-aminosalicylés aujourd’hui disponibles, notamment dans la rectocolite hémorragique. Elle présenterait en outre une action antifibrotique.</w:t>
      </w:r>
    </w:p>
    <w:p w:rsidR="007B378C" w:rsidRPr="00C73365" w:rsidRDefault="007B378C" w:rsidP="007B378C">
      <w:pPr>
        <w:pStyle w:val="BodyText"/>
        <w:spacing w:after="0"/>
        <w:rPr>
          <w:rFonts w:asciiTheme="minorHAnsi" w:hAnsiTheme="minorHAnsi" w:cstheme="minorHAnsi"/>
          <w:lang w:val="fr-FR"/>
        </w:rPr>
      </w:pPr>
    </w:p>
    <w:p w:rsidR="00E74177" w:rsidRDefault="00E74177" w:rsidP="007B378C">
      <w:pPr>
        <w:spacing w:after="0"/>
        <w:rPr>
          <w:rFonts w:asciiTheme="minorHAnsi" w:eastAsiaTheme="majorEastAsia" w:hAnsiTheme="minorHAnsi"/>
          <w:szCs w:val="20"/>
          <w:lang w:val="fr-FR"/>
        </w:rPr>
      </w:pPr>
      <w:r w:rsidRPr="001B673C">
        <w:rPr>
          <w:rFonts w:asciiTheme="minorHAnsi" w:eastAsiaTheme="majorEastAsia" w:hAnsiTheme="minorHAnsi"/>
          <w:szCs w:val="20"/>
          <w:lang w:val="fr-FR"/>
        </w:rPr>
        <w:t xml:space="preserve">Autre traitement prometteur dans le traitement des MICI, les </w:t>
      </w:r>
      <w:r w:rsidRPr="001B673C">
        <w:rPr>
          <w:rFonts w:asciiTheme="minorHAnsi" w:eastAsiaTheme="majorEastAsia" w:hAnsiTheme="minorHAnsi"/>
          <w:szCs w:val="20"/>
          <w:lang w:val="fr-FR" w:eastAsia="ja-JP"/>
        </w:rPr>
        <w:t xml:space="preserve">inhibiteurs de Janus kinases (anti-JAK).  Les Janus kinases </w:t>
      </w:r>
      <w:r w:rsidRPr="001B673C">
        <w:rPr>
          <w:rFonts w:asciiTheme="minorHAnsi" w:eastAsiaTheme="majorEastAsia" w:hAnsiTheme="minorHAnsi"/>
          <w:szCs w:val="20"/>
          <w:lang w:val="fr-FR"/>
        </w:rPr>
        <w:t xml:space="preserve">(JAK) correspondent </w:t>
      </w:r>
      <w:r w:rsidRPr="0058336F">
        <w:rPr>
          <w:rFonts w:asciiTheme="minorHAnsi" w:eastAsiaTheme="majorEastAsia" w:hAnsiTheme="minorHAnsi"/>
          <w:szCs w:val="20"/>
          <w:lang w:val="fr-FR"/>
        </w:rPr>
        <w:t>à</w:t>
      </w:r>
      <w:r w:rsidR="000A54AC">
        <w:rPr>
          <w:rFonts w:asciiTheme="minorHAnsi" w:eastAsiaTheme="majorEastAsia" w:hAnsiTheme="minorHAnsi"/>
          <w:szCs w:val="20"/>
          <w:lang w:val="fr-FR"/>
        </w:rPr>
        <w:t xml:space="preserve"> </w:t>
      </w:r>
      <w:r w:rsidRPr="001B673C">
        <w:rPr>
          <w:rFonts w:asciiTheme="minorHAnsi" w:eastAsiaTheme="majorEastAsia" w:hAnsiTheme="minorHAnsi"/>
          <w:szCs w:val="20"/>
          <w:lang w:val="fr-FR"/>
        </w:rPr>
        <w:t>4 tyrosines kinases intracellulaires : JAK1, JAK2, JAK3 et tyrosine kinase 2. L</w:t>
      </w:r>
      <w:r w:rsidR="007B378C">
        <w:rPr>
          <w:rFonts w:asciiTheme="minorHAnsi" w:eastAsiaTheme="majorEastAsia" w:hAnsiTheme="minorHAnsi"/>
          <w:szCs w:val="20"/>
          <w:lang w:val="fr-FR"/>
        </w:rPr>
        <w:t>’</w:t>
      </w:r>
      <w:r w:rsidRPr="001B673C">
        <w:rPr>
          <w:rFonts w:asciiTheme="minorHAnsi" w:eastAsiaTheme="majorEastAsia" w:hAnsiTheme="minorHAnsi"/>
          <w:szCs w:val="20"/>
          <w:lang w:val="fr-FR"/>
        </w:rPr>
        <w:t>inhibition de la voie de signalisation JAK- STAT (</w:t>
      </w:r>
      <w:r w:rsidRPr="0058336F">
        <w:rPr>
          <w:rFonts w:asciiTheme="minorHAnsi" w:eastAsiaTheme="majorEastAsia" w:hAnsiTheme="minorHAnsi"/>
          <w:szCs w:val="20"/>
          <w:lang w:val="fr-FR"/>
        </w:rPr>
        <w:t>STAT :</w:t>
      </w:r>
      <w:r w:rsidRPr="001B673C">
        <w:rPr>
          <w:rFonts w:asciiTheme="minorHAnsi" w:eastAsiaTheme="majorEastAsia" w:hAnsiTheme="minorHAnsi"/>
          <w:szCs w:val="20"/>
          <w:lang w:val="fr-FR"/>
        </w:rPr>
        <w:t xml:space="preserve"> </w:t>
      </w:r>
      <w:r w:rsidRPr="0058336F">
        <w:rPr>
          <w:rFonts w:asciiTheme="minorHAnsi" w:eastAsiaTheme="majorEastAsia" w:hAnsiTheme="minorHAnsi"/>
          <w:szCs w:val="20"/>
          <w:lang w:val="fr-FR"/>
        </w:rPr>
        <w:t>P</w:t>
      </w:r>
      <w:r w:rsidRPr="0058336F">
        <w:rPr>
          <w:rFonts w:asciiTheme="minorHAnsi" w:hAnsiTheme="minorHAnsi"/>
          <w:szCs w:val="20"/>
          <w:lang w:val="fr-FR"/>
        </w:rPr>
        <w:t>rotéines</w:t>
      </w:r>
      <w:r w:rsidRPr="001B673C">
        <w:rPr>
          <w:rFonts w:asciiTheme="minorHAnsi" w:hAnsiTheme="minorHAnsi"/>
          <w:szCs w:val="20"/>
          <w:lang w:val="fr-FR"/>
        </w:rPr>
        <w:t xml:space="preserve"> qui vont se transloquer dans le noyau et </w:t>
      </w:r>
      <w:r w:rsidRPr="0058336F">
        <w:rPr>
          <w:rFonts w:asciiTheme="minorHAnsi" w:hAnsiTheme="minorHAnsi"/>
          <w:szCs w:val="20"/>
          <w:lang w:val="fr-FR"/>
        </w:rPr>
        <w:t>réguler</w:t>
      </w:r>
      <w:r w:rsidRPr="001B673C">
        <w:rPr>
          <w:rFonts w:asciiTheme="minorHAnsi" w:hAnsiTheme="minorHAnsi"/>
          <w:szCs w:val="20"/>
          <w:lang w:val="fr-FR"/>
        </w:rPr>
        <w:t xml:space="preserve"> l</w:t>
      </w:r>
      <w:r w:rsidRPr="001B673C">
        <w:rPr>
          <w:rFonts w:asciiTheme="minorHAnsi" w:hAnsiTheme="minorHAnsi" w:hint="eastAsia"/>
          <w:szCs w:val="20"/>
          <w:lang w:val="fr-FR"/>
        </w:rPr>
        <w:t>’</w:t>
      </w:r>
      <w:r w:rsidRPr="001B673C">
        <w:rPr>
          <w:rFonts w:asciiTheme="minorHAnsi" w:hAnsiTheme="minorHAnsi"/>
          <w:szCs w:val="20"/>
          <w:lang w:val="fr-FR"/>
        </w:rPr>
        <w:t xml:space="preserve">expression de </w:t>
      </w:r>
      <w:r w:rsidRPr="0058336F">
        <w:rPr>
          <w:rFonts w:asciiTheme="minorHAnsi" w:hAnsiTheme="minorHAnsi"/>
          <w:szCs w:val="20"/>
          <w:lang w:val="fr-FR"/>
        </w:rPr>
        <w:t>différents</w:t>
      </w:r>
      <w:r w:rsidRPr="001B673C">
        <w:rPr>
          <w:rFonts w:asciiTheme="minorHAnsi" w:hAnsiTheme="minorHAnsi"/>
          <w:szCs w:val="20"/>
          <w:lang w:val="fr-FR"/>
        </w:rPr>
        <w:t xml:space="preserve"> </w:t>
      </w:r>
      <w:r w:rsidRPr="0058336F">
        <w:rPr>
          <w:rFonts w:asciiTheme="minorHAnsi" w:hAnsiTheme="minorHAnsi"/>
          <w:szCs w:val="20"/>
          <w:lang w:val="fr-FR"/>
        </w:rPr>
        <w:t>gènes</w:t>
      </w:r>
      <w:r w:rsidRPr="001B673C">
        <w:rPr>
          <w:rFonts w:asciiTheme="minorHAnsi" w:hAnsiTheme="minorHAnsi"/>
          <w:szCs w:val="20"/>
          <w:lang w:val="fr-FR"/>
        </w:rPr>
        <w:t xml:space="preserve">) </w:t>
      </w:r>
      <w:r w:rsidRPr="001B673C">
        <w:rPr>
          <w:rFonts w:asciiTheme="minorHAnsi" w:eastAsiaTheme="majorEastAsia" w:hAnsiTheme="minorHAnsi"/>
          <w:szCs w:val="20"/>
          <w:lang w:val="fr-FR"/>
        </w:rPr>
        <w:t>permet de bloquer la production de cytokines pro-inflammatoires dont le TNFα, de bloquer d</w:t>
      </w:r>
      <w:r w:rsidR="007B378C">
        <w:rPr>
          <w:rFonts w:asciiTheme="minorHAnsi" w:eastAsiaTheme="majorEastAsia" w:hAnsiTheme="minorHAnsi"/>
          <w:szCs w:val="20"/>
          <w:lang w:val="fr-FR"/>
        </w:rPr>
        <w:t>’</w:t>
      </w:r>
      <w:r w:rsidRPr="001B673C">
        <w:rPr>
          <w:rFonts w:asciiTheme="minorHAnsi" w:eastAsiaTheme="majorEastAsia" w:hAnsiTheme="minorHAnsi"/>
          <w:szCs w:val="20"/>
          <w:lang w:val="fr-FR"/>
        </w:rPr>
        <w:t>autres voies de</w:t>
      </w:r>
      <w:r w:rsidR="007B378C">
        <w:rPr>
          <w:rFonts w:asciiTheme="minorHAnsi" w:eastAsiaTheme="majorEastAsia" w:hAnsiTheme="minorHAnsi"/>
          <w:szCs w:val="20"/>
          <w:lang w:val="fr-FR"/>
        </w:rPr>
        <w:t xml:space="preserve"> </w:t>
      </w:r>
      <w:r w:rsidRPr="001B673C">
        <w:rPr>
          <w:rFonts w:asciiTheme="minorHAnsi" w:eastAsiaTheme="majorEastAsia" w:hAnsiTheme="minorHAnsi"/>
          <w:szCs w:val="20"/>
          <w:lang w:val="fr-FR"/>
        </w:rPr>
        <w:t>l</w:t>
      </w:r>
      <w:r w:rsidR="007B378C">
        <w:rPr>
          <w:rFonts w:asciiTheme="minorHAnsi" w:eastAsiaTheme="majorEastAsia" w:hAnsiTheme="minorHAnsi"/>
          <w:szCs w:val="20"/>
          <w:lang w:val="fr-FR"/>
        </w:rPr>
        <w:t>’</w:t>
      </w:r>
      <w:r w:rsidRPr="001B673C">
        <w:rPr>
          <w:rFonts w:asciiTheme="minorHAnsi" w:eastAsiaTheme="majorEastAsia" w:hAnsiTheme="minorHAnsi"/>
          <w:szCs w:val="20"/>
          <w:lang w:val="fr-FR"/>
        </w:rPr>
        <w:t xml:space="preserve">inflammation et de </w:t>
      </w:r>
      <w:r w:rsidRPr="0058336F">
        <w:rPr>
          <w:rFonts w:asciiTheme="minorHAnsi" w:eastAsiaTheme="majorEastAsia" w:hAnsiTheme="minorHAnsi"/>
          <w:szCs w:val="20"/>
          <w:lang w:val="fr-FR"/>
        </w:rPr>
        <w:t>réguler</w:t>
      </w:r>
      <w:r w:rsidRPr="001B673C">
        <w:rPr>
          <w:rFonts w:asciiTheme="minorHAnsi" w:eastAsiaTheme="majorEastAsia" w:hAnsiTheme="minorHAnsi"/>
          <w:szCs w:val="20"/>
          <w:lang w:val="fr-FR"/>
        </w:rPr>
        <w:t xml:space="preserve"> l’</w:t>
      </w:r>
      <w:r w:rsidRPr="0058336F">
        <w:rPr>
          <w:rFonts w:asciiTheme="minorHAnsi" w:eastAsiaTheme="majorEastAsia" w:hAnsiTheme="minorHAnsi"/>
          <w:szCs w:val="20"/>
          <w:lang w:val="fr-FR"/>
        </w:rPr>
        <w:t>immunité</w:t>
      </w:r>
      <w:r w:rsidRPr="001B673C">
        <w:rPr>
          <w:rFonts w:asciiTheme="minorHAnsi" w:eastAsiaTheme="majorEastAsia" w:hAnsiTheme="minorHAnsi"/>
          <w:szCs w:val="20"/>
          <w:lang w:val="fr-FR"/>
        </w:rPr>
        <w:t xml:space="preserve">́ </w:t>
      </w:r>
      <w:r w:rsidRPr="0058336F">
        <w:rPr>
          <w:rFonts w:asciiTheme="minorHAnsi" w:eastAsiaTheme="majorEastAsia" w:hAnsiTheme="minorHAnsi"/>
          <w:szCs w:val="20"/>
          <w:lang w:val="fr-FR"/>
        </w:rPr>
        <w:t>innée</w:t>
      </w:r>
      <w:r w:rsidR="007B378C">
        <w:rPr>
          <w:rFonts w:asciiTheme="minorHAnsi" w:eastAsiaTheme="majorEastAsia" w:hAnsiTheme="minorHAnsi"/>
          <w:szCs w:val="20"/>
          <w:lang w:val="fr-FR"/>
        </w:rPr>
        <w:t xml:space="preserve"> </w:t>
      </w:r>
      <w:r w:rsidRPr="001B673C">
        <w:rPr>
          <w:rFonts w:asciiTheme="minorHAnsi" w:eastAsiaTheme="majorEastAsia" w:hAnsiTheme="minorHAnsi"/>
          <w:szCs w:val="20"/>
          <w:lang w:val="fr-FR"/>
        </w:rPr>
        <w:t xml:space="preserve">et </w:t>
      </w:r>
      <w:r w:rsidRPr="0058336F">
        <w:rPr>
          <w:rFonts w:asciiTheme="minorHAnsi" w:eastAsiaTheme="majorEastAsia" w:hAnsiTheme="minorHAnsi"/>
          <w:szCs w:val="20"/>
          <w:lang w:val="fr-FR"/>
        </w:rPr>
        <w:t>adaptative</w:t>
      </w:r>
      <w:r w:rsidRPr="001B673C">
        <w:rPr>
          <w:rFonts w:asciiTheme="minorHAnsi" w:eastAsiaTheme="majorEastAsia" w:hAnsiTheme="minorHAnsi"/>
          <w:szCs w:val="20"/>
          <w:lang w:val="fr-FR"/>
        </w:rPr>
        <w:t>. Ainsi, plusieurs cytokines et plusieurs voies de l</w:t>
      </w:r>
      <w:r w:rsidR="007B378C">
        <w:rPr>
          <w:rFonts w:asciiTheme="minorHAnsi" w:eastAsiaTheme="majorEastAsia" w:hAnsiTheme="minorHAnsi"/>
          <w:szCs w:val="20"/>
          <w:lang w:val="fr-FR"/>
        </w:rPr>
        <w:t>’</w:t>
      </w:r>
      <w:r w:rsidRPr="001B673C">
        <w:rPr>
          <w:rFonts w:asciiTheme="minorHAnsi" w:eastAsiaTheme="majorEastAsia" w:hAnsiTheme="minorHAnsi"/>
          <w:szCs w:val="20"/>
          <w:lang w:val="fr-FR"/>
        </w:rPr>
        <w:t xml:space="preserve">inflammation sont </w:t>
      </w:r>
      <w:r w:rsidRPr="0058336F">
        <w:rPr>
          <w:rFonts w:asciiTheme="minorHAnsi" w:eastAsiaTheme="majorEastAsia" w:hAnsiTheme="minorHAnsi"/>
          <w:szCs w:val="20"/>
          <w:lang w:val="fr-FR"/>
        </w:rPr>
        <w:t>bloquées</w:t>
      </w:r>
      <w:r w:rsidRPr="001B673C">
        <w:rPr>
          <w:rFonts w:asciiTheme="minorHAnsi" w:eastAsiaTheme="majorEastAsia" w:hAnsiTheme="minorHAnsi"/>
          <w:szCs w:val="20"/>
          <w:lang w:val="fr-FR"/>
        </w:rPr>
        <w:t xml:space="preserve"> </w:t>
      </w:r>
      <w:r w:rsidRPr="0058336F">
        <w:rPr>
          <w:rFonts w:asciiTheme="minorHAnsi" w:eastAsiaTheme="majorEastAsia" w:hAnsiTheme="minorHAnsi"/>
          <w:szCs w:val="20"/>
          <w:lang w:val="fr-FR"/>
        </w:rPr>
        <w:t>simultanément</w:t>
      </w:r>
      <w:r w:rsidRPr="001B673C">
        <w:rPr>
          <w:rFonts w:asciiTheme="minorHAnsi" w:eastAsiaTheme="majorEastAsia" w:hAnsiTheme="minorHAnsi"/>
          <w:szCs w:val="20"/>
          <w:lang w:val="fr-FR"/>
        </w:rPr>
        <w:t xml:space="preserve"> contrairement aux </w:t>
      </w:r>
      <w:r w:rsidRPr="0058336F">
        <w:rPr>
          <w:rFonts w:asciiTheme="minorHAnsi" w:eastAsiaTheme="majorEastAsia" w:hAnsiTheme="minorHAnsi"/>
          <w:szCs w:val="20"/>
          <w:lang w:val="fr-FR"/>
        </w:rPr>
        <w:t>biothérapies</w:t>
      </w:r>
      <w:r w:rsidRPr="001B673C">
        <w:rPr>
          <w:rFonts w:asciiTheme="minorHAnsi" w:eastAsiaTheme="majorEastAsia" w:hAnsiTheme="minorHAnsi"/>
          <w:szCs w:val="20"/>
          <w:lang w:val="fr-FR"/>
        </w:rPr>
        <w:t xml:space="preserve"> qui n</w:t>
      </w:r>
      <w:r w:rsidR="007B378C">
        <w:rPr>
          <w:rFonts w:asciiTheme="minorHAnsi" w:eastAsiaTheme="majorEastAsia" w:hAnsiTheme="minorHAnsi"/>
          <w:szCs w:val="20"/>
          <w:lang w:val="fr-FR"/>
        </w:rPr>
        <w:t>’</w:t>
      </w:r>
      <w:r w:rsidRPr="001B673C">
        <w:rPr>
          <w:rFonts w:asciiTheme="minorHAnsi" w:eastAsiaTheme="majorEastAsia" w:hAnsiTheme="minorHAnsi"/>
          <w:szCs w:val="20"/>
          <w:lang w:val="fr-FR"/>
        </w:rPr>
        <w:t>ont q</w:t>
      </w:r>
      <w:r w:rsidR="007B378C">
        <w:rPr>
          <w:rFonts w:asciiTheme="minorHAnsi" w:eastAsiaTheme="majorEastAsia" w:hAnsiTheme="minorHAnsi"/>
          <w:szCs w:val="20"/>
          <w:lang w:val="fr-FR"/>
        </w:rPr>
        <w:t>u’</w:t>
      </w:r>
      <w:r w:rsidRPr="001B673C">
        <w:rPr>
          <w:rFonts w:asciiTheme="minorHAnsi" w:eastAsiaTheme="majorEastAsia" w:hAnsiTheme="minorHAnsi"/>
          <w:szCs w:val="20"/>
          <w:lang w:val="fr-FR"/>
        </w:rPr>
        <w:t xml:space="preserve">une cible unique. </w:t>
      </w:r>
    </w:p>
    <w:p w:rsidR="007B378C" w:rsidRPr="001B673C" w:rsidRDefault="007B378C" w:rsidP="007B378C">
      <w:pPr>
        <w:spacing w:after="0"/>
        <w:rPr>
          <w:rFonts w:asciiTheme="minorHAnsi" w:eastAsiaTheme="majorEastAsia" w:hAnsiTheme="minorHAnsi"/>
          <w:szCs w:val="20"/>
          <w:lang w:val="fr-FR"/>
        </w:rPr>
      </w:pPr>
    </w:p>
    <w:p w:rsidR="00E74177" w:rsidRPr="001B673C" w:rsidRDefault="00E74177" w:rsidP="007B378C">
      <w:pPr>
        <w:spacing w:after="0"/>
        <w:rPr>
          <w:rFonts w:asciiTheme="minorHAnsi" w:eastAsiaTheme="majorEastAsia" w:hAnsiTheme="minorHAnsi"/>
          <w:szCs w:val="20"/>
          <w:lang w:val="fr-FR"/>
        </w:rPr>
      </w:pPr>
      <w:r w:rsidRPr="001B673C">
        <w:rPr>
          <w:rFonts w:asciiTheme="minorHAnsi" w:eastAsiaTheme="majorEastAsia" w:hAnsiTheme="minorHAnsi"/>
          <w:szCs w:val="20"/>
          <w:lang w:val="fr-FR"/>
        </w:rPr>
        <w:t xml:space="preserve">Les produits en </w:t>
      </w:r>
      <w:r w:rsidRPr="0058336F">
        <w:rPr>
          <w:rFonts w:asciiTheme="minorHAnsi" w:eastAsiaTheme="majorEastAsia" w:hAnsiTheme="minorHAnsi"/>
          <w:szCs w:val="20"/>
          <w:lang w:val="fr-FR"/>
        </w:rPr>
        <w:t>développements</w:t>
      </w:r>
      <w:r w:rsidRPr="001B673C">
        <w:rPr>
          <w:rFonts w:asciiTheme="minorHAnsi" w:eastAsiaTheme="majorEastAsia" w:hAnsiTheme="minorHAnsi"/>
          <w:szCs w:val="20"/>
          <w:lang w:val="fr-FR"/>
        </w:rPr>
        <w:t xml:space="preserve"> sont :</w:t>
      </w:r>
    </w:p>
    <w:p w:rsidR="00E74177" w:rsidRPr="007B378C" w:rsidRDefault="00E74177" w:rsidP="00434C49">
      <w:pPr>
        <w:pStyle w:val="ListParagraph"/>
        <w:numPr>
          <w:ilvl w:val="0"/>
          <w:numId w:val="109"/>
        </w:numPr>
        <w:spacing w:after="0"/>
        <w:rPr>
          <w:rFonts w:asciiTheme="minorHAnsi" w:hAnsiTheme="minorHAnsi"/>
          <w:szCs w:val="20"/>
          <w:lang w:val="fr-FR"/>
        </w:rPr>
      </w:pPr>
      <w:r w:rsidRPr="007B378C">
        <w:rPr>
          <w:rFonts w:asciiTheme="minorHAnsi" w:eastAsiaTheme="majorEastAsia" w:hAnsiTheme="minorHAnsi"/>
          <w:szCs w:val="20"/>
          <w:lang w:val="fr-FR"/>
        </w:rPr>
        <w:t xml:space="preserve">Le tofacitinib de Pfizer </w:t>
      </w:r>
      <w:r w:rsidRPr="007B378C">
        <w:rPr>
          <w:rFonts w:asciiTheme="minorHAnsi" w:hAnsiTheme="minorHAnsi"/>
          <w:szCs w:val="20"/>
          <w:lang w:val="fr-FR"/>
        </w:rPr>
        <w:t>est un anti-JAK non sélectif (inhibe à la fois JAK1, JAK 2 et JAK3)</w:t>
      </w:r>
      <w:r w:rsidR="007B378C" w:rsidRPr="007B378C">
        <w:rPr>
          <w:rFonts w:asciiTheme="minorHAnsi" w:hAnsiTheme="minorHAnsi"/>
          <w:szCs w:val="20"/>
          <w:lang w:val="fr-FR"/>
        </w:rPr>
        <w:t>. Il</w:t>
      </w:r>
      <w:r w:rsidRPr="007B378C">
        <w:rPr>
          <w:rFonts w:asciiTheme="minorHAnsi" w:hAnsiTheme="minorHAnsi"/>
          <w:szCs w:val="20"/>
          <w:lang w:val="fr-FR"/>
        </w:rPr>
        <w:t xml:space="preserve"> est sur le point d’obtenir une AMM dans la rectocolite hémorragique alors que les résultats des essais dans la maladie de Crohn restent décevants.</w:t>
      </w:r>
    </w:p>
    <w:p w:rsidR="00E74177" w:rsidRPr="007B378C" w:rsidRDefault="00E74177" w:rsidP="00434C49">
      <w:pPr>
        <w:pStyle w:val="ListParagraph"/>
        <w:numPr>
          <w:ilvl w:val="0"/>
          <w:numId w:val="109"/>
        </w:numPr>
        <w:spacing w:after="0"/>
        <w:rPr>
          <w:rFonts w:asciiTheme="minorHAnsi" w:hAnsiTheme="minorHAnsi"/>
          <w:szCs w:val="20"/>
          <w:lang w:val="fr-FR"/>
        </w:rPr>
      </w:pPr>
      <w:r w:rsidRPr="007B378C">
        <w:rPr>
          <w:rFonts w:asciiTheme="minorHAnsi" w:hAnsiTheme="minorHAnsi"/>
          <w:szCs w:val="20"/>
          <w:lang w:val="fr-FR"/>
        </w:rPr>
        <w:t>Le filgotinib (Gilead) et l</w:t>
      </w:r>
      <w:r w:rsidRPr="007B378C">
        <w:rPr>
          <w:rFonts w:asciiTheme="minorHAnsi" w:hAnsiTheme="minorHAnsi" w:hint="eastAsia"/>
          <w:szCs w:val="20"/>
          <w:lang w:val="fr-FR"/>
        </w:rPr>
        <w:t>’</w:t>
      </w:r>
      <w:r w:rsidRPr="007B378C">
        <w:rPr>
          <w:rFonts w:asciiTheme="minorHAnsi" w:hAnsiTheme="minorHAnsi"/>
          <w:szCs w:val="20"/>
          <w:lang w:val="fr-FR"/>
        </w:rPr>
        <w:t xml:space="preserve">upadacitinib (AbbVie), des inhibiteurs sélectifs de Janus kinases 1, sont ou vont être testés dans la maladie de Crohn et la rectocolite hémorragique dans des essais de phase 2b/3. </w:t>
      </w:r>
    </w:p>
    <w:p w:rsidR="00E74177" w:rsidRPr="001B673C" w:rsidRDefault="00E74177" w:rsidP="007B378C">
      <w:pPr>
        <w:spacing w:after="0"/>
        <w:rPr>
          <w:rFonts w:asciiTheme="minorHAnsi" w:hAnsiTheme="minorHAnsi"/>
          <w:szCs w:val="20"/>
          <w:lang w:val="fr-FR"/>
        </w:rPr>
      </w:pPr>
    </w:p>
    <w:p w:rsidR="00E74177" w:rsidRDefault="00E74177" w:rsidP="007B378C">
      <w:pPr>
        <w:spacing w:after="0"/>
        <w:rPr>
          <w:rFonts w:asciiTheme="minorHAnsi" w:hAnsiTheme="minorHAnsi"/>
          <w:szCs w:val="20"/>
          <w:lang w:val="fr-FR"/>
        </w:rPr>
      </w:pPr>
      <w:r w:rsidRPr="001B673C">
        <w:rPr>
          <w:rFonts w:asciiTheme="minorHAnsi" w:hAnsiTheme="minorHAnsi"/>
          <w:szCs w:val="20"/>
          <w:lang w:val="fr-FR"/>
        </w:rPr>
        <w:t>A l’instar des anti-JAK, les modulateurs des r</w:t>
      </w:r>
      <w:r w:rsidRPr="001B673C">
        <w:rPr>
          <w:rFonts w:asciiTheme="minorHAnsi" w:hAnsiTheme="minorHAnsi" w:hint="eastAsia"/>
          <w:szCs w:val="20"/>
          <w:lang w:val="fr-FR"/>
        </w:rPr>
        <w:t>é</w:t>
      </w:r>
      <w:r w:rsidRPr="001B673C">
        <w:rPr>
          <w:rFonts w:asciiTheme="minorHAnsi" w:hAnsiTheme="minorHAnsi"/>
          <w:szCs w:val="20"/>
          <w:lang w:val="fr-FR"/>
        </w:rPr>
        <w:t xml:space="preserve">cepteurs des sphingosines-1-phosphate (S1P), sphingolipides qui se lient </w:t>
      </w:r>
      <w:r w:rsidRPr="0058336F">
        <w:rPr>
          <w:rFonts w:asciiTheme="minorHAnsi" w:hAnsiTheme="minorHAnsi"/>
          <w:szCs w:val="20"/>
          <w:lang w:val="fr-FR"/>
        </w:rPr>
        <w:t>spécifiquement</w:t>
      </w:r>
      <w:r w:rsidRPr="001B673C">
        <w:rPr>
          <w:rFonts w:asciiTheme="minorHAnsi" w:hAnsiTheme="minorHAnsi"/>
          <w:szCs w:val="20"/>
          <w:lang w:val="fr-FR"/>
        </w:rPr>
        <w:t xml:space="preserve"> à 5 </w:t>
      </w:r>
      <w:r w:rsidRPr="0058336F">
        <w:rPr>
          <w:rFonts w:asciiTheme="minorHAnsi" w:hAnsiTheme="minorHAnsi"/>
          <w:szCs w:val="20"/>
          <w:lang w:val="fr-FR"/>
        </w:rPr>
        <w:t>récepteurs</w:t>
      </w:r>
      <w:r w:rsidRPr="001B673C">
        <w:rPr>
          <w:rFonts w:asciiTheme="minorHAnsi" w:hAnsiTheme="minorHAnsi"/>
          <w:szCs w:val="20"/>
          <w:lang w:val="fr-FR"/>
        </w:rPr>
        <w:t xml:space="preserve"> (S1P1</w:t>
      </w:r>
      <w:r w:rsidRPr="001B673C">
        <w:rPr>
          <w:rFonts w:asciiTheme="minorHAnsi" w:hAnsiTheme="minorHAnsi" w:hint="eastAsia"/>
          <w:szCs w:val="20"/>
          <w:lang w:val="fr-FR"/>
        </w:rPr>
        <w:t>–</w:t>
      </w:r>
      <w:r w:rsidRPr="001B673C">
        <w:rPr>
          <w:rFonts w:asciiTheme="minorHAnsi" w:hAnsiTheme="minorHAnsi"/>
          <w:szCs w:val="20"/>
          <w:lang w:val="fr-FR"/>
        </w:rPr>
        <w:t>5), sont des mol</w:t>
      </w:r>
      <w:r w:rsidRPr="001B673C">
        <w:rPr>
          <w:rFonts w:asciiTheme="minorHAnsi" w:hAnsiTheme="minorHAnsi" w:hint="eastAsia"/>
          <w:szCs w:val="20"/>
          <w:lang w:val="fr-FR"/>
        </w:rPr>
        <w:t>é</w:t>
      </w:r>
      <w:r w:rsidRPr="001B673C">
        <w:rPr>
          <w:rFonts w:asciiTheme="minorHAnsi" w:hAnsiTheme="minorHAnsi"/>
          <w:szCs w:val="20"/>
          <w:lang w:val="fr-FR"/>
        </w:rPr>
        <w:t>cules orales tr</w:t>
      </w:r>
      <w:r w:rsidRPr="001B673C">
        <w:rPr>
          <w:rFonts w:asciiTheme="minorHAnsi" w:hAnsiTheme="minorHAnsi" w:hint="eastAsia"/>
          <w:szCs w:val="20"/>
          <w:lang w:val="fr-FR"/>
        </w:rPr>
        <w:t>è</w:t>
      </w:r>
      <w:r w:rsidRPr="001B673C">
        <w:rPr>
          <w:rFonts w:asciiTheme="minorHAnsi" w:hAnsiTheme="minorHAnsi"/>
          <w:szCs w:val="20"/>
          <w:lang w:val="fr-FR"/>
        </w:rPr>
        <w:t xml:space="preserve">s prometteuses. Les modulateurs des </w:t>
      </w:r>
      <w:r w:rsidRPr="0058336F">
        <w:rPr>
          <w:rFonts w:asciiTheme="minorHAnsi" w:hAnsiTheme="minorHAnsi"/>
          <w:szCs w:val="20"/>
          <w:lang w:val="fr-FR"/>
        </w:rPr>
        <w:t>récepteurs</w:t>
      </w:r>
      <w:r w:rsidRPr="001B673C">
        <w:rPr>
          <w:rFonts w:asciiTheme="minorHAnsi" w:hAnsiTheme="minorHAnsi"/>
          <w:szCs w:val="20"/>
          <w:lang w:val="fr-FR"/>
        </w:rPr>
        <w:t xml:space="preserve"> de S1P permettent une </w:t>
      </w:r>
      <w:r w:rsidRPr="0058336F">
        <w:rPr>
          <w:rFonts w:asciiTheme="minorHAnsi" w:hAnsiTheme="minorHAnsi"/>
          <w:szCs w:val="20"/>
          <w:lang w:val="fr-FR"/>
        </w:rPr>
        <w:t>séquestration</w:t>
      </w:r>
      <w:r w:rsidRPr="001B673C">
        <w:rPr>
          <w:rFonts w:asciiTheme="minorHAnsi" w:hAnsiTheme="minorHAnsi"/>
          <w:szCs w:val="20"/>
          <w:lang w:val="fr-FR"/>
        </w:rPr>
        <w:t xml:space="preserve"> des lymphocytes </w:t>
      </w:r>
      <w:r w:rsidRPr="0058336F">
        <w:rPr>
          <w:rFonts w:asciiTheme="minorHAnsi" w:hAnsiTheme="minorHAnsi"/>
          <w:szCs w:val="20"/>
          <w:lang w:val="fr-FR"/>
        </w:rPr>
        <w:t>activés</w:t>
      </w:r>
      <w:r w:rsidRPr="001B673C">
        <w:rPr>
          <w:rFonts w:asciiTheme="minorHAnsi" w:hAnsiTheme="minorHAnsi"/>
          <w:szCs w:val="20"/>
          <w:lang w:val="fr-FR"/>
        </w:rPr>
        <w:t xml:space="preserve"> dans les ganglions lymphatiques et </w:t>
      </w:r>
      <w:r w:rsidRPr="0058336F">
        <w:rPr>
          <w:rFonts w:asciiTheme="minorHAnsi" w:hAnsiTheme="minorHAnsi"/>
          <w:szCs w:val="20"/>
          <w:lang w:val="fr-FR"/>
        </w:rPr>
        <w:t>réduisent</w:t>
      </w:r>
      <w:r w:rsidRPr="001B673C">
        <w:rPr>
          <w:rFonts w:asciiTheme="minorHAnsi" w:hAnsiTheme="minorHAnsi"/>
          <w:szCs w:val="20"/>
          <w:lang w:val="fr-FR"/>
        </w:rPr>
        <w:t xml:space="preserve"> ainsi leur circulation dans le tractus gastro-intestinal.</w:t>
      </w:r>
    </w:p>
    <w:p w:rsidR="007B378C" w:rsidRPr="001B673C" w:rsidRDefault="007B378C" w:rsidP="007B378C">
      <w:pPr>
        <w:spacing w:after="0"/>
        <w:rPr>
          <w:rFonts w:asciiTheme="minorHAnsi" w:hAnsiTheme="minorHAnsi"/>
          <w:szCs w:val="20"/>
          <w:lang w:val="fr-FR"/>
        </w:rPr>
      </w:pPr>
    </w:p>
    <w:p w:rsidR="00E74177" w:rsidRPr="001B673C" w:rsidRDefault="00E74177" w:rsidP="007B378C">
      <w:pPr>
        <w:spacing w:after="0"/>
        <w:rPr>
          <w:rFonts w:asciiTheme="minorHAnsi" w:hAnsiTheme="minorHAnsi"/>
          <w:szCs w:val="20"/>
          <w:lang w:val="fr-FR"/>
        </w:rPr>
      </w:pPr>
      <w:r w:rsidRPr="001B673C">
        <w:rPr>
          <w:rFonts w:asciiTheme="minorHAnsi" w:eastAsiaTheme="majorEastAsia" w:hAnsiTheme="minorHAnsi"/>
          <w:szCs w:val="20"/>
          <w:lang w:val="fr-FR"/>
        </w:rPr>
        <w:t xml:space="preserve">Les produits en </w:t>
      </w:r>
      <w:r w:rsidRPr="0058336F">
        <w:rPr>
          <w:rFonts w:asciiTheme="minorHAnsi" w:eastAsiaTheme="majorEastAsia" w:hAnsiTheme="minorHAnsi"/>
          <w:szCs w:val="20"/>
          <w:lang w:val="fr-FR"/>
        </w:rPr>
        <w:t>développements</w:t>
      </w:r>
      <w:r w:rsidRPr="001B673C">
        <w:rPr>
          <w:rFonts w:asciiTheme="minorHAnsi" w:eastAsiaTheme="majorEastAsia" w:hAnsiTheme="minorHAnsi"/>
          <w:szCs w:val="20"/>
          <w:lang w:val="fr-FR"/>
        </w:rPr>
        <w:t xml:space="preserve"> sont :</w:t>
      </w:r>
    </w:p>
    <w:p w:rsidR="00E74177" w:rsidRPr="007B378C" w:rsidRDefault="00E74177" w:rsidP="00434C49">
      <w:pPr>
        <w:pStyle w:val="ListParagraph"/>
        <w:numPr>
          <w:ilvl w:val="0"/>
          <w:numId w:val="110"/>
        </w:numPr>
        <w:spacing w:after="0"/>
        <w:rPr>
          <w:rFonts w:asciiTheme="minorHAnsi" w:eastAsiaTheme="majorEastAsia" w:hAnsiTheme="minorHAnsi"/>
          <w:szCs w:val="20"/>
          <w:lang w:val="fr-FR"/>
        </w:rPr>
      </w:pPr>
      <w:r w:rsidRPr="007B378C">
        <w:rPr>
          <w:rFonts w:asciiTheme="minorHAnsi" w:eastAsiaTheme="majorEastAsia" w:hAnsiTheme="minorHAnsi"/>
          <w:szCs w:val="20"/>
          <w:lang w:val="fr-FR"/>
        </w:rPr>
        <w:t>L’Ozanimod (Celgene) :</w:t>
      </w:r>
      <w:r w:rsidRPr="007B378C">
        <w:rPr>
          <w:rFonts w:asciiTheme="minorHAnsi" w:hAnsiTheme="minorHAnsi"/>
          <w:szCs w:val="20"/>
          <w:lang w:val="fr-FR"/>
        </w:rPr>
        <w:t xml:space="preserve"> </w:t>
      </w:r>
      <w:r w:rsidRPr="007B378C">
        <w:rPr>
          <w:rFonts w:asciiTheme="minorHAnsi" w:hAnsiTheme="minorHAnsi"/>
          <w:szCs w:val="20"/>
          <w:lang w:val="fr-FR" w:eastAsia="ja-JP"/>
        </w:rPr>
        <w:t>Une étude de phase II est actuellement menée pour évaluer l’efficacité́ de l’Ozanimod dans la maladie de Crohn et une étude de phase III va débuter dans la rectocolite hémorragique.</w:t>
      </w:r>
    </w:p>
    <w:p w:rsidR="00E74177" w:rsidRPr="007B378C" w:rsidRDefault="00E74177" w:rsidP="00434C49">
      <w:pPr>
        <w:pStyle w:val="ListParagraph"/>
        <w:numPr>
          <w:ilvl w:val="0"/>
          <w:numId w:val="110"/>
        </w:numPr>
        <w:spacing w:after="0"/>
        <w:rPr>
          <w:rFonts w:asciiTheme="minorHAnsi" w:eastAsiaTheme="majorEastAsia" w:hAnsiTheme="minorHAnsi"/>
          <w:lang w:val="fr-FR"/>
        </w:rPr>
      </w:pPr>
      <w:r w:rsidRPr="007B378C">
        <w:rPr>
          <w:rFonts w:asciiTheme="minorHAnsi" w:eastAsiaTheme="majorEastAsia" w:hAnsiTheme="minorHAnsi"/>
          <w:szCs w:val="20"/>
          <w:lang w:val="fr-FR"/>
        </w:rPr>
        <w:t>L’</w:t>
      </w:r>
      <w:r w:rsidRPr="007B378C">
        <w:rPr>
          <w:rFonts w:asciiTheme="minorHAnsi" w:hAnsiTheme="minorHAnsi"/>
          <w:szCs w:val="20"/>
          <w:lang w:val="fr-FR" w:eastAsia="ja-JP"/>
        </w:rPr>
        <w:t>Etrasimod (laboratoires ARENA) dont les résultats de l</w:t>
      </w:r>
      <w:r w:rsidRPr="007B378C">
        <w:rPr>
          <w:rFonts w:asciiTheme="minorHAnsi" w:hAnsiTheme="minorHAnsi" w:hint="eastAsia"/>
          <w:szCs w:val="20"/>
          <w:lang w:val="fr-FR" w:eastAsia="ja-JP"/>
        </w:rPr>
        <w:t>’</w:t>
      </w:r>
      <w:r w:rsidRPr="007B378C">
        <w:rPr>
          <w:rFonts w:asciiTheme="minorHAnsi" w:hAnsiTheme="minorHAnsi"/>
          <w:szCs w:val="20"/>
          <w:lang w:val="fr-FR" w:eastAsia="ja-JP"/>
        </w:rPr>
        <w:t>étude de phase II seront présentés en 2018.</w:t>
      </w:r>
    </w:p>
    <w:p w:rsidR="007B378C" w:rsidRDefault="007B378C" w:rsidP="007B378C">
      <w:pPr>
        <w:pStyle w:val="BodyText"/>
        <w:spacing w:after="0"/>
        <w:rPr>
          <w:rFonts w:asciiTheme="minorHAnsi" w:hAnsiTheme="minorHAnsi" w:cstheme="minorHAnsi"/>
          <w:lang w:val="fr-FR"/>
        </w:rPr>
      </w:pPr>
    </w:p>
    <w:p w:rsidR="00943434" w:rsidRDefault="00E74177" w:rsidP="007B378C">
      <w:pPr>
        <w:pStyle w:val="BodyText"/>
        <w:spacing w:after="0"/>
        <w:rPr>
          <w:rFonts w:asciiTheme="minorHAnsi" w:hAnsiTheme="minorHAnsi"/>
          <w:lang w:val="fr-FR" w:eastAsia="ja-JP"/>
        </w:rPr>
      </w:pPr>
      <w:r>
        <w:rPr>
          <w:rFonts w:asciiTheme="minorHAnsi" w:hAnsiTheme="minorHAnsi" w:cstheme="minorHAnsi"/>
          <w:lang w:val="fr-FR"/>
        </w:rPr>
        <w:t xml:space="preserve">Enfin, </w:t>
      </w:r>
      <w:r w:rsidR="00943434" w:rsidRPr="00C73365">
        <w:rPr>
          <w:rFonts w:asciiTheme="minorHAnsi" w:hAnsiTheme="minorHAnsi" w:cstheme="minorHAnsi"/>
          <w:lang w:val="fr-FR"/>
        </w:rPr>
        <w:t xml:space="preserve">l’anti-SMAD7 (mongersen). Il s’agit cette fois d’une petite molécule d’acide nucléique (oligonucléotide antisens) qui bloque la production du facteur de transcription SMAD7 dans les cellules immunitaires. Sans ce facteur, les lymphocytes T perdent leur capacité à produire des cytokines pro-inflammatoires et les macrophages et cellules dendritiques perdent en efficacité. </w:t>
      </w:r>
      <w:r w:rsidRPr="0058336F">
        <w:rPr>
          <w:rFonts w:asciiTheme="minorHAnsi" w:hAnsiTheme="minorHAnsi"/>
          <w:lang w:val="fr-FR"/>
        </w:rPr>
        <w:t>Malgré</w:t>
      </w:r>
      <w:r w:rsidRPr="001B673C">
        <w:rPr>
          <w:rFonts w:asciiTheme="minorHAnsi" w:hAnsiTheme="minorHAnsi"/>
          <w:lang w:val="fr-FR"/>
        </w:rPr>
        <w:t xml:space="preserve"> des r</w:t>
      </w:r>
      <w:r w:rsidRPr="001B673C">
        <w:rPr>
          <w:rFonts w:asciiTheme="minorHAnsi" w:hAnsiTheme="minorHAnsi" w:hint="eastAsia"/>
          <w:lang w:val="fr-FR"/>
        </w:rPr>
        <w:t>é</w:t>
      </w:r>
      <w:r w:rsidRPr="001B673C">
        <w:rPr>
          <w:rFonts w:asciiTheme="minorHAnsi" w:hAnsiTheme="minorHAnsi"/>
          <w:lang w:val="fr-FR"/>
        </w:rPr>
        <w:t>sultats de Phase II positifs, l</w:t>
      </w:r>
      <w:r w:rsidRPr="001B673C">
        <w:rPr>
          <w:rFonts w:asciiTheme="minorHAnsi" w:hAnsiTheme="minorHAnsi" w:hint="eastAsia"/>
          <w:lang w:val="fr-FR"/>
        </w:rPr>
        <w:t>’</w:t>
      </w:r>
      <w:r w:rsidRPr="001B673C">
        <w:rPr>
          <w:rFonts w:asciiTheme="minorHAnsi" w:hAnsiTheme="minorHAnsi"/>
          <w:lang w:val="fr-FR"/>
        </w:rPr>
        <w:t xml:space="preserve">analyse </w:t>
      </w:r>
      <w:r w:rsidRPr="0058336F">
        <w:rPr>
          <w:rFonts w:asciiTheme="minorHAnsi" w:hAnsiTheme="minorHAnsi"/>
          <w:lang w:val="fr-FR"/>
        </w:rPr>
        <w:t>intermédiaire</w:t>
      </w:r>
      <w:r w:rsidRPr="001B673C">
        <w:rPr>
          <w:rFonts w:asciiTheme="minorHAnsi" w:hAnsiTheme="minorHAnsi"/>
          <w:lang w:val="fr-FR"/>
        </w:rPr>
        <w:t xml:space="preserve"> de </w:t>
      </w:r>
      <w:r w:rsidRPr="001B673C">
        <w:rPr>
          <w:rFonts w:asciiTheme="minorHAnsi" w:hAnsiTheme="minorHAnsi"/>
          <w:lang w:val="fr-FR" w:eastAsia="ja-JP"/>
        </w:rPr>
        <w:t>l</w:t>
      </w:r>
      <w:r w:rsidRPr="001B673C">
        <w:rPr>
          <w:rFonts w:asciiTheme="minorHAnsi" w:hAnsiTheme="minorHAnsi" w:hint="eastAsia"/>
          <w:lang w:val="fr-FR" w:eastAsia="ja-JP"/>
        </w:rPr>
        <w:t>’</w:t>
      </w:r>
      <w:r w:rsidRPr="001B673C">
        <w:rPr>
          <w:rFonts w:asciiTheme="minorHAnsi" w:hAnsiTheme="minorHAnsi"/>
          <w:lang w:val="fr-FR" w:eastAsia="ja-JP"/>
        </w:rPr>
        <w:t xml:space="preserve">essai de phase III </w:t>
      </w:r>
      <w:r w:rsidRPr="0058336F">
        <w:rPr>
          <w:rFonts w:asciiTheme="minorHAnsi" w:hAnsiTheme="minorHAnsi"/>
          <w:lang w:val="fr-FR" w:eastAsia="ja-JP"/>
        </w:rPr>
        <w:t>menée</w:t>
      </w:r>
      <w:r w:rsidRPr="001B673C">
        <w:rPr>
          <w:rFonts w:asciiTheme="minorHAnsi" w:hAnsiTheme="minorHAnsi"/>
          <w:lang w:val="fr-FR" w:eastAsia="ja-JP"/>
        </w:rPr>
        <w:t xml:space="preserve"> dans la maladie de Crohn a </w:t>
      </w:r>
      <w:r w:rsidRPr="0058336F">
        <w:rPr>
          <w:rFonts w:asciiTheme="minorHAnsi" w:hAnsiTheme="minorHAnsi"/>
          <w:lang w:val="fr-FR" w:eastAsia="ja-JP"/>
        </w:rPr>
        <w:t>montré</w:t>
      </w:r>
      <w:r w:rsidRPr="001B673C">
        <w:rPr>
          <w:rFonts w:asciiTheme="minorHAnsi" w:hAnsiTheme="minorHAnsi" w:hint="eastAsia"/>
          <w:lang w:val="fr-FR" w:eastAsia="ja-JP"/>
        </w:rPr>
        <w:t>́</w:t>
      </w:r>
      <w:r w:rsidRPr="001B673C">
        <w:rPr>
          <w:rFonts w:asciiTheme="minorHAnsi" w:hAnsiTheme="minorHAnsi"/>
          <w:lang w:val="fr-FR" w:eastAsia="ja-JP"/>
        </w:rPr>
        <w:t xml:space="preserve"> que le mongersen n</w:t>
      </w:r>
      <w:r w:rsidRPr="001B673C">
        <w:rPr>
          <w:rFonts w:asciiTheme="minorHAnsi" w:hAnsiTheme="minorHAnsi" w:hint="eastAsia"/>
          <w:lang w:val="fr-FR" w:eastAsia="ja-JP"/>
        </w:rPr>
        <w:t>’</w:t>
      </w:r>
      <w:r w:rsidRPr="0058336F">
        <w:rPr>
          <w:rFonts w:asciiTheme="minorHAnsi" w:hAnsiTheme="minorHAnsi"/>
          <w:lang w:val="fr-FR" w:eastAsia="ja-JP"/>
        </w:rPr>
        <w:t>était</w:t>
      </w:r>
      <w:r w:rsidRPr="001B673C">
        <w:rPr>
          <w:rFonts w:asciiTheme="minorHAnsi" w:hAnsiTheme="minorHAnsi"/>
          <w:lang w:val="fr-FR" w:eastAsia="ja-JP"/>
        </w:rPr>
        <w:t xml:space="preserve"> pas plus efficace que le placebo. Dans la </w:t>
      </w:r>
      <w:r w:rsidRPr="0058336F">
        <w:rPr>
          <w:rFonts w:asciiTheme="minorHAnsi" w:hAnsiTheme="minorHAnsi"/>
          <w:lang w:val="fr-FR" w:eastAsia="ja-JP"/>
        </w:rPr>
        <w:t>foulée</w:t>
      </w:r>
      <w:r w:rsidRPr="001B673C">
        <w:rPr>
          <w:rFonts w:asciiTheme="minorHAnsi" w:hAnsiTheme="minorHAnsi"/>
          <w:lang w:val="fr-FR" w:eastAsia="ja-JP"/>
        </w:rPr>
        <w:t xml:space="preserve">, Celgene a annoncé la fin du </w:t>
      </w:r>
      <w:r w:rsidRPr="0058336F">
        <w:rPr>
          <w:rFonts w:asciiTheme="minorHAnsi" w:hAnsiTheme="minorHAnsi"/>
          <w:lang w:val="fr-FR" w:eastAsia="ja-JP"/>
        </w:rPr>
        <w:t>développement</w:t>
      </w:r>
      <w:r w:rsidRPr="001B673C">
        <w:rPr>
          <w:rFonts w:asciiTheme="minorHAnsi" w:hAnsiTheme="minorHAnsi"/>
          <w:lang w:val="fr-FR" w:eastAsia="ja-JP"/>
        </w:rPr>
        <w:t xml:space="preserve"> de cette </w:t>
      </w:r>
      <w:r w:rsidRPr="0058336F">
        <w:rPr>
          <w:rFonts w:asciiTheme="minorHAnsi" w:hAnsiTheme="minorHAnsi"/>
          <w:lang w:val="fr-FR" w:eastAsia="ja-JP"/>
        </w:rPr>
        <w:t>molécule</w:t>
      </w:r>
      <w:r w:rsidRPr="001B673C">
        <w:rPr>
          <w:rFonts w:asciiTheme="minorHAnsi" w:hAnsiTheme="minorHAnsi"/>
          <w:lang w:val="fr-FR" w:eastAsia="ja-JP"/>
        </w:rPr>
        <w:t xml:space="preserve"> dans les MICI.</w:t>
      </w:r>
    </w:p>
    <w:p w:rsidR="007B378C" w:rsidRPr="00C73365" w:rsidRDefault="007B378C" w:rsidP="007B378C">
      <w:pPr>
        <w:pStyle w:val="BodyText"/>
        <w:spacing w:after="0"/>
        <w:rPr>
          <w:rFonts w:asciiTheme="minorHAnsi" w:hAnsiTheme="minorHAnsi" w:cstheme="minorHAnsi"/>
          <w:lang w:val="fr-FR"/>
        </w:rPr>
      </w:pPr>
    </w:p>
    <w:p w:rsidR="00B67A56" w:rsidRPr="00C73365" w:rsidRDefault="00B67A56" w:rsidP="00B67A56">
      <w:pPr>
        <w:pStyle w:val="ListParagraph"/>
        <w:numPr>
          <w:ilvl w:val="3"/>
          <w:numId w:val="9"/>
        </w:numPr>
        <w:outlineLvl w:val="2"/>
        <w:rPr>
          <w:rFonts w:asciiTheme="minorHAnsi" w:hAnsiTheme="minorHAnsi" w:cstheme="minorHAnsi"/>
          <w:lang w:val="fr-FR"/>
        </w:rPr>
      </w:pPr>
      <w:r w:rsidRPr="00C73365">
        <w:rPr>
          <w:rFonts w:asciiTheme="minorHAnsi" w:hAnsiTheme="minorHAnsi" w:cstheme="minorHAnsi"/>
          <w:lang w:val="fr-FR"/>
        </w:rPr>
        <w:t>ABX464 : aperçu des données actuellement disponibles dans l’inflammation</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Des travaux précliniques conduits par la Société dans le cadre du développement d’ABX464 ont permis de constater une expression préférentielle d’un microARN : miR-124. Le miR-124 a été caractérisé comme pouvant avoir un effet anti-inflammatoire, notamment dans les MICI et notamment la </w:t>
      </w:r>
      <w:r w:rsidR="00357A37" w:rsidRPr="00C73365">
        <w:rPr>
          <w:rFonts w:asciiTheme="minorHAnsi" w:hAnsiTheme="minorHAnsi" w:cstheme="minorHAnsi"/>
          <w:lang w:val="fr-FR"/>
        </w:rPr>
        <w:t>rectocolite hémorragique</w:t>
      </w:r>
      <w:r w:rsidRPr="00C73365">
        <w:rPr>
          <w:rFonts w:asciiTheme="minorHAnsi" w:hAnsiTheme="minorHAnsi" w:cstheme="minorHAnsi"/>
          <w:lang w:val="fr-FR"/>
        </w:rPr>
        <w:t>.</w:t>
      </w:r>
    </w:p>
    <w:p w:rsidR="00B67A56" w:rsidRPr="00C73365" w:rsidRDefault="00B67A56" w:rsidP="001E7694">
      <w:pPr>
        <w:pStyle w:val="BodyText"/>
        <w:spacing w:after="120"/>
        <w:rPr>
          <w:rFonts w:asciiTheme="minorHAnsi" w:hAnsiTheme="minorHAnsi" w:cstheme="minorHAnsi"/>
          <w:lang w:val="fr-FR"/>
        </w:rPr>
      </w:pPr>
      <w:r w:rsidRPr="00C73365">
        <w:rPr>
          <w:rFonts w:asciiTheme="minorHAnsi" w:hAnsiTheme="minorHAnsi" w:cstheme="minorHAnsi"/>
          <w:lang w:val="fr-FR"/>
        </w:rPr>
        <w:lastRenderedPageBreak/>
        <w:t>Par ailleurs dans des macrophages, il a été mis en évidence qu’un effet important (x50) de l</w:t>
      </w:r>
      <w:r w:rsidR="004572A0" w:rsidRPr="00C73365">
        <w:rPr>
          <w:rFonts w:asciiTheme="minorHAnsi" w:hAnsiTheme="minorHAnsi" w:cstheme="minorHAnsi"/>
          <w:lang w:val="fr-FR"/>
        </w:rPr>
        <w:t>’</w:t>
      </w:r>
      <w:r w:rsidRPr="00C73365">
        <w:rPr>
          <w:rFonts w:asciiTheme="minorHAnsi" w:hAnsiTheme="minorHAnsi" w:cstheme="minorHAnsi"/>
          <w:lang w:val="fr-FR"/>
        </w:rPr>
        <w:t>expression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IL-22, une cytokine connue pour être un puissant inhibiteur des processus inflammatoires. </w:t>
      </w:r>
    </w:p>
    <w:p w:rsidR="00B67A56" w:rsidRPr="00C73365" w:rsidRDefault="00B67A56" w:rsidP="001E7694">
      <w:pPr>
        <w:pStyle w:val="BodyText"/>
        <w:spacing w:after="120"/>
        <w:rPr>
          <w:rFonts w:asciiTheme="minorHAnsi" w:hAnsiTheme="minorHAnsi" w:cstheme="minorHAnsi"/>
          <w:lang w:val="fr-FR"/>
        </w:rPr>
      </w:pPr>
      <w:r w:rsidRPr="00C73365">
        <w:rPr>
          <w:rFonts w:asciiTheme="minorHAnsi" w:hAnsiTheme="minorHAnsi" w:cstheme="minorHAnsi"/>
          <w:lang w:val="fr-FR"/>
        </w:rPr>
        <w:t>La Société a donc cherché à démonter l’effet d’ABX464 dans un modèle de souris où la colite a été induite par le dextran sulfate de sodium (DSS).  Dans ce modèle, l</w:t>
      </w:r>
      <w:r w:rsidR="004572A0" w:rsidRPr="00C73365">
        <w:rPr>
          <w:rFonts w:asciiTheme="minorHAnsi" w:hAnsiTheme="minorHAnsi" w:cstheme="minorHAnsi"/>
          <w:lang w:val="fr-FR"/>
        </w:rPr>
        <w:t>’</w:t>
      </w:r>
      <w:r w:rsidRPr="00C73365">
        <w:rPr>
          <w:rFonts w:asciiTheme="minorHAnsi" w:hAnsiTheme="minorHAnsi" w:cstheme="minorHAnsi"/>
          <w:lang w:val="fr-FR"/>
        </w:rPr>
        <w:t>inflammation est spécifiquement induite dans le côlon par l</w:t>
      </w:r>
      <w:r w:rsidR="004572A0" w:rsidRPr="00C73365">
        <w:rPr>
          <w:rFonts w:asciiTheme="minorHAnsi" w:hAnsiTheme="minorHAnsi" w:cstheme="minorHAnsi"/>
          <w:lang w:val="fr-FR"/>
        </w:rPr>
        <w:t>’</w:t>
      </w:r>
      <w:r w:rsidRPr="00C73365">
        <w:rPr>
          <w:rFonts w:asciiTheme="minorHAnsi" w:hAnsiTheme="minorHAnsi" w:cstheme="minorHAnsi"/>
          <w:lang w:val="fr-FR"/>
        </w:rPr>
        <w:t>administration de DSS dans l</w:t>
      </w:r>
      <w:r w:rsidR="004572A0" w:rsidRPr="00C73365">
        <w:rPr>
          <w:rFonts w:asciiTheme="minorHAnsi" w:hAnsiTheme="minorHAnsi" w:cstheme="minorHAnsi"/>
          <w:lang w:val="fr-FR"/>
        </w:rPr>
        <w:t>’</w:t>
      </w:r>
      <w:r w:rsidRPr="00C73365">
        <w:rPr>
          <w:rFonts w:asciiTheme="minorHAnsi" w:hAnsiTheme="minorHAnsi" w:cstheme="minorHAnsi"/>
          <w:lang w:val="fr-FR"/>
        </w:rPr>
        <w:t>eau de boisson pendant environ 5-8 jours. ABX464 est administré par voie orale.</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Les résultats de ce modèle montrent que la perte de poids induite par le DSS, un symptôme établi de lésion intestinale, était significativement réduite chez les souris recevant ABX464 (Figure 1). Cette inflammation intestinale induite est habituellement la plus forte 3 jours après la fin du DSS challenge. Il est frappant que le poids des souris traitées par ABX464 soit déjà revenu aux niveaux de prétraitement à ce moment et que les souris affichent des paramètres de maladie, moins de lésions coliques ainsi qu’une diminution de la taille du côlon. Il est important de noter que l’ABX464 n</w:t>
      </w:r>
      <w:r w:rsidR="004572A0" w:rsidRPr="00C73365">
        <w:rPr>
          <w:rFonts w:asciiTheme="minorHAnsi" w:hAnsiTheme="minorHAnsi" w:cstheme="minorHAnsi"/>
          <w:lang w:val="fr-FR"/>
        </w:rPr>
        <w:t>’</w:t>
      </w:r>
      <w:r w:rsidRPr="00C73365">
        <w:rPr>
          <w:rFonts w:asciiTheme="minorHAnsi" w:hAnsiTheme="minorHAnsi" w:cstheme="minorHAnsi"/>
          <w:lang w:val="fr-FR"/>
        </w:rPr>
        <w:t>a pas affecté le poids des souris non exposées au DSS. Il est à noter que l</w:t>
      </w:r>
      <w:r w:rsidR="004572A0" w:rsidRPr="00C73365">
        <w:rPr>
          <w:rFonts w:asciiTheme="minorHAnsi" w:hAnsiTheme="minorHAnsi" w:cstheme="minorHAnsi"/>
          <w:lang w:val="fr-FR"/>
        </w:rPr>
        <w:t>’</w:t>
      </w:r>
      <w:r w:rsidRPr="00C73365">
        <w:rPr>
          <w:rFonts w:asciiTheme="minorHAnsi" w:hAnsiTheme="minorHAnsi" w:cstheme="minorHAnsi"/>
          <w:lang w:val="fr-FR"/>
        </w:rPr>
        <w:t>influence de l</w:t>
      </w:r>
      <w:r w:rsidR="004572A0" w:rsidRPr="00C73365">
        <w:rPr>
          <w:rFonts w:asciiTheme="minorHAnsi" w:hAnsiTheme="minorHAnsi" w:cstheme="minorHAnsi"/>
          <w:lang w:val="fr-FR"/>
        </w:rPr>
        <w:t>’</w:t>
      </w:r>
      <w:r w:rsidRPr="00C73365">
        <w:rPr>
          <w:rFonts w:asciiTheme="minorHAnsi" w:hAnsiTheme="minorHAnsi" w:cstheme="minorHAnsi"/>
          <w:lang w:val="fr-FR"/>
        </w:rPr>
        <w:t>ABX464 sur la colite induite par le DSS a été observée dans des expériences réalisées dans différentes installations animales, suggérant que ce phénomène ne dépend pas d</w:t>
      </w:r>
      <w:r w:rsidR="004572A0" w:rsidRPr="00C73365">
        <w:rPr>
          <w:rFonts w:asciiTheme="minorHAnsi" w:hAnsiTheme="minorHAnsi" w:cstheme="minorHAnsi"/>
          <w:lang w:val="fr-FR"/>
        </w:rPr>
        <w:t>’</w:t>
      </w:r>
      <w:r w:rsidRPr="00C73365">
        <w:rPr>
          <w:rFonts w:asciiTheme="minorHAnsi" w:hAnsiTheme="minorHAnsi" w:cstheme="minorHAnsi"/>
          <w:lang w:val="fr-FR"/>
        </w:rPr>
        <w:t>une flore intestinale particulière.</w:t>
      </w:r>
    </w:p>
    <w:p w:rsidR="00B67A56" w:rsidRPr="00C73365" w:rsidRDefault="00B67A56" w:rsidP="006A4FB1">
      <w:pPr>
        <w:jc w:val="center"/>
        <w:rPr>
          <w:rFonts w:asciiTheme="minorHAnsi" w:hAnsiTheme="minorHAnsi" w:cstheme="minorHAnsi"/>
          <w:szCs w:val="20"/>
          <w:lang w:val="fr-FR"/>
        </w:rPr>
      </w:pPr>
      <w:r w:rsidRPr="00C73365">
        <w:rPr>
          <w:rFonts w:asciiTheme="minorHAnsi" w:hAnsiTheme="minorHAnsi" w:cstheme="minorHAnsi"/>
          <w:noProof/>
          <w:szCs w:val="20"/>
          <w:lang w:val="fr-FR" w:eastAsia="fr-FR"/>
        </w:rPr>
        <w:drawing>
          <wp:inline distT="0" distB="0" distL="0" distR="0" wp14:anchorId="334FF128" wp14:editId="1CE36539">
            <wp:extent cx="3302000" cy="2157181"/>
            <wp:effectExtent l="0" t="0" r="0" b="0"/>
            <wp:docPr id="258" name="Image 258" descr="C:\Users\pgineste\Documents\Capture 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pgineste\Documents\Capture X.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7658" cy="2187009"/>
                    </a:xfrm>
                    <a:prstGeom prst="rect">
                      <a:avLst/>
                    </a:prstGeom>
                    <a:noFill/>
                    <a:ln>
                      <a:noFill/>
                    </a:ln>
                  </pic:spPr>
                </pic:pic>
              </a:graphicData>
            </a:graphic>
          </wp:inline>
        </w:drawing>
      </w:r>
    </w:p>
    <w:p w:rsidR="00B67A56" w:rsidRPr="00C73365" w:rsidRDefault="00B67A56" w:rsidP="004572A0">
      <w:pPr>
        <w:pStyle w:val="BodyText"/>
        <w:rPr>
          <w:rFonts w:asciiTheme="minorHAnsi" w:hAnsiTheme="minorHAnsi" w:cstheme="minorHAnsi"/>
          <w:i/>
          <w:lang w:val="fr-FR"/>
        </w:rPr>
      </w:pPr>
      <w:r w:rsidRPr="00C73365">
        <w:rPr>
          <w:rFonts w:asciiTheme="minorHAnsi" w:hAnsiTheme="minorHAnsi" w:cstheme="minorHAnsi"/>
          <w:i/>
          <w:lang w:val="fr-FR"/>
        </w:rPr>
        <w:t xml:space="preserve">Source : </w:t>
      </w:r>
      <w:r w:rsidR="00EF089C" w:rsidRPr="00C73365">
        <w:rPr>
          <w:rFonts w:asciiTheme="minorHAnsi" w:hAnsiTheme="minorHAnsi" w:cstheme="minorHAnsi"/>
          <w:i/>
          <w:lang w:val="fr-FR"/>
        </w:rPr>
        <w:t>ABIVAX</w:t>
      </w:r>
    </w:p>
    <w:p w:rsidR="00B67A56" w:rsidRPr="00C73365" w:rsidRDefault="00B67A56" w:rsidP="004572A0">
      <w:pPr>
        <w:pStyle w:val="BodyText"/>
        <w:rPr>
          <w:rFonts w:asciiTheme="minorHAnsi" w:hAnsiTheme="minorHAnsi" w:cstheme="minorHAnsi"/>
          <w:i/>
          <w:lang w:val="fr-FR"/>
        </w:rPr>
      </w:pPr>
      <w:r w:rsidRPr="00C73365">
        <w:rPr>
          <w:rFonts w:asciiTheme="minorHAnsi" w:hAnsiTheme="minorHAnsi" w:cstheme="minorHAnsi"/>
          <w:i/>
          <w:lang w:val="fr-FR"/>
        </w:rPr>
        <w:t xml:space="preserve">Figure 1 : Le traitement ABX464 supprime la gravité de la maladie dans la colite induite par le DSS. (A) des souris soumises au protocole de colite DSS présenté et traitée par voie orale une fois par jour par ABX464 (50 mg / kg) dans de la MethyCellulose (MC) ou de la MethyCellulose uniquement. </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La société a également montré que la molécule ABX464 induisait également un effet prolongé après arrêt du traitement dans le modèle de souris où la colite a été induite par le dextran sulfate de sodium (DSS) (Figure 2, groupe 2).</w:t>
      </w:r>
    </w:p>
    <w:p w:rsidR="00B67A56" w:rsidRPr="00C73365" w:rsidRDefault="00B67A56" w:rsidP="00B67A56">
      <w:pPr>
        <w:rPr>
          <w:rFonts w:asciiTheme="minorHAnsi" w:hAnsiTheme="minorHAnsi" w:cstheme="minorHAnsi"/>
          <w:szCs w:val="20"/>
          <w:lang w:val="fr-FR"/>
        </w:rPr>
      </w:pPr>
    </w:p>
    <w:p w:rsidR="00B67A56" w:rsidRPr="00C73365" w:rsidRDefault="00B67A56" w:rsidP="006A4FB1">
      <w:pPr>
        <w:jc w:val="center"/>
        <w:rPr>
          <w:rFonts w:asciiTheme="minorHAnsi" w:hAnsiTheme="minorHAnsi" w:cstheme="minorHAnsi"/>
          <w:szCs w:val="20"/>
          <w:lang w:val="fr-FR"/>
        </w:rPr>
      </w:pPr>
      <w:r w:rsidRPr="00C73365">
        <w:rPr>
          <w:rFonts w:asciiTheme="minorHAnsi" w:hAnsiTheme="minorHAnsi" w:cstheme="minorHAnsi"/>
          <w:noProof/>
          <w:lang w:val="fr-FR" w:eastAsia="fr-FR"/>
        </w:rPr>
        <w:drawing>
          <wp:inline distT="0" distB="0" distL="0" distR="0" wp14:anchorId="5AAEFF71" wp14:editId="068A73B0">
            <wp:extent cx="3878580" cy="2514949"/>
            <wp:effectExtent l="0" t="0" r="762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83848" cy="2518365"/>
                    </a:xfrm>
                    <a:prstGeom prst="rect">
                      <a:avLst/>
                    </a:prstGeom>
                    <a:noFill/>
                    <a:ln>
                      <a:noFill/>
                    </a:ln>
                  </pic:spPr>
                </pic:pic>
              </a:graphicData>
            </a:graphic>
          </wp:inline>
        </w:drawing>
      </w:r>
    </w:p>
    <w:p w:rsidR="00B67A56" w:rsidRPr="00C73365" w:rsidRDefault="00B67A56" w:rsidP="004572A0">
      <w:pPr>
        <w:pStyle w:val="BodyText"/>
        <w:rPr>
          <w:rFonts w:asciiTheme="minorHAnsi" w:hAnsiTheme="minorHAnsi" w:cstheme="minorHAnsi"/>
          <w:i/>
          <w:lang w:val="fr-FR"/>
        </w:rPr>
      </w:pPr>
      <w:r w:rsidRPr="00C73365">
        <w:rPr>
          <w:rFonts w:asciiTheme="minorHAnsi" w:hAnsiTheme="minorHAnsi" w:cstheme="minorHAnsi"/>
          <w:i/>
          <w:lang w:val="fr-FR"/>
        </w:rPr>
        <w:t xml:space="preserve">Figure 2 : Le traitement ABX464 supprime la gravité de la maladie dans la colite induite par le DSS. (groupe 1) des souris soumises au protocole de colite DSS présenté et traitée par voie orale une fois par jour par ABX464 (50 mg / kg) dans de </w:t>
      </w:r>
      <w:r w:rsidRPr="00C73365">
        <w:rPr>
          <w:rFonts w:asciiTheme="minorHAnsi" w:hAnsiTheme="minorHAnsi" w:cstheme="minorHAnsi"/>
          <w:i/>
          <w:lang w:val="fr-FR"/>
        </w:rPr>
        <w:lastRenderedPageBreak/>
        <w:t>la MethyCellulose (MC) (groupe 2) des souris soumises au protocole de colite DSS présenté et traitée par voie orale une fois par jour par ABX464 (50 mg / kg) dans de la MethyCellulose (MC) pendant 9 jours alors que le traitement DSS est maintenu pendant65 jours (groupe 3)groupe contrôle avec  de la MethyCellulose uniquement</w:t>
      </w:r>
    </w:p>
    <w:p w:rsidR="00B67A56" w:rsidRPr="00C73365" w:rsidRDefault="00B67A56" w:rsidP="00B67A56">
      <w:pPr>
        <w:pStyle w:val="ListParagraph"/>
        <w:numPr>
          <w:ilvl w:val="3"/>
          <w:numId w:val="9"/>
        </w:numPr>
        <w:outlineLvl w:val="2"/>
        <w:rPr>
          <w:rFonts w:asciiTheme="minorHAnsi" w:hAnsiTheme="minorHAnsi" w:cstheme="minorHAnsi"/>
          <w:sz w:val="18"/>
          <w:szCs w:val="22"/>
          <w:lang w:val="fr-FR"/>
        </w:rPr>
      </w:pPr>
      <w:r w:rsidRPr="00C73365">
        <w:rPr>
          <w:rFonts w:asciiTheme="minorHAnsi" w:hAnsiTheme="minorHAnsi" w:cstheme="minorHAnsi"/>
          <w:lang w:val="fr-FR"/>
        </w:rPr>
        <w:t>Essais Cliniques - MICI</w:t>
      </w:r>
    </w:p>
    <w:p w:rsidR="00B67A56" w:rsidRPr="00C73365" w:rsidRDefault="00B67A56" w:rsidP="00B67A56">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De nouvelles données précliniques sur ABX464 ont démontré que la molécule a un fort effet anti-inflammatoire. Dans les macrophages, il a été mis en évidence que cet effet était attribuable à une multiplication par 50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expression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IL-22, une cytokine connue pour être un puissant inhibiteur des processus inflammatoires.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inflammation est un élément clé des pathologies observées, non seulement dans le VIH, mais également dans de nombreuses autres maladies telles que la Maladie Inflammatoire Chronique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Intestin (MICI) ou Inflammatory Bowel Disease (IBD) (dont la Rectocolite Hémorragique et la maladie de Crohn). ABX464 a démontré un effet durable sur la prévention de symptômes typiquement observés dans le cas de colite inflammatoire (dont des modifications histologiques) dans des modèles murins de maladie inflammatoire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intestin.</w:t>
      </w:r>
    </w:p>
    <w:p w:rsidR="00B67A56" w:rsidRPr="00C73365" w:rsidRDefault="00B67A56" w:rsidP="00B67A56">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Sur la base de ces résultats, la société a initié au cours du troisième trimestre 2017 une étude clinique de preuve de concept </w:t>
      </w:r>
      <w:r w:rsidRPr="00C73365">
        <w:rPr>
          <w:rFonts w:asciiTheme="minorHAnsi" w:hAnsiTheme="minorHAnsi" w:cstheme="minorHAnsi"/>
          <w:b/>
          <w:szCs w:val="20"/>
          <w:lang w:val="fr-FR"/>
        </w:rPr>
        <w:t>ABX464-101</w:t>
      </w:r>
      <w:r w:rsidRPr="00C73365">
        <w:rPr>
          <w:rFonts w:asciiTheme="minorHAnsi" w:hAnsiTheme="minorHAnsi" w:cstheme="minorHAnsi"/>
          <w:szCs w:val="20"/>
          <w:lang w:val="fr-FR"/>
        </w:rPr>
        <w:t xml:space="preserve">. Cette étude est conduite dans 8 pays européens (France, Belgique, Allemagne, Espagne, Autriche, République tchèque, Hongrie et Pologne) et évalue d’activité et la tolérance d’ABX464 à la dose de 50mg par jour administré durant 8 semaines chez des patients atteints d’une rectocolite hémorragique active et résistante aux traitements actuels. Le premier patient a été inclus en </w:t>
      </w:r>
      <w:r w:rsidR="00E73A7C">
        <w:rPr>
          <w:rFonts w:asciiTheme="minorHAnsi" w:hAnsiTheme="minorHAnsi" w:cstheme="minorHAnsi"/>
          <w:szCs w:val="20"/>
          <w:lang w:val="fr-FR"/>
        </w:rPr>
        <w:t>n</w:t>
      </w:r>
      <w:r w:rsidRPr="00C73365">
        <w:rPr>
          <w:rFonts w:asciiTheme="minorHAnsi" w:hAnsiTheme="minorHAnsi" w:cstheme="minorHAnsi"/>
          <w:szCs w:val="20"/>
          <w:lang w:val="fr-FR"/>
        </w:rPr>
        <w:t>ovembre 2017.</w:t>
      </w:r>
    </w:p>
    <w:p w:rsidR="00B67A56" w:rsidRPr="00C73365" w:rsidRDefault="00B67A56" w:rsidP="00B67A56">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Les résultats de cette étude clinique d’induction sont attendus en </w:t>
      </w:r>
      <w:r w:rsidR="00E73A7C">
        <w:rPr>
          <w:rFonts w:asciiTheme="minorHAnsi" w:hAnsiTheme="minorHAnsi" w:cstheme="minorHAnsi"/>
          <w:szCs w:val="20"/>
          <w:lang w:val="fr-FR"/>
        </w:rPr>
        <w:t>septembre</w:t>
      </w:r>
      <w:r w:rsidRPr="00C73365">
        <w:rPr>
          <w:rFonts w:asciiTheme="minorHAnsi" w:hAnsiTheme="minorHAnsi" w:cstheme="minorHAnsi"/>
          <w:szCs w:val="20"/>
          <w:lang w:val="fr-FR"/>
        </w:rPr>
        <w:t xml:space="preserve"> 2018.</w:t>
      </w:r>
    </w:p>
    <w:p w:rsidR="00B67A56" w:rsidRPr="00C73365" w:rsidRDefault="00B67A56" w:rsidP="00B67A56">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Cette étude d’induction est suivie d’une étude de maintenance offrant la possibilité aux patients qui le souhaitent d’être traité par </w:t>
      </w:r>
      <w:r w:rsidR="00E32CFE" w:rsidRPr="00C73365">
        <w:rPr>
          <w:rFonts w:asciiTheme="minorHAnsi" w:hAnsiTheme="minorHAnsi" w:cstheme="minorHAnsi"/>
          <w:szCs w:val="20"/>
          <w:lang w:val="fr-FR"/>
        </w:rPr>
        <w:t>ABX464</w:t>
      </w:r>
      <w:r w:rsidRPr="00C73365">
        <w:rPr>
          <w:rFonts w:asciiTheme="minorHAnsi" w:hAnsiTheme="minorHAnsi" w:cstheme="minorHAnsi"/>
          <w:szCs w:val="20"/>
          <w:lang w:val="fr-FR"/>
        </w:rPr>
        <w:t xml:space="preserve"> pendant une période d’une année </w:t>
      </w:r>
      <w:r w:rsidRPr="00C73365">
        <w:rPr>
          <w:rFonts w:asciiTheme="minorHAnsi" w:hAnsiTheme="minorHAnsi" w:cstheme="minorHAnsi"/>
          <w:b/>
          <w:szCs w:val="20"/>
          <w:lang w:val="fr-FR"/>
        </w:rPr>
        <w:t>ABX464-102</w:t>
      </w:r>
      <w:r w:rsidRPr="00C73365">
        <w:rPr>
          <w:rFonts w:asciiTheme="minorHAnsi" w:hAnsiTheme="minorHAnsi" w:cstheme="minorHAnsi"/>
          <w:szCs w:val="20"/>
          <w:lang w:val="fr-FR"/>
        </w:rPr>
        <w:t>. Cette étude évaluera la tolérance et l’efficacité au long cours d’</w:t>
      </w:r>
      <w:r w:rsidR="00E32CFE" w:rsidRPr="00C73365">
        <w:rPr>
          <w:rFonts w:asciiTheme="minorHAnsi" w:hAnsiTheme="minorHAnsi" w:cstheme="minorHAnsi"/>
          <w:szCs w:val="20"/>
          <w:lang w:val="fr-FR"/>
        </w:rPr>
        <w:t>ABX464</w:t>
      </w:r>
      <w:r w:rsidRPr="00C73365">
        <w:rPr>
          <w:rFonts w:asciiTheme="minorHAnsi" w:hAnsiTheme="minorHAnsi" w:cstheme="minorHAnsi"/>
          <w:szCs w:val="20"/>
          <w:lang w:val="fr-FR"/>
        </w:rPr>
        <w:t xml:space="preserve"> chez patients atteints d’une rectocolite hémorragique active et résistante aux traitements actuels.</w:t>
      </w:r>
    </w:p>
    <w:p w:rsidR="001219E1" w:rsidRPr="00C73365" w:rsidRDefault="00B67A56" w:rsidP="00B67A56">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szCs w:val="20"/>
          <w:lang w:val="fr-FR"/>
        </w:rPr>
        <w:t xml:space="preserve">Les résultats de cette étude clinique de maintenance sont attendus </w:t>
      </w:r>
      <w:r w:rsidR="00D34EC6" w:rsidRPr="00C73365">
        <w:rPr>
          <w:rFonts w:asciiTheme="minorHAnsi" w:hAnsiTheme="minorHAnsi" w:cstheme="minorHAnsi"/>
          <w:szCs w:val="20"/>
          <w:lang w:val="fr-FR"/>
        </w:rPr>
        <w:t>mi-</w:t>
      </w:r>
      <w:r w:rsidRPr="00C73365">
        <w:rPr>
          <w:rFonts w:asciiTheme="minorHAnsi" w:hAnsiTheme="minorHAnsi" w:cstheme="minorHAnsi"/>
          <w:szCs w:val="20"/>
          <w:lang w:val="fr-FR"/>
        </w:rPr>
        <w:t>2019.</w:t>
      </w:r>
    </w:p>
    <w:p w:rsidR="001219E1" w:rsidRPr="00C73365" w:rsidRDefault="001219E1" w:rsidP="00B67A56">
      <w:pPr>
        <w:pStyle w:val="NormalWeb"/>
        <w:shd w:val="clear" w:color="auto" w:fill="FFFFFF"/>
        <w:spacing w:before="0" w:beforeAutospacing="0" w:after="120" w:afterAutospacing="0"/>
        <w:rPr>
          <w:rFonts w:asciiTheme="minorHAnsi" w:hAnsiTheme="minorHAnsi" w:cstheme="minorHAnsi"/>
          <w:szCs w:val="20"/>
          <w:lang w:val="fr-FR"/>
        </w:rPr>
      </w:pPr>
      <w:r w:rsidRPr="00C73365">
        <w:rPr>
          <w:rFonts w:asciiTheme="minorHAnsi" w:hAnsiTheme="minorHAnsi" w:cstheme="minorHAnsi"/>
          <w:lang w:val="fr-FR"/>
        </w:rPr>
        <w:t xml:space="preserve">En conclusion sur l’ABX464 au titre des deux indications thérapeutiques développées,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estime que les résultats obtenus au cours des études successives de phase IIa et IIb dans le HIV ainsi que l</w:t>
      </w:r>
      <w:r w:rsidRPr="00C73365">
        <w:rPr>
          <w:rFonts w:asciiTheme="minorHAnsi" w:hAnsiTheme="minorHAnsi" w:cstheme="minorHAnsi"/>
          <w:szCs w:val="20"/>
          <w:lang w:val="fr-FR"/>
        </w:rPr>
        <w:t xml:space="preserve">es résultats cliniques de phase IIa positifs dans l’indication rectocolite hémorragique </w:t>
      </w:r>
      <w:r w:rsidRPr="00C73365">
        <w:rPr>
          <w:rFonts w:asciiTheme="minorHAnsi" w:hAnsiTheme="minorHAnsi" w:cstheme="minorHAnsi"/>
          <w:lang w:val="fr-FR"/>
        </w:rPr>
        <w:t>permettraient d’accélérer la conclusion d’un accord de licence, ou de co-développement et de co-commercialisation, avant l’entrée en phase III, avec une ou plusieurs grandes sociétés pharmaceutiques ou des sociétés de biotechnologie actives dans le domaine du VIH et/ou des MICI.</w:t>
      </w:r>
    </w:p>
    <w:p w:rsidR="00B67A56" w:rsidRPr="00C73365" w:rsidRDefault="00B67A56" w:rsidP="006A4FB1">
      <w:pPr>
        <w:pStyle w:val="ListParagraph"/>
        <w:numPr>
          <w:ilvl w:val="2"/>
          <w:numId w:val="9"/>
        </w:numPr>
        <w:outlineLvl w:val="2"/>
        <w:rPr>
          <w:rFonts w:asciiTheme="minorHAnsi" w:hAnsiTheme="minorHAnsi" w:cstheme="minorHAnsi"/>
          <w:b/>
          <w:color w:val="7030A0"/>
          <w:sz w:val="22"/>
          <w:szCs w:val="22"/>
          <w:lang w:val="fr-FR"/>
        </w:rPr>
      </w:pPr>
      <w:r w:rsidRPr="00C73365">
        <w:rPr>
          <w:rFonts w:asciiTheme="minorHAnsi" w:hAnsiTheme="minorHAnsi" w:cstheme="minorHAnsi"/>
          <w:b/>
          <w:color w:val="7030A0"/>
          <w:sz w:val="22"/>
          <w:szCs w:val="22"/>
          <w:lang w:val="fr-FR"/>
        </w:rPr>
        <w:t>Autres virus</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Outre des antiviraux contre le VIH, la plate-forme antivirale d’</w:t>
      </w:r>
      <w:r w:rsidR="00EF089C" w:rsidRPr="00C73365">
        <w:rPr>
          <w:rFonts w:asciiTheme="minorHAnsi" w:eastAsiaTheme="minorHAnsi" w:hAnsiTheme="minorHAnsi" w:cstheme="minorHAnsi"/>
          <w:szCs w:val="20"/>
          <w:lang w:val="fr-FR"/>
        </w:rPr>
        <w:t>ABIVAX</w:t>
      </w:r>
      <w:r w:rsidRPr="00C73365">
        <w:rPr>
          <w:rFonts w:asciiTheme="minorHAnsi" w:eastAsiaTheme="minorHAnsi" w:hAnsiTheme="minorHAnsi" w:cstheme="minorHAnsi"/>
          <w:szCs w:val="20"/>
          <w:lang w:val="fr-FR"/>
        </w:rPr>
        <w:t xml:space="preserve"> a le potentiel de générer des antiviraux efficaces contre un large éventail de maladies virales. Certains de ces composés sont actuellement à l</w:t>
      </w:r>
      <w:r w:rsidR="004572A0" w:rsidRPr="00C73365">
        <w:rPr>
          <w:rFonts w:asciiTheme="minorHAnsi" w:eastAsiaTheme="minorHAnsi" w:hAnsiTheme="minorHAnsi" w:cstheme="minorHAnsi"/>
          <w:szCs w:val="20"/>
          <w:lang w:val="fr-FR"/>
        </w:rPr>
        <w:t>’</w:t>
      </w:r>
      <w:r w:rsidRPr="00C73365">
        <w:rPr>
          <w:rFonts w:asciiTheme="minorHAnsi" w:eastAsiaTheme="minorHAnsi" w:hAnsiTheme="minorHAnsi" w:cstheme="minorHAnsi"/>
          <w:szCs w:val="20"/>
          <w:lang w:val="fr-FR"/>
        </w:rPr>
        <w:t>étude pour évaluer leur intérêt éventuel dans le traitement de certaines pathologies importantes. Un crible de la chimiothèque a donc été réalisé sur plusieurs virus (Virus Respiratoire Syncitial, Dengue et Influenza) afin d’identifier de molécules potentiellement actives.</w:t>
      </w:r>
    </w:p>
    <w:p w:rsidR="00B67A56" w:rsidRPr="00C73365" w:rsidRDefault="00B67A56" w:rsidP="00B67A56">
      <w:pPr>
        <w:pStyle w:val="NormalWeb"/>
        <w:numPr>
          <w:ilvl w:val="3"/>
          <w:numId w:val="9"/>
        </w:numPr>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Virus respiratoire syncitial (VRS)</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Le VRS est la plus commune des infections respiratoires des nouveaux nés et entraine entre 50 000 et 75 000 mort par an. Il existe un fort besoin médical, en effet, aux USA, le VRS est responsable de 60 000 hospitalisations par an d’enfants de moins de cinq ans et de 177 000 hospitalisations et 14 000 décès de personnes âgées de plus de 65 ans.</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Aujourd’hui, il n’existe aucun vaccin. Le seul traitement disponible est Synagis, un anticorps monoclonal dont le coût prohibitif en réduit son utilisation et la limite au nouveau-né.</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Le crible de la chimiothèque a permis d’identifier 13 composés capables d’inhiber le virus à plus de 50%.. Des expériences de doses réponses ont permis de définir des concentrations inhibitrices 50 (IC50) sur 6 de ces composés, les IC50 se situant entre 1 et 5 µM.</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Le projet et passé en phase d’optimisation de hit. A ce jour, nous avons réussi à augmenter l’efficacité des composé</w:t>
      </w:r>
      <w:r w:rsidR="00D34EC6" w:rsidRPr="00C73365">
        <w:rPr>
          <w:rFonts w:asciiTheme="minorHAnsi" w:eastAsiaTheme="minorHAnsi" w:hAnsiTheme="minorHAnsi" w:cstheme="minorHAnsi"/>
          <w:szCs w:val="20"/>
          <w:lang w:val="fr-FR"/>
        </w:rPr>
        <w:t>s</w:t>
      </w:r>
      <w:r w:rsidRPr="00C73365">
        <w:rPr>
          <w:rFonts w:asciiTheme="minorHAnsi" w:eastAsiaTheme="minorHAnsi" w:hAnsiTheme="minorHAnsi" w:cstheme="minorHAnsi"/>
          <w:szCs w:val="20"/>
          <w:lang w:val="fr-FR"/>
        </w:rPr>
        <w:t xml:space="preserve"> jusqu’à des IC50 de 0,2 µM.</w:t>
      </w:r>
    </w:p>
    <w:p w:rsidR="00B67A56" w:rsidRPr="00C73365" w:rsidRDefault="00B67A56" w:rsidP="00B67A56">
      <w:pPr>
        <w:pStyle w:val="NormalWeb"/>
        <w:numPr>
          <w:ilvl w:val="3"/>
          <w:numId w:val="9"/>
        </w:numPr>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Virus de la Dengue</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La Dengue est une pathologie causée par un flavivirus transmis à l’Homme par le moustique Aedes. Il existe quatre sous-types du virus. La pathologie est principalement présente dans les régions tropicales et subtropicales du monde mais se propage de plus en plus en raison de la migration des moustiques. Environ 390 million de cas sont recensés par an dans le monde.</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lastRenderedPageBreak/>
        <w:t>Les symptômes de la Dengue se traduisent par un syndrome de type grippal (fièvre, grippal) pouvant évoluer vers des complications potentiellement mortelles dans le cas d’une dengue sévère.</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A ce jour, il n’existe pas de traitement spécifique. Seul un vaccin, Dengvaxia; du laboratoire Sanofi Pasteur, est disponible dans quelques pays. Cependant ce vaccin ne présente qu’une protection partielle contre la maladie et pourrait présenter un risque de Dengue sévère.</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 xml:space="preserve">Un crible de la chimiothèque </w:t>
      </w:r>
      <w:r w:rsidR="00EF089C" w:rsidRPr="00C73365">
        <w:rPr>
          <w:rFonts w:asciiTheme="minorHAnsi" w:eastAsiaTheme="minorHAnsi" w:hAnsiTheme="minorHAnsi" w:cstheme="minorHAnsi"/>
          <w:szCs w:val="20"/>
          <w:lang w:val="fr-FR"/>
        </w:rPr>
        <w:t>ABIVAX</w:t>
      </w:r>
      <w:r w:rsidRPr="00C73365">
        <w:rPr>
          <w:rFonts w:asciiTheme="minorHAnsi" w:eastAsiaTheme="minorHAnsi" w:hAnsiTheme="minorHAnsi" w:cstheme="minorHAnsi"/>
          <w:szCs w:val="20"/>
          <w:lang w:val="fr-FR"/>
        </w:rPr>
        <w:t xml:space="preserve"> a permis d’identifier des molécules actives sur les sous-types 2 du virus Dengue. Ces molécules ont ensuite été testées sur les 3 autres sous-types du virus.</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Les résultats ont montré que toutes les molécules étaient efficaces sur au moins deux sous-types et que deux molécules étaient actives sur les quatre sous-types. Ces molécules sont passées en phase d’optimisation afin d’obtenir une molécule « lead ».</w:t>
      </w:r>
    </w:p>
    <w:p w:rsidR="00B67A56" w:rsidRPr="00C73365" w:rsidRDefault="00B67A56" w:rsidP="00B67A56">
      <w:pPr>
        <w:pStyle w:val="NormalWeb"/>
        <w:numPr>
          <w:ilvl w:val="3"/>
          <w:numId w:val="9"/>
        </w:numPr>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Virus de la grippe</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Le virus de la grippe est un virus à brin d’ARN positif de la famille des Orthomyxoviridae.  Il y a près d’un milliard de cas par an et 250 000 à 500 000 morts par an dans le monde.</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Les symptômes se caractérisent par de fièvre, maux de gorge, toux et fatigue et complications pouvant entrainer la mort (la grippe est la seconde cause de mortalité en France par maladie infectieuse)</w:t>
      </w:r>
    </w:p>
    <w:p w:rsidR="00B67A56"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En ce qui concerne les traitements actuels, il existe des traitements antiviraux : Inhibiteurs de neuraminidases (Tamiflu, Relenza), leur efficacité varie selon les souches avec une augmentation du taux de résistance. Aujourd’hui le meilleur moyen de prévention reste le vaccin mais son efficacité dépend de la souche responsable de l’épidémie.</w:t>
      </w:r>
    </w:p>
    <w:p w:rsidR="00AD5D7C" w:rsidRPr="00C73365" w:rsidRDefault="00B67A56" w:rsidP="00B67A56">
      <w:pPr>
        <w:pStyle w:val="NormalWeb"/>
        <w:shd w:val="clear" w:color="auto" w:fill="FFFFFF"/>
        <w:spacing w:before="0" w:beforeAutospacing="0" w:after="120" w:afterAutospacing="0"/>
        <w:rPr>
          <w:rFonts w:asciiTheme="minorHAnsi" w:eastAsiaTheme="minorHAnsi" w:hAnsiTheme="minorHAnsi" w:cstheme="minorHAnsi"/>
          <w:szCs w:val="20"/>
          <w:lang w:val="fr-FR"/>
        </w:rPr>
      </w:pPr>
      <w:r w:rsidRPr="00C73365">
        <w:rPr>
          <w:rFonts w:asciiTheme="minorHAnsi" w:eastAsiaTheme="minorHAnsi" w:hAnsiTheme="minorHAnsi" w:cstheme="minorHAnsi"/>
          <w:szCs w:val="20"/>
          <w:lang w:val="fr-FR"/>
        </w:rPr>
        <w:t xml:space="preserve">Le crible de la chimiothèque </w:t>
      </w:r>
      <w:r w:rsidR="00EF089C" w:rsidRPr="00C73365">
        <w:rPr>
          <w:rFonts w:asciiTheme="minorHAnsi" w:eastAsiaTheme="minorHAnsi" w:hAnsiTheme="minorHAnsi" w:cstheme="minorHAnsi"/>
          <w:szCs w:val="20"/>
          <w:lang w:val="fr-FR"/>
        </w:rPr>
        <w:t>ABIVAX</w:t>
      </w:r>
      <w:r w:rsidRPr="00C73365">
        <w:rPr>
          <w:rFonts w:asciiTheme="minorHAnsi" w:eastAsiaTheme="minorHAnsi" w:hAnsiTheme="minorHAnsi" w:cstheme="minorHAnsi"/>
          <w:szCs w:val="20"/>
          <w:lang w:val="fr-FR"/>
        </w:rPr>
        <w:t xml:space="preserve"> a permis d’identifier 13 molécules capables d’inhiber le virus à plus de 50% à une concentration de 10 µM. Ces 13 molécules ont ensuite été testées à plusieurs concentrations dans des expériences de dose-réponse. Les résultats ont permis d’identifier deux composés possédant des IC50 inférieures à 3 µM. Ces composés vont passer en phase d’optimisation pendant l’année 2018.</w:t>
      </w:r>
    </w:p>
    <w:p w:rsidR="00B67A56" w:rsidRPr="00C73365" w:rsidRDefault="00B67A56" w:rsidP="00B67A56">
      <w:pPr>
        <w:pStyle w:val="ListParagraph"/>
        <w:numPr>
          <w:ilvl w:val="2"/>
          <w:numId w:val="9"/>
        </w:numPr>
        <w:outlineLvl w:val="2"/>
        <w:rPr>
          <w:rFonts w:asciiTheme="minorHAnsi" w:hAnsiTheme="minorHAnsi" w:cstheme="minorHAnsi"/>
          <w:b/>
          <w:color w:val="7030A0"/>
          <w:sz w:val="22"/>
          <w:szCs w:val="22"/>
          <w:lang w:val="fr-FR"/>
        </w:rPr>
      </w:pPr>
      <w:r w:rsidRPr="00C73365">
        <w:rPr>
          <w:rFonts w:asciiTheme="minorHAnsi" w:hAnsiTheme="minorHAnsi" w:cstheme="minorHAnsi"/>
          <w:b/>
          <w:color w:val="7030A0"/>
          <w:sz w:val="22"/>
          <w:szCs w:val="22"/>
          <w:lang w:val="fr-FR"/>
        </w:rPr>
        <w:t>ABX196, un puissant stimulateur immunitaire</w:t>
      </w:r>
    </w:p>
    <w:p w:rsidR="00B67A56" w:rsidRDefault="00B67A56" w:rsidP="00B67A56">
      <w:pPr>
        <w:pStyle w:val="ListParagraph"/>
        <w:numPr>
          <w:ilvl w:val="3"/>
          <w:numId w:val="9"/>
        </w:numPr>
        <w:outlineLvl w:val="2"/>
        <w:rPr>
          <w:rFonts w:asciiTheme="minorHAnsi" w:hAnsiTheme="minorHAnsi" w:cstheme="minorHAnsi"/>
          <w:lang w:val="fr-FR"/>
        </w:rPr>
      </w:pPr>
      <w:r w:rsidRPr="00C73365">
        <w:rPr>
          <w:rFonts w:asciiTheme="minorHAnsi" w:hAnsiTheme="minorHAnsi" w:cstheme="minorHAnsi"/>
          <w:lang w:val="fr-FR"/>
        </w:rPr>
        <w:t>Importance des stimulateurs immunitaires</w:t>
      </w:r>
    </w:p>
    <w:p w:rsidR="007B378C" w:rsidRDefault="007B378C" w:rsidP="007B378C">
      <w:pPr>
        <w:pStyle w:val="ConmainL5"/>
        <w:widowControl w:val="0"/>
        <w:tabs>
          <w:tab w:val="num" w:pos="567"/>
        </w:tabs>
        <w:spacing w:after="0"/>
        <w:outlineLvl w:val="9"/>
        <w:rPr>
          <w:rFonts w:asciiTheme="minorHAnsi" w:hAnsiTheme="minorHAnsi" w:cstheme="minorHAnsi"/>
          <w:i w:val="0"/>
          <w:lang w:val="fr-FR"/>
        </w:rPr>
      </w:pPr>
      <w:r w:rsidRPr="00C73365">
        <w:rPr>
          <w:rFonts w:asciiTheme="minorHAnsi" w:hAnsiTheme="minorHAnsi" w:cstheme="minorHAnsi"/>
          <w:i w:val="0"/>
          <w:lang w:val="fr-FR"/>
        </w:rPr>
        <w:t>Les stimulateurs immunitaires sont des composés capables de moduler les réponses immunitaires</w:t>
      </w:r>
      <w:r>
        <w:rPr>
          <w:rFonts w:asciiTheme="minorHAnsi" w:hAnsiTheme="minorHAnsi" w:cstheme="minorHAnsi"/>
          <w:i w:val="0"/>
          <w:lang w:val="fr-FR"/>
        </w:rPr>
        <w:t xml:space="preserve">. Il existe deux catégories : </w:t>
      </w:r>
    </w:p>
    <w:p w:rsidR="007B378C" w:rsidRDefault="007B378C" w:rsidP="00434C49">
      <w:pPr>
        <w:pStyle w:val="ConmainL5"/>
        <w:widowControl w:val="0"/>
        <w:numPr>
          <w:ilvl w:val="0"/>
          <w:numId w:val="111"/>
        </w:numPr>
        <w:spacing w:after="0"/>
        <w:outlineLvl w:val="9"/>
        <w:rPr>
          <w:rFonts w:asciiTheme="minorHAnsi" w:hAnsiTheme="minorHAnsi" w:cstheme="minorHAnsi"/>
          <w:i w:val="0"/>
          <w:lang w:val="fr-FR"/>
        </w:rPr>
      </w:pPr>
      <w:r>
        <w:rPr>
          <w:rFonts w:asciiTheme="minorHAnsi" w:hAnsiTheme="minorHAnsi" w:cstheme="minorHAnsi"/>
          <w:i w:val="0"/>
          <w:lang w:val="fr-FR"/>
        </w:rPr>
        <w:t xml:space="preserve">Les stimulateurs spécifiques qui induisent une spécificité antigénique comme les vaccins ou les antigènes </w:t>
      </w:r>
    </w:p>
    <w:p w:rsidR="007B378C" w:rsidRDefault="007B378C" w:rsidP="00434C49">
      <w:pPr>
        <w:pStyle w:val="ConmainL5"/>
        <w:widowControl w:val="0"/>
        <w:numPr>
          <w:ilvl w:val="0"/>
          <w:numId w:val="111"/>
        </w:numPr>
        <w:spacing w:after="0"/>
        <w:outlineLvl w:val="9"/>
        <w:rPr>
          <w:rFonts w:asciiTheme="minorHAnsi" w:hAnsiTheme="minorHAnsi" w:cstheme="minorHAnsi"/>
          <w:i w:val="0"/>
          <w:lang w:val="fr-FR"/>
        </w:rPr>
      </w:pPr>
      <w:r>
        <w:rPr>
          <w:rFonts w:asciiTheme="minorHAnsi" w:hAnsiTheme="minorHAnsi" w:cstheme="minorHAnsi"/>
          <w:i w:val="0"/>
          <w:lang w:val="fr-FR"/>
        </w:rPr>
        <w:t xml:space="preserve">Les stimulateurs non spécifiques qui agissent sans aucune restriction antigénique mais qui stimulent la réponse à un antigène (adjuvants) ou stimulent les autres acteurs du système immunitaire sans présence d’antigène.  </w:t>
      </w:r>
    </w:p>
    <w:p w:rsidR="007B378C" w:rsidRDefault="007B378C" w:rsidP="007B378C">
      <w:pPr>
        <w:pStyle w:val="ConmainL5"/>
        <w:widowControl w:val="0"/>
        <w:tabs>
          <w:tab w:val="num" w:pos="567"/>
        </w:tabs>
        <w:spacing w:after="0"/>
        <w:outlineLvl w:val="9"/>
        <w:rPr>
          <w:rFonts w:asciiTheme="minorHAnsi" w:hAnsiTheme="minorHAnsi" w:cstheme="minorHAnsi"/>
          <w:i w:val="0"/>
          <w:lang w:val="fr-FR"/>
        </w:rPr>
      </w:pPr>
    </w:p>
    <w:p w:rsidR="007B378C" w:rsidRDefault="007B378C" w:rsidP="007B378C">
      <w:pPr>
        <w:pStyle w:val="ConmainL5"/>
        <w:widowControl w:val="0"/>
        <w:tabs>
          <w:tab w:val="num" w:pos="567"/>
        </w:tabs>
        <w:spacing w:after="0"/>
        <w:outlineLvl w:val="9"/>
        <w:rPr>
          <w:rFonts w:asciiTheme="minorHAnsi" w:hAnsiTheme="minorHAnsi" w:cstheme="minorHAnsi"/>
          <w:i w:val="0"/>
          <w:lang w:val="fr-FR"/>
        </w:rPr>
      </w:pPr>
      <w:r>
        <w:rPr>
          <w:rFonts w:asciiTheme="minorHAnsi" w:hAnsiTheme="minorHAnsi" w:cstheme="minorHAnsi"/>
          <w:i w:val="0"/>
          <w:lang w:val="fr-FR"/>
        </w:rPr>
        <w:t>Ces dernières années, les stimulateurs immunitaires sont très utilisés dans les immunothérapies du cancer. Effectivement, augmenter la réponse immunitaire cellulaire contre les cellules tumorales présente plusieurs avantages sur les thérapies ciblées ou classiques, notamment la génération d’une population de cellules mémoires circulante pouvant attaquer les métastases. Cependant une réponse immunitaire effectrice nécessite l’activation d’un nombre suffisant de cellules T spécifiques, mais aussi un contrôle des molécules inhibitrices sur exprimées dans les cellules cancéreuses et/ou immunitaires. L’utilisation des anticorps anti-PD-1 sont maintenant acceptés dans le traitement de certains cancers. Toutefois, le succès de ces thérapies reste discret. Il y a donc un besoin évident de thérapies combinées pour augmenter l’effet des ces molécules.</w:t>
      </w:r>
    </w:p>
    <w:p w:rsidR="007B378C" w:rsidRDefault="007B378C" w:rsidP="007B378C">
      <w:pPr>
        <w:pStyle w:val="ConmainL5"/>
        <w:widowControl w:val="0"/>
        <w:tabs>
          <w:tab w:val="num" w:pos="567"/>
        </w:tabs>
        <w:spacing w:after="0"/>
        <w:outlineLvl w:val="9"/>
        <w:rPr>
          <w:rFonts w:asciiTheme="minorHAnsi" w:hAnsiTheme="minorHAnsi" w:cstheme="minorHAnsi"/>
          <w:i w:val="0"/>
          <w:lang w:val="fr-FR"/>
        </w:rPr>
      </w:pPr>
    </w:p>
    <w:p w:rsidR="007B378C" w:rsidRPr="00C73365" w:rsidRDefault="007B378C" w:rsidP="007B378C">
      <w:pPr>
        <w:pStyle w:val="ConmainL5"/>
        <w:widowControl w:val="0"/>
        <w:tabs>
          <w:tab w:val="num" w:pos="567"/>
        </w:tabs>
        <w:spacing w:after="0"/>
        <w:outlineLvl w:val="9"/>
        <w:rPr>
          <w:rFonts w:asciiTheme="minorHAnsi" w:hAnsiTheme="minorHAnsi" w:cstheme="minorHAnsi"/>
          <w:i w:val="0"/>
          <w:spacing w:val="-4"/>
          <w:lang w:val="fr-FR"/>
        </w:rPr>
      </w:pPr>
      <w:r w:rsidRPr="00C73365">
        <w:rPr>
          <w:rFonts w:asciiTheme="minorHAnsi" w:hAnsiTheme="minorHAnsi" w:cstheme="minorHAnsi"/>
          <w:i w:val="0"/>
          <w:lang w:val="fr-FR"/>
        </w:rPr>
        <w:t xml:space="preserve">En réponse à ces besoins, ABIVAX a développé une plateforme technologique visant à proposer des simulateurs immunitaires. Certains des composés présentent la propriété de maximiser l’efficacité des vaccins, notamment en vue d’une utilisation dans le domaine des vaccins thérapeutiques. </w:t>
      </w:r>
      <w:r>
        <w:rPr>
          <w:rFonts w:asciiTheme="minorHAnsi" w:hAnsiTheme="minorHAnsi" w:cstheme="minorHAnsi"/>
          <w:i w:val="0"/>
          <w:lang w:val="fr-FR"/>
        </w:rPr>
        <w:t xml:space="preserve">Alors que certains composés peuvent être utilisés pour augmenter ou ré-activer la réponse immunitaire. </w:t>
      </w:r>
      <w:r w:rsidRPr="00C73365">
        <w:rPr>
          <w:rFonts w:asciiTheme="minorHAnsi" w:hAnsiTheme="minorHAnsi" w:cstheme="minorHAnsi"/>
          <w:i w:val="0"/>
          <w:lang w:val="fr-FR"/>
        </w:rPr>
        <w:t xml:space="preserve">Cette plateforme technologique représente un domaine de recherche et de développement extrêmement complexe. L’action des stimulateurs immunitaires est le résultat de </w:t>
      </w:r>
      <w:r w:rsidRPr="00C73365">
        <w:rPr>
          <w:rFonts w:asciiTheme="minorHAnsi" w:hAnsiTheme="minorHAnsi" w:cstheme="minorHAnsi"/>
          <w:i w:val="0"/>
          <w:spacing w:val="-4"/>
          <w:lang w:val="fr-FR"/>
        </w:rPr>
        <w:t>paramètres multifactoriels, les réponses immunes obtenues dépendent entre autres de l’antigène associé, de leur formulation, des voies d’administrations utilisées et bien entendu de l’indication visée.</w:t>
      </w:r>
    </w:p>
    <w:p w:rsidR="007B378C" w:rsidRPr="007B378C" w:rsidRDefault="007B378C" w:rsidP="007B378C">
      <w:pPr>
        <w:spacing w:after="0"/>
        <w:rPr>
          <w:lang w:val="fr-FR"/>
        </w:rPr>
      </w:pPr>
    </w:p>
    <w:p w:rsidR="00B67A56" w:rsidRDefault="00B67A56" w:rsidP="007B378C">
      <w:pPr>
        <w:pStyle w:val="ListParagraph"/>
        <w:numPr>
          <w:ilvl w:val="3"/>
          <w:numId w:val="9"/>
        </w:numPr>
        <w:spacing w:after="0"/>
        <w:outlineLvl w:val="2"/>
        <w:rPr>
          <w:rFonts w:asciiTheme="minorHAnsi" w:hAnsiTheme="minorHAnsi" w:cstheme="minorHAnsi"/>
          <w:lang w:val="fr-FR"/>
        </w:rPr>
      </w:pPr>
      <w:r w:rsidRPr="00C73365">
        <w:rPr>
          <w:rFonts w:asciiTheme="minorHAnsi" w:hAnsiTheme="minorHAnsi" w:cstheme="minorHAnsi"/>
          <w:lang w:val="fr-FR"/>
        </w:rPr>
        <w:t>Thérapies actuelles et concurrentes</w:t>
      </w:r>
    </w:p>
    <w:p w:rsidR="007B378C" w:rsidRDefault="007B378C" w:rsidP="007B378C">
      <w:pPr>
        <w:rPr>
          <w:lang w:val="fr-FR"/>
        </w:rPr>
      </w:pPr>
    </w:p>
    <w:p w:rsidR="001A6708" w:rsidRDefault="007B378C" w:rsidP="001A6708">
      <w:pPr>
        <w:spacing w:after="0"/>
        <w:rPr>
          <w:lang w:val="fr-FR"/>
        </w:rPr>
      </w:pPr>
      <w:r w:rsidRPr="007B378C">
        <w:rPr>
          <w:lang w:val="fr-FR"/>
        </w:rPr>
        <w:t xml:space="preserve">Les thérapies cancéreuses en développement s’orientent de plus en plus vers des combinaisons de molécules, en particulier anti-PD1 an association avec une autre molécule, afin d’accroitre l’efficacité des traitements. </w:t>
      </w:r>
    </w:p>
    <w:p w:rsidR="001A6708" w:rsidRDefault="001A6708" w:rsidP="001A6708">
      <w:pPr>
        <w:spacing w:after="0"/>
        <w:rPr>
          <w:lang w:val="fr-FR"/>
        </w:rPr>
      </w:pPr>
    </w:p>
    <w:p w:rsidR="007B378C" w:rsidRDefault="007B378C" w:rsidP="001A6708">
      <w:pPr>
        <w:spacing w:after="0"/>
        <w:rPr>
          <w:lang w:val="fr-FR"/>
        </w:rPr>
      </w:pPr>
      <w:r w:rsidRPr="007B378C">
        <w:rPr>
          <w:lang w:val="fr-FR"/>
        </w:rPr>
        <w:lastRenderedPageBreak/>
        <w:t>ABX196 est une molécule « First in Class » qui s’inscrit dans cette logique et ne connait pas de concurrent en développement avec un mécanisme d’action identique ou similaire.</w:t>
      </w:r>
    </w:p>
    <w:p w:rsidR="001A6708" w:rsidRPr="00C73365" w:rsidRDefault="001A6708" w:rsidP="001A6708">
      <w:pPr>
        <w:spacing w:after="0"/>
        <w:rPr>
          <w:lang w:val="fr-FR"/>
        </w:rPr>
      </w:pPr>
    </w:p>
    <w:p w:rsidR="00B67A56" w:rsidRPr="00C73365" w:rsidRDefault="00B67A56" w:rsidP="00B67A56">
      <w:pPr>
        <w:pStyle w:val="ListParagraph"/>
        <w:numPr>
          <w:ilvl w:val="3"/>
          <w:numId w:val="9"/>
        </w:numPr>
        <w:outlineLvl w:val="2"/>
        <w:rPr>
          <w:rFonts w:asciiTheme="minorHAnsi" w:hAnsiTheme="minorHAnsi" w:cstheme="minorHAnsi"/>
          <w:b/>
          <w:szCs w:val="20"/>
          <w:lang w:val="fr-FR" w:eastAsia="fr-FR"/>
        </w:rPr>
      </w:pPr>
      <w:r w:rsidRPr="00C73365">
        <w:rPr>
          <w:rFonts w:asciiTheme="minorHAnsi" w:hAnsiTheme="minorHAnsi" w:cstheme="minorHAnsi"/>
          <w:lang w:val="fr-FR"/>
        </w:rPr>
        <w:t xml:space="preserve">La technologie </w:t>
      </w:r>
      <w:r w:rsidR="00EF089C" w:rsidRPr="00C73365">
        <w:rPr>
          <w:rFonts w:asciiTheme="minorHAnsi" w:hAnsiTheme="minorHAnsi" w:cstheme="minorHAnsi"/>
          <w:lang w:val="fr-FR"/>
        </w:rPr>
        <w:t>ABIVAX</w:t>
      </w:r>
    </w:p>
    <w:p w:rsidR="00B67A56" w:rsidRPr="00C73365" w:rsidRDefault="00EF089C"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ABIVAX</w:t>
      </w:r>
      <w:r w:rsidR="00B67A56" w:rsidRPr="00C73365">
        <w:rPr>
          <w:rFonts w:asciiTheme="minorHAnsi" w:hAnsiTheme="minorHAnsi" w:cstheme="minorHAnsi"/>
          <w:i w:val="0"/>
          <w:lang w:val="fr-FR"/>
        </w:rPr>
        <w:t xml:space="preserve"> a développé une plateforme de stimulateurs immunitaires, basée sur la synthèse d</w:t>
      </w:r>
      <w:r w:rsidR="004572A0" w:rsidRPr="00C73365">
        <w:rPr>
          <w:rFonts w:asciiTheme="minorHAnsi" w:hAnsiTheme="minorHAnsi" w:cstheme="minorHAnsi"/>
          <w:i w:val="0"/>
          <w:lang w:val="fr-FR"/>
        </w:rPr>
        <w:t>’</w:t>
      </w:r>
      <w:r w:rsidR="00B67A56" w:rsidRPr="00C73365">
        <w:rPr>
          <w:rFonts w:asciiTheme="minorHAnsi" w:hAnsiTheme="minorHAnsi" w:cstheme="minorHAnsi"/>
          <w:i w:val="0"/>
          <w:lang w:val="fr-FR"/>
        </w:rPr>
        <w:t>une famille de glycolipides disposant de propriétés très spécifiques d</w:t>
      </w:r>
      <w:r w:rsidR="004572A0" w:rsidRPr="00C73365">
        <w:rPr>
          <w:rFonts w:asciiTheme="minorHAnsi" w:hAnsiTheme="minorHAnsi" w:cstheme="minorHAnsi"/>
          <w:i w:val="0"/>
          <w:lang w:val="fr-FR"/>
        </w:rPr>
        <w:t>’</w:t>
      </w:r>
      <w:r w:rsidR="00B67A56" w:rsidRPr="00C73365">
        <w:rPr>
          <w:rFonts w:asciiTheme="minorHAnsi" w:hAnsiTheme="minorHAnsi" w:cstheme="minorHAnsi"/>
          <w:i w:val="0"/>
          <w:lang w:val="fr-FR"/>
        </w:rPr>
        <w:t>activation des lymphocytes T. Ces glycolipides sont basés sur la chimie des α-galactosylcéramides (α GalCer). Ces substances stimulent de manière spécifique des lymphocytes régulateurs appelés cellules NKT, qui jouent un rôle clef dans l’activation et la régulation des réponses immunes. Cette famille d</w:t>
      </w:r>
      <w:r w:rsidR="004572A0" w:rsidRPr="00C73365">
        <w:rPr>
          <w:rFonts w:asciiTheme="minorHAnsi" w:hAnsiTheme="minorHAnsi" w:cstheme="minorHAnsi"/>
          <w:i w:val="0"/>
          <w:lang w:val="fr-FR"/>
        </w:rPr>
        <w:t>’</w:t>
      </w:r>
      <w:r w:rsidR="00B67A56" w:rsidRPr="00C73365">
        <w:rPr>
          <w:rFonts w:asciiTheme="minorHAnsi" w:hAnsiTheme="minorHAnsi" w:cstheme="minorHAnsi"/>
          <w:i w:val="0"/>
          <w:lang w:val="fr-FR"/>
        </w:rPr>
        <w:t xml:space="preserve">agonistes iNKT a le potentiel de devenir des adjuvants pour les vaccins thérapeutiques et prophylactiques. </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Un large éventail de plus de 200 analogues issus du composé parent αGalCer a été synthétisé afin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évaluer leur potentiel en tant qu</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adjuvant, notamment leur capacité à stimuler une puissante réponse des lymphocytes T cytotoxiques. Sur la base des résultats de ce processus de sélection, un premier composé, ABX196, a été choisi pour une évaluation plus poussée. Des études chez la souris ont montré qu</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ABX196 disposait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un profil optimal pour activer in vitro et in vivo les cellules NKT, B et T. Il possède l</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avantage supplémentaire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être soluble en solutions injectables. ABX196 a fait l</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objet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une très large évaluation sur de multiples indications (en maladies infectieuses et en oncologie).</w:t>
      </w:r>
    </w:p>
    <w:p w:rsidR="00B67A56" w:rsidRPr="00C73365" w:rsidRDefault="00B67A56" w:rsidP="00B67A56">
      <w:pPr>
        <w:pStyle w:val="ListParagraph"/>
        <w:numPr>
          <w:ilvl w:val="3"/>
          <w:numId w:val="9"/>
        </w:numPr>
        <w:outlineLvl w:val="2"/>
        <w:rPr>
          <w:rFonts w:asciiTheme="minorHAnsi" w:hAnsiTheme="minorHAnsi" w:cstheme="minorHAnsi"/>
          <w:lang w:val="fr-FR"/>
        </w:rPr>
      </w:pPr>
      <w:r w:rsidRPr="00C73365">
        <w:rPr>
          <w:rFonts w:asciiTheme="minorHAnsi" w:hAnsiTheme="minorHAnsi" w:cstheme="minorHAnsi"/>
          <w:lang w:val="fr-FR"/>
        </w:rPr>
        <w:t>Aperçu des données actuellement disponibles</w:t>
      </w:r>
    </w:p>
    <w:p w:rsidR="00B67A56" w:rsidRPr="00C73365" w:rsidRDefault="00B67A56" w:rsidP="00434C49">
      <w:pPr>
        <w:pStyle w:val="ListParagraph"/>
        <w:numPr>
          <w:ilvl w:val="0"/>
          <w:numId w:val="78"/>
        </w:num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Données précliniques</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tableau ci-dessous résume les données obtenues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pour ces indications, dans les modèles primates et rongeurs, avec utilisation de différentes voies d</w:t>
      </w:r>
      <w:r w:rsidR="004572A0" w:rsidRPr="00C73365">
        <w:rPr>
          <w:rFonts w:asciiTheme="minorHAnsi" w:hAnsiTheme="minorHAnsi" w:cstheme="minorHAnsi"/>
          <w:lang w:val="fr-FR"/>
        </w:rPr>
        <w:t>’</w:t>
      </w:r>
      <w:r w:rsidRPr="00C73365">
        <w:rPr>
          <w:rFonts w:asciiTheme="minorHAnsi" w:hAnsiTheme="minorHAnsi" w:cstheme="minorHAnsi"/>
          <w:lang w:val="fr-FR"/>
        </w:rPr>
        <w:t>administration. Ces études de preuve de concept ont mis en évidence des résultats positifs dans ces différentes indications, allant jusqu’aux tests de survie. Les antigènes utilisés dans ces études étaient de nature</w:t>
      </w:r>
      <w:r w:rsidR="00793D85" w:rsidRPr="00C73365">
        <w:rPr>
          <w:rFonts w:asciiTheme="minorHAnsi" w:hAnsiTheme="minorHAnsi" w:cstheme="minorHAnsi"/>
          <w:lang w:val="fr-FR"/>
        </w:rPr>
        <w:t>s</w:t>
      </w:r>
      <w:r w:rsidRPr="00C73365">
        <w:rPr>
          <w:rFonts w:asciiTheme="minorHAnsi" w:hAnsiTheme="minorHAnsi" w:cstheme="minorHAnsi"/>
          <w:lang w:val="fr-FR"/>
        </w:rPr>
        <w:t xml:space="preserve"> très différentes, allant de peptides, de protéines recombinantes jusqu’aux virus fractionnés. Ces données mettent particulièrement en lumière la capacité de notre adjuvant à induire une réponse immune contre des antigènes aux propriétés très différentes, indiquant le caractère « universel » du composé </w:t>
      </w:r>
      <w:r w:rsidR="00E32CFE" w:rsidRPr="00C73365">
        <w:rPr>
          <w:rFonts w:asciiTheme="minorHAnsi" w:hAnsiTheme="minorHAnsi" w:cstheme="minorHAnsi"/>
          <w:lang w:val="fr-FR"/>
        </w:rPr>
        <w:t>ABX196</w:t>
      </w:r>
      <w:r w:rsidRPr="00C73365">
        <w:rPr>
          <w:rFonts w:asciiTheme="minorHAnsi" w:hAnsiTheme="minorHAnsi" w:cstheme="minorHAnsi"/>
          <w:lang w:val="fr-FR"/>
        </w:rPr>
        <w:t xml:space="preserve">. </w:t>
      </w:r>
    </w:p>
    <w:p w:rsidR="00B67A56" w:rsidRPr="00C73365" w:rsidRDefault="00E32CFE" w:rsidP="004572A0">
      <w:pPr>
        <w:pStyle w:val="BodyText"/>
        <w:rPr>
          <w:rFonts w:asciiTheme="minorHAnsi" w:hAnsiTheme="minorHAnsi" w:cstheme="minorHAnsi"/>
          <w:b/>
          <w:lang w:val="fr-FR"/>
        </w:rPr>
      </w:pPr>
      <w:r w:rsidRPr="00C73365">
        <w:rPr>
          <w:rFonts w:asciiTheme="minorHAnsi" w:hAnsiTheme="minorHAnsi" w:cstheme="minorHAnsi"/>
          <w:b/>
          <w:lang w:val="fr-FR"/>
        </w:rPr>
        <w:t>ABX196</w:t>
      </w:r>
      <w:r w:rsidR="00B67A56" w:rsidRPr="00C73365">
        <w:rPr>
          <w:rFonts w:asciiTheme="minorHAnsi" w:hAnsiTheme="minorHAnsi" w:cstheme="minorHAnsi"/>
          <w:b/>
          <w:lang w:val="fr-FR"/>
        </w:rPr>
        <w:t xml:space="preserve"> : Preuve de concept dans de multiples indications, contre différents antigènes et différentes voies d</w:t>
      </w:r>
      <w:r w:rsidR="004572A0" w:rsidRPr="00C73365">
        <w:rPr>
          <w:rFonts w:asciiTheme="minorHAnsi" w:hAnsiTheme="minorHAnsi" w:cstheme="minorHAnsi"/>
          <w:b/>
          <w:lang w:val="fr-FR"/>
        </w:rPr>
        <w:t>’</w:t>
      </w:r>
      <w:r w:rsidR="00B67A56" w:rsidRPr="00C73365">
        <w:rPr>
          <w:rFonts w:asciiTheme="minorHAnsi" w:hAnsiTheme="minorHAnsi" w:cstheme="minorHAnsi"/>
          <w:b/>
          <w:lang w:val="fr-FR"/>
        </w:rPr>
        <w:t>administration dans les modèles souris et singe</w:t>
      </w:r>
    </w:p>
    <w:tbl>
      <w:tblPr>
        <w:tblW w:w="9365" w:type="dxa"/>
        <w:tblCellMar>
          <w:left w:w="70" w:type="dxa"/>
          <w:right w:w="70" w:type="dxa"/>
        </w:tblCellMar>
        <w:tblLook w:val="04A0" w:firstRow="1" w:lastRow="0" w:firstColumn="1" w:lastColumn="0" w:noHBand="0" w:noVBand="1"/>
      </w:tblPr>
      <w:tblGrid>
        <w:gridCol w:w="2117"/>
        <w:gridCol w:w="2565"/>
        <w:gridCol w:w="799"/>
        <w:gridCol w:w="2850"/>
        <w:gridCol w:w="1034"/>
      </w:tblGrid>
      <w:tr w:rsidR="00B67A56" w:rsidRPr="00C73365" w:rsidTr="009C5D68">
        <w:trPr>
          <w:trHeight w:val="278"/>
        </w:trPr>
        <w:tc>
          <w:tcPr>
            <w:tcW w:w="2117"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Indication</w:t>
            </w:r>
          </w:p>
        </w:tc>
        <w:tc>
          <w:tcPr>
            <w:tcW w:w="2565"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Antigène</w:t>
            </w:r>
          </w:p>
        </w:tc>
        <w:tc>
          <w:tcPr>
            <w:tcW w:w="799"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Voie</w:t>
            </w:r>
          </w:p>
        </w:tc>
        <w:tc>
          <w:tcPr>
            <w:tcW w:w="2850"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Immunogénicité</w:t>
            </w:r>
          </w:p>
        </w:tc>
        <w:tc>
          <w:tcPr>
            <w:tcW w:w="1034" w:type="dxa"/>
            <w:tcBorders>
              <w:top w:val="single" w:sz="12" w:space="0" w:color="7030A0"/>
              <w:left w:val="nil"/>
              <w:bottom w:val="single" w:sz="8"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Résultats</w:t>
            </w:r>
          </w:p>
        </w:tc>
      </w:tr>
      <w:tr w:rsidR="00B67A56" w:rsidRPr="00C73365" w:rsidTr="009C5D68">
        <w:trPr>
          <w:trHeight w:val="201"/>
        </w:trPr>
        <w:tc>
          <w:tcPr>
            <w:tcW w:w="2117"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Grippe saisonnière</w:t>
            </w:r>
          </w:p>
        </w:tc>
        <w:tc>
          <w:tcPr>
            <w:tcW w:w="2565" w:type="dxa"/>
            <w:tcBorders>
              <w:top w:val="nil"/>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Virus fractionné</w:t>
            </w:r>
          </w:p>
        </w:tc>
        <w:tc>
          <w:tcPr>
            <w:tcW w:w="799"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im, sc</w:t>
            </w:r>
          </w:p>
        </w:tc>
        <w:tc>
          <w:tcPr>
            <w:tcW w:w="2850" w:type="dxa"/>
            <w:tcBorders>
              <w:top w:val="nil"/>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(Ab/T)</w:t>
            </w:r>
          </w:p>
        </w:tc>
        <w:tc>
          <w:tcPr>
            <w:tcW w:w="1034"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104"/>
        </w:trPr>
        <w:tc>
          <w:tcPr>
            <w:tcW w:w="2117"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ou peptide</w:t>
            </w:r>
          </w:p>
        </w:tc>
        <w:tc>
          <w:tcPr>
            <w:tcW w:w="799"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Test de survie</w:t>
            </w:r>
          </w:p>
        </w:tc>
        <w:tc>
          <w:tcPr>
            <w:tcW w:w="1034"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rsidTr="009C5D68">
        <w:trPr>
          <w:trHeight w:val="304"/>
        </w:trPr>
        <w:tc>
          <w:tcPr>
            <w:tcW w:w="2117"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Grippe </w:t>
            </w:r>
          </w:p>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pandémique H5N1</w:t>
            </w:r>
          </w:p>
        </w:tc>
        <w:tc>
          <w:tcPr>
            <w:tcW w:w="2565" w:type="dxa"/>
            <w:tcBorders>
              <w:top w:val="nil"/>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Virus fractionné (saisonnier)</w:t>
            </w:r>
          </w:p>
        </w:tc>
        <w:tc>
          <w:tcPr>
            <w:tcW w:w="799"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im, sc</w:t>
            </w:r>
          </w:p>
        </w:tc>
        <w:tc>
          <w:tcPr>
            <w:tcW w:w="2850" w:type="dxa"/>
            <w:tcBorders>
              <w:top w:val="nil"/>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(Ab/T)</w:t>
            </w:r>
          </w:p>
        </w:tc>
        <w:tc>
          <w:tcPr>
            <w:tcW w:w="1034"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104"/>
        </w:trPr>
        <w:tc>
          <w:tcPr>
            <w:tcW w:w="2117"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ou peptides</w:t>
            </w:r>
          </w:p>
        </w:tc>
        <w:tc>
          <w:tcPr>
            <w:tcW w:w="799"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Test de survie</w:t>
            </w:r>
          </w:p>
        </w:tc>
        <w:tc>
          <w:tcPr>
            <w:tcW w:w="1034"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rsidTr="009C5D68">
        <w:trPr>
          <w:trHeight w:val="201"/>
        </w:trPr>
        <w:tc>
          <w:tcPr>
            <w:tcW w:w="2117"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Encéphalite japonaise</w:t>
            </w:r>
          </w:p>
        </w:tc>
        <w:tc>
          <w:tcPr>
            <w:tcW w:w="2565"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Virus inactivé purifié (VIP)</w:t>
            </w:r>
          </w:p>
        </w:tc>
        <w:tc>
          <w:tcPr>
            <w:tcW w:w="799"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Im</w:t>
            </w:r>
          </w:p>
        </w:tc>
        <w:tc>
          <w:tcPr>
            <w:tcW w:w="2850" w:type="dxa"/>
            <w:tcBorders>
              <w:top w:val="nil"/>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w:t>
            </w:r>
          </w:p>
        </w:tc>
        <w:tc>
          <w:tcPr>
            <w:tcW w:w="1034"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201"/>
        </w:trPr>
        <w:tc>
          <w:tcPr>
            <w:tcW w:w="2117"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799"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Neutralisation Ab</w:t>
            </w:r>
          </w:p>
        </w:tc>
        <w:tc>
          <w:tcPr>
            <w:tcW w:w="1034"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rsidTr="009C5D68">
        <w:trPr>
          <w:trHeight w:val="201"/>
        </w:trPr>
        <w:tc>
          <w:tcPr>
            <w:tcW w:w="2117"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Herpès génital</w:t>
            </w:r>
          </w:p>
        </w:tc>
        <w:tc>
          <w:tcPr>
            <w:tcW w:w="2565"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 (gD)</w:t>
            </w:r>
          </w:p>
        </w:tc>
        <w:tc>
          <w:tcPr>
            <w:tcW w:w="799"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In</w:t>
            </w:r>
          </w:p>
        </w:tc>
        <w:tc>
          <w:tcPr>
            <w:tcW w:w="2850" w:type="dxa"/>
            <w:tcBorders>
              <w:top w:val="single" w:sz="4" w:space="0" w:color="7030A0"/>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w:t>
            </w:r>
          </w:p>
        </w:tc>
        <w:tc>
          <w:tcPr>
            <w:tcW w:w="1034"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104"/>
        </w:trPr>
        <w:tc>
          <w:tcPr>
            <w:tcW w:w="2117"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799"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Test de survie</w:t>
            </w:r>
          </w:p>
        </w:tc>
        <w:tc>
          <w:tcPr>
            <w:tcW w:w="1034"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rsidTr="009C5D68">
        <w:trPr>
          <w:trHeight w:val="201"/>
        </w:trPr>
        <w:tc>
          <w:tcPr>
            <w:tcW w:w="2117"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Chlamydia</w:t>
            </w:r>
          </w:p>
        </w:tc>
        <w:tc>
          <w:tcPr>
            <w:tcW w:w="2565" w:type="dxa"/>
            <w:tcBorders>
              <w:top w:val="single" w:sz="4" w:space="0" w:color="7030A0"/>
              <w:left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 (rCopN) :</w:t>
            </w:r>
          </w:p>
        </w:tc>
        <w:tc>
          <w:tcPr>
            <w:tcW w:w="799" w:type="dxa"/>
            <w:vMerge w:val="restart"/>
            <w:tcBorders>
              <w:top w:val="single" w:sz="4" w:space="0" w:color="7030A0"/>
              <w:left w:val="nil"/>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Im</w:t>
            </w:r>
          </w:p>
        </w:tc>
        <w:tc>
          <w:tcPr>
            <w:tcW w:w="2850" w:type="dxa"/>
            <w:tcBorders>
              <w:top w:val="single" w:sz="4" w:space="0" w:color="7030A0"/>
              <w:left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(T)</w:t>
            </w:r>
          </w:p>
        </w:tc>
        <w:tc>
          <w:tcPr>
            <w:tcW w:w="1034"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304"/>
        </w:trPr>
        <w:tc>
          <w:tcPr>
            <w:tcW w:w="2117" w:type="dxa"/>
            <w:vMerge/>
            <w:tcBorders>
              <w:top w:val="single" w:sz="4" w:space="0" w:color="7030A0"/>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tcBorders>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 chlamydiale externe N</w:t>
            </w:r>
          </w:p>
        </w:tc>
        <w:tc>
          <w:tcPr>
            <w:tcW w:w="799" w:type="dxa"/>
            <w:vMerge/>
            <w:tcBorders>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rPr>
            </w:pPr>
            <w:r w:rsidRPr="00C73365">
              <w:rPr>
                <w:rFonts w:asciiTheme="minorHAnsi" w:hAnsiTheme="minorHAnsi" w:cstheme="minorHAnsi"/>
                <w:color w:val="000000"/>
                <w:szCs w:val="20"/>
                <w:lang w:val="fr-FR"/>
              </w:rPr>
              <w:t>Réponse immune (T)</w:t>
            </w:r>
          </w:p>
        </w:tc>
        <w:tc>
          <w:tcPr>
            <w:tcW w:w="1034" w:type="dxa"/>
            <w:vMerge/>
            <w:tcBorders>
              <w:top w:val="single" w:sz="4" w:space="0" w:color="7030A0"/>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rPr>
            </w:pPr>
          </w:p>
        </w:tc>
      </w:tr>
      <w:tr w:rsidR="00B67A56" w:rsidRPr="00C73365" w:rsidTr="009C5D68">
        <w:trPr>
          <w:trHeight w:val="201"/>
        </w:trPr>
        <w:tc>
          <w:tcPr>
            <w:tcW w:w="2117"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RSV</w:t>
            </w:r>
          </w:p>
        </w:tc>
        <w:tc>
          <w:tcPr>
            <w:tcW w:w="2565"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w:t>
            </w:r>
          </w:p>
        </w:tc>
        <w:tc>
          <w:tcPr>
            <w:tcW w:w="799"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In</w:t>
            </w: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w:t>
            </w:r>
          </w:p>
        </w:tc>
        <w:tc>
          <w:tcPr>
            <w:tcW w:w="1034"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201"/>
        </w:trPr>
        <w:tc>
          <w:tcPr>
            <w:tcW w:w="2117"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Cancer (Mélanome)</w:t>
            </w:r>
          </w:p>
        </w:tc>
        <w:tc>
          <w:tcPr>
            <w:tcW w:w="2565"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Peptide</w:t>
            </w:r>
          </w:p>
        </w:tc>
        <w:tc>
          <w:tcPr>
            <w:tcW w:w="799"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iv, sc, im</w:t>
            </w:r>
          </w:p>
        </w:tc>
        <w:tc>
          <w:tcPr>
            <w:tcW w:w="2850" w:type="dxa"/>
            <w:tcBorders>
              <w:top w:val="nil"/>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(T)</w:t>
            </w:r>
          </w:p>
        </w:tc>
        <w:tc>
          <w:tcPr>
            <w:tcW w:w="1034"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201"/>
        </w:trPr>
        <w:tc>
          <w:tcPr>
            <w:tcW w:w="2117"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799"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Régression tumorale</w:t>
            </w:r>
          </w:p>
        </w:tc>
        <w:tc>
          <w:tcPr>
            <w:tcW w:w="1034"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rsidTr="009C5D68">
        <w:trPr>
          <w:trHeight w:val="201"/>
        </w:trPr>
        <w:tc>
          <w:tcPr>
            <w:tcW w:w="2117"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Cancer (VPH)</w:t>
            </w:r>
          </w:p>
        </w:tc>
        <w:tc>
          <w:tcPr>
            <w:tcW w:w="2565"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w:t>
            </w:r>
          </w:p>
        </w:tc>
        <w:tc>
          <w:tcPr>
            <w:tcW w:w="799"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sc, im</w:t>
            </w:r>
          </w:p>
        </w:tc>
        <w:tc>
          <w:tcPr>
            <w:tcW w:w="2850" w:type="dxa"/>
            <w:tcBorders>
              <w:top w:val="nil"/>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(T)</w:t>
            </w:r>
          </w:p>
        </w:tc>
        <w:tc>
          <w:tcPr>
            <w:tcW w:w="1034" w:type="dxa"/>
            <w:vMerge w:val="restart"/>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201"/>
        </w:trPr>
        <w:tc>
          <w:tcPr>
            <w:tcW w:w="2117"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799"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Régression tumorale</w:t>
            </w:r>
          </w:p>
        </w:tc>
        <w:tc>
          <w:tcPr>
            <w:tcW w:w="1034"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rsidTr="009C5D68">
        <w:trPr>
          <w:trHeight w:val="272"/>
        </w:trPr>
        <w:tc>
          <w:tcPr>
            <w:tcW w:w="2117" w:type="dxa"/>
            <w:tcBorders>
              <w:top w:val="single" w:sz="4" w:space="0" w:color="7030A0"/>
              <w:left w:val="nil"/>
              <w:bottom w:val="single" w:sz="4" w:space="0" w:color="7030A0"/>
              <w:right w:val="nil"/>
            </w:tcBorders>
            <w:shd w:val="clear" w:color="auto" w:fill="auto"/>
            <w:vAlign w:val="center"/>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b/>
                <w:bCs/>
                <w:color w:val="000000"/>
                <w:szCs w:val="20"/>
                <w:lang w:val="fr-FR"/>
              </w:rPr>
              <w:t>Indication</w:t>
            </w:r>
          </w:p>
        </w:tc>
        <w:tc>
          <w:tcPr>
            <w:tcW w:w="2565" w:type="dxa"/>
            <w:tcBorders>
              <w:top w:val="single" w:sz="4" w:space="0" w:color="7030A0"/>
              <w:left w:val="nil"/>
              <w:bottom w:val="single" w:sz="4" w:space="0" w:color="7030A0"/>
              <w:right w:val="nil"/>
            </w:tcBorders>
            <w:shd w:val="clear" w:color="auto" w:fill="auto"/>
            <w:vAlign w:val="center"/>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b/>
                <w:bCs/>
                <w:color w:val="000000"/>
                <w:szCs w:val="20"/>
                <w:lang w:val="fr-FR"/>
              </w:rPr>
              <w:t>Antigène</w:t>
            </w:r>
          </w:p>
        </w:tc>
        <w:tc>
          <w:tcPr>
            <w:tcW w:w="799" w:type="dxa"/>
            <w:tcBorders>
              <w:top w:val="single" w:sz="4" w:space="0" w:color="7030A0"/>
              <w:left w:val="nil"/>
              <w:bottom w:val="single" w:sz="4" w:space="0" w:color="7030A0"/>
              <w:right w:val="nil"/>
            </w:tcBorders>
            <w:shd w:val="clear" w:color="auto" w:fill="auto"/>
            <w:vAlign w:val="center"/>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b/>
                <w:bCs/>
                <w:color w:val="000000"/>
                <w:szCs w:val="20"/>
                <w:lang w:val="fr-FR"/>
              </w:rPr>
              <w:t>Voie</w:t>
            </w:r>
          </w:p>
        </w:tc>
        <w:tc>
          <w:tcPr>
            <w:tcW w:w="2850" w:type="dxa"/>
            <w:tcBorders>
              <w:top w:val="single" w:sz="4" w:space="0" w:color="7030A0"/>
              <w:left w:val="nil"/>
              <w:bottom w:val="single" w:sz="4" w:space="0" w:color="7030A0"/>
              <w:right w:val="nil"/>
            </w:tcBorders>
            <w:shd w:val="clear" w:color="auto" w:fill="auto"/>
            <w:vAlign w:val="center"/>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b/>
                <w:bCs/>
                <w:color w:val="000000"/>
                <w:szCs w:val="20"/>
                <w:lang w:val="fr-FR"/>
              </w:rPr>
              <w:t>Immunogénicité</w:t>
            </w:r>
          </w:p>
        </w:tc>
        <w:tc>
          <w:tcPr>
            <w:tcW w:w="1034" w:type="dxa"/>
            <w:tcBorders>
              <w:top w:val="single" w:sz="4" w:space="0" w:color="7030A0"/>
              <w:left w:val="nil"/>
              <w:bottom w:val="single" w:sz="4" w:space="0" w:color="7030A0"/>
              <w:right w:val="nil"/>
            </w:tcBorders>
            <w:shd w:val="clear" w:color="auto" w:fill="auto"/>
            <w:vAlign w:val="center"/>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b/>
                <w:bCs/>
                <w:color w:val="000000"/>
                <w:szCs w:val="20"/>
                <w:lang w:val="fr-FR"/>
              </w:rPr>
              <w:t>Résultats</w:t>
            </w:r>
          </w:p>
        </w:tc>
      </w:tr>
      <w:tr w:rsidR="00B67A56" w:rsidRPr="00C73365" w:rsidTr="009C5D68">
        <w:trPr>
          <w:trHeight w:val="201"/>
        </w:trPr>
        <w:tc>
          <w:tcPr>
            <w:tcW w:w="2117"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Dengue</w:t>
            </w:r>
          </w:p>
        </w:tc>
        <w:tc>
          <w:tcPr>
            <w:tcW w:w="2565" w:type="dxa"/>
            <w:tcBorders>
              <w:top w:val="single" w:sz="4" w:space="0" w:color="7030A0"/>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 DIII-C2</w:t>
            </w:r>
          </w:p>
        </w:tc>
        <w:tc>
          <w:tcPr>
            <w:tcW w:w="799"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sc, im, ip</w:t>
            </w:r>
          </w:p>
        </w:tc>
        <w:tc>
          <w:tcPr>
            <w:tcW w:w="2850" w:type="dxa"/>
            <w:tcBorders>
              <w:top w:val="single" w:sz="4" w:space="0" w:color="7030A0"/>
              <w:left w:val="nil"/>
              <w:bottom w:val="nil"/>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 T)</w:t>
            </w:r>
          </w:p>
        </w:tc>
        <w:tc>
          <w:tcPr>
            <w:tcW w:w="1034" w:type="dxa"/>
            <w:vMerge w:val="restart"/>
            <w:tcBorders>
              <w:top w:val="single" w:sz="4" w:space="0" w:color="7030A0"/>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r w:rsidR="00B67A56" w:rsidRPr="00C73365" w:rsidTr="009C5D68">
        <w:trPr>
          <w:trHeight w:val="104"/>
        </w:trPr>
        <w:tc>
          <w:tcPr>
            <w:tcW w:w="2117" w:type="dxa"/>
            <w:vMerge/>
            <w:tcBorders>
              <w:top w:val="nil"/>
              <w:left w:val="nil"/>
              <w:bottom w:val="single" w:sz="4" w:space="0" w:color="7030A0"/>
              <w:right w:val="nil"/>
            </w:tcBorders>
            <w:vAlign w:val="center"/>
            <w:hideMark/>
          </w:tcPr>
          <w:p w:rsidR="00B67A56" w:rsidRPr="00C73365" w:rsidRDefault="00B67A56" w:rsidP="009C5D68">
            <w:pPr>
              <w:spacing w:after="0"/>
              <w:rPr>
                <w:rFonts w:asciiTheme="minorHAnsi" w:hAnsiTheme="minorHAnsi" w:cstheme="minorHAnsi"/>
                <w:color w:val="000000"/>
                <w:szCs w:val="20"/>
                <w:lang w:val="fr-FR"/>
              </w:rPr>
            </w:pPr>
          </w:p>
        </w:tc>
        <w:tc>
          <w:tcPr>
            <w:tcW w:w="2565"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ou peptides</w:t>
            </w:r>
          </w:p>
        </w:tc>
        <w:tc>
          <w:tcPr>
            <w:tcW w:w="799"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Test de survie</w:t>
            </w:r>
          </w:p>
        </w:tc>
        <w:tc>
          <w:tcPr>
            <w:tcW w:w="1034" w:type="dxa"/>
            <w:vMerge/>
            <w:tcBorders>
              <w:top w:val="nil"/>
              <w:left w:val="nil"/>
              <w:bottom w:val="single" w:sz="4" w:space="0" w:color="7030A0"/>
              <w:right w:val="nil"/>
            </w:tcBorders>
            <w:vAlign w:val="center"/>
            <w:hideMark/>
          </w:tcPr>
          <w:p w:rsidR="00B67A56" w:rsidRPr="00C73365" w:rsidRDefault="00B67A56" w:rsidP="009C5D68">
            <w:pPr>
              <w:spacing w:after="0"/>
              <w:jc w:val="center"/>
              <w:rPr>
                <w:rFonts w:asciiTheme="minorHAnsi" w:hAnsiTheme="minorHAnsi" w:cstheme="minorHAnsi"/>
                <w:color w:val="000000"/>
                <w:szCs w:val="20"/>
                <w:lang w:val="fr-FR"/>
              </w:rPr>
            </w:pPr>
          </w:p>
        </w:tc>
      </w:tr>
      <w:tr w:rsidR="00B67A56" w:rsidRPr="00C73365" w:rsidTr="009C5D68">
        <w:trPr>
          <w:trHeight w:val="201"/>
        </w:trPr>
        <w:tc>
          <w:tcPr>
            <w:tcW w:w="2117"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VHB</w:t>
            </w:r>
          </w:p>
        </w:tc>
        <w:tc>
          <w:tcPr>
            <w:tcW w:w="2565"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Protéine</w:t>
            </w:r>
          </w:p>
        </w:tc>
        <w:tc>
          <w:tcPr>
            <w:tcW w:w="799"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in, sc, im</w:t>
            </w:r>
          </w:p>
        </w:tc>
        <w:tc>
          <w:tcPr>
            <w:tcW w:w="2850"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Réponse immune (Ab/T)</w:t>
            </w:r>
          </w:p>
        </w:tc>
        <w:tc>
          <w:tcPr>
            <w:tcW w:w="1034" w:type="dxa"/>
            <w:tcBorders>
              <w:top w:val="nil"/>
              <w:left w:val="nil"/>
              <w:bottom w:val="single" w:sz="4" w:space="0" w:color="7030A0"/>
              <w:right w:val="nil"/>
            </w:tcBorders>
            <w:shd w:val="clear" w:color="auto" w:fill="auto"/>
            <w:vAlign w:val="center"/>
            <w:hideMark/>
          </w:tcPr>
          <w:p w:rsidR="00B67A56" w:rsidRPr="00C73365" w:rsidRDefault="00B67A56" w:rsidP="009C5D68">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positif</w:t>
            </w:r>
          </w:p>
        </w:tc>
      </w:tr>
    </w:tbl>
    <w:p w:rsidR="00B67A56" w:rsidRPr="00C73365" w:rsidRDefault="00B67A56" w:rsidP="00B67A56">
      <w:pPr>
        <w:pStyle w:val="ConmainL5"/>
        <w:widowControl w:val="0"/>
        <w:tabs>
          <w:tab w:val="num" w:pos="567"/>
        </w:tabs>
        <w:spacing w:after="120"/>
        <w:outlineLvl w:val="9"/>
        <w:rPr>
          <w:rFonts w:asciiTheme="minorHAnsi" w:hAnsiTheme="minorHAnsi" w:cstheme="minorHAnsi"/>
          <w:color w:val="7030A0"/>
          <w:sz w:val="18"/>
          <w:lang w:val="fr-FR"/>
        </w:rPr>
      </w:pPr>
      <w:r w:rsidRPr="00C73365">
        <w:rPr>
          <w:rFonts w:asciiTheme="minorHAnsi" w:hAnsiTheme="minorHAnsi" w:cstheme="minorHAnsi"/>
          <w:color w:val="7030A0"/>
          <w:sz w:val="18"/>
          <w:lang w:val="fr-FR"/>
        </w:rPr>
        <w:t xml:space="preserve">Source : </w:t>
      </w:r>
      <w:r w:rsidR="00EF089C" w:rsidRPr="00C73365">
        <w:rPr>
          <w:rFonts w:asciiTheme="minorHAnsi" w:hAnsiTheme="minorHAnsi" w:cstheme="minorHAnsi"/>
          <w:color w:val="7030A0"/>
          <w:sz w:val="18"/>
          <w:lang w:val="fr-FR"/>
        </w:rPr>
        <w:t>ABIVAX</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2E709F">
        <w:rPr>
          <w:rFonts w:asciiTheme="minorHAnsi" w:hAnsiTheme="minorHAnsi" w:cstheme="minorHAnsi"/>
          <w:i w:val="0"/>
          <w:lang w:val="fr-FR"/>
        </w:rPr>
        <w:t xml:space="preserve">Cet </w:t>
      </w:r>
      <w:r w:rsidR="001A6708" w:rsidRPr="002E709F">
        <w:rPr>
          <w:rFonts w:asciiTheme="minorHAnsi" w:hAnsiTheme="minorHAnsi" w:cstheme="minorHAnsi"/>
          <w:i w:val="0"/>
          <w:lang w:val="fr-FR"/>
        </w:rPr>
        <w:t xml:space="preserve">immunomodulateur </w:t>
      </w:r>
      <w:r w:rsidRPr="002E709F">
        <w:rPr>
          <w:rFonts w:asciiTheme="minorHAnsi" w:hAnsiTheme="minorHAnsi" w:cstheme="minorHAnsi"/>
          <w:i w:val="0"/>
          <w:lang w:val="fr-FR"/>
        </w:rPr>
        <w:t>a</w:t>
      </w:r>
      <w:r w:rsidRPr="00C73365">
        <w:rPr>
          <w:rFonts w:asciiTheme="minorHAnsi" w:hAnsiTheme="minorHAnsi" w:cstheme="minorHAnsi"/>
          <w:i w:val="0"/>
          <w:lang w:val="fr-FR"/>
        </w:rPr>
        <w:t xml:space="preserve"> également démontré son extrême utilité dans le domaine des vaccins contre le cancer. Il a été démontré que l</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immunisation de souris avec des antigènes associés à ABX196 induit une forte réponse des lymphocytes T CD8, un ralentissement de la croissance des tumeurs voire leur disparition complète, et une augmentation du taux de survie sur des modèles de tumeurs établies. Ces données mettent en lumière le potentiel d’ABX196 pour induire une réponse immune fonctionnelle, étendue et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 xml:space="preserve">une grande efficacité contre un large éventail </w:t>
      </w:r>
      <w:r w:rsidRPr="00C73365">
        <w:rPr>
          <w:rFonts w:asciiTheme="minorHAnsi" w:hAnsiTheme="minorHAnsi" w:cstheme="minorHAnsi"/>
          <w:i w:val="0"/>
          <w:lang w:val="fr-FR"/>
        </w:rPr>
        <w:lastRenderedPageBreak/>
        <w:t>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antigènes aux propriétés différentes.</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 xml:space="preserve">Toutefois, bien qu’efficace en modèle animal, il est démontré que l’utilisation de ces thérapies innovantes contre le cancer ne permet pas d’atteindre une réponse clinique, comme l’augmentation de la survie des patients. Il y a plusieurs explications à ces échecs thérapeutiques chez le patient. </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 xml:space="preserve">La difficulté de définir un bon antigène cancéreux est l’une d’elles. Récemment il a été démontré que certaines chimiothérapies présentent des propriétés immuno-stimulatrices en produisant des antigènes in situ. En fait, leur utilisation induit une mort cellulaire des cellules cancéreuses qui libèrent des antigènes tumoraux, qui sont alors disponibles dans un environnement proche de la tumeur. Cette activité immuno-stimulatrice peut être alors utilisée comme source d’antigène et Il est envisageable d’utiliser le potentiel immuno-stimulateur de thérapie ciblée en combinaison avec une chimiothérapie pour générer et/ou réveiller la réponse immunitaire spécifique à ce cancer. Dans un modèle murin de mélanome, la combinaison de l’ABX196 avec la doxorubicine démontre un effet synergique conduisant à la réduction de la croissance tumorale mais aussi à une augmentation de la survie des animaux traités.  </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 xml:space="preserve">Pour sa protection, la tumeur établit un environnement délétère pour la réponse immunitaire, dû en autre à l’expression de molécules inhibant la réaction immunitaire, appelés check-points. Bien que présents dans la tumeur ou circulants, les lymphocytes T CD8 ne sont pas capables de maintenir une réponse immunitaire efficace jusqu’à la régression de la tumeur chez des patients. Une thérapie innovante vise ces molécules à l’aide de composés appelés, check-point inhibiteurs. Leur utilisation clinique rencontre 20-25% de succès chez les patients. Des essais précliniques récents démontre l’effet synergétique de l’ABX196 avec des composés immuno-oncologiques, en particulier le check-point inhibiteur, un anticorps anti-PD-1, Dans un modèle murin de mélanome où une thérapie contre PD-1 seule n’a aucun effet, la combinaison avec un vaccin thérapeutique comprenant ABX196 est à l’origine de non seulement une régression tumorale mais aussi une augmentation de la survie des animaux traités. Cet effet bénéfique d’ABX196 n’est pas seulement lié à son utilisation dans un vaccin thérapeutique mais aussi à l’utilisation de la molécule seule. Effectivement sa combinaison avec un anticorps anti-PD-1 démontre le même effet antitumoral que lorsque la molécule ABX196 est utilisée dans un vaccin. </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En plus de son effet bénéfique en combinaison avec une chimiothérapie ou un check-point inhibiteur, ABX196 se montre efficace lors de sa combinaison avec la Sorafenib, qui est le traitement de référence dans l’hépatocarcinome. Dans un modèle murin orthotopique d’hépatocarcinome, l’addition d’</w:t>
      </w:r>
      <w:r w:rsidR="00E32CFE" w:rsidRPr="00C73365">
        <w:rPr>
          <w:rFonts w:asciiTheme="minorHAnsi" w:hAnsiTheme="minorHAnsi" w:cstheme="minorHAnsi"/>
          <w:i w:val="0"/>
          <w:lang w:val="fr-FR"/>
        </w:rPr>
        <w:t>ABX196</w:t>
      </w:r>
      <w:r w:rsidRPr="00C73365">
        <w:rPr>
          <w:rFonts w:asciiTheme="minorHAnsi" w:hAnsiTheme="minorHAnsi" w:cstheme="minorHAnsi"/>
          <w:i w:val="0"/>
          <w:lang w:val="fr-FR"/>
        </w:rPr>
        <w:t xml:space="preserve"> à la sorafenib relève le taux de survie des animaux de 50% à 92%.</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 xml:space="preserve">Pour comprendre l’effet bénéfique de la combinaison de ABX196 avec d’autres composés, des marquages d’immunohistochimie sur les foies des souris non traitées versus traitées avec un composé seul ou avec la combinaison des deux molécules ont été étudiés. Ces marquages démontrent que le profil des cellules immunitaires infiltrantes change en fonction du traitement. En effet, lorsque les animaux sont non traités ou traités avec la Sorafenib seule, une large population de cellules non-fonctionnelles et inhibitrices constitue la majorité des cellules infiltrantes. Cependant suite au traitement avec l’anticorps anti-PD-1, la majorité des cellules sur exprime la molécule PD-1, effet déjà décrit dans la littérature. Suite au traitement avec ABX196, le profil immunitaire des foies présente un important infiltrat de cellules myéloides. Suite à ces traitements, très peu de cellules effectrices sont présentes. En revanche, suite au traitement avec la combinaison anti-PD-1 et ABX196, le profil des cellules infiltrantes change démontrant une majorité de cellules myéloides mais aussi des cellules T CD4 et CD8. Le traitement avec la combinaison permet donc de changer le type de cellules infiltrantes en diminuant la proportion de cellules non fonctionnelles ou inhibitrices en cellules effectrices.  </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 xml:space="preserve">Ces essais valident l’intérêt d’explorer les applications de l’ABX196 dans le domaine du traitement du cancer. </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L’utilisation du composé ABX196 induit un effet bénéfique lorsqu’il est formulé en vaccin thérapeutique mais surtout celui-ci soutient et augmente l’effet des thérapies actuelles qu’elles soient classiques comme la chimiothérapie ou innovantes comme l’immuno-thérapie.</w:t>
      </w:r>
    </w:p>
    <w:p w:rsidR="00B67A56" w:rsidRPr="00C73365" w:rsidRDefault="00B67A56" w:rsidP="00434C49">
      <w:pPr>
        <w:pStyle w:val="ListParagraph"/>
        <w:numPr>
          <w:ilvl w:val="0"/>
          <w:numId w:val="78"/>
        </w:num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Essais cliniques et programmes de développement cliniques</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Une première étude clinique a été réalisée chez des volontaires sains afin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évaluer le profil de tolérance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ABX196 et déterminer l’activité de ce dernier sur les populations NKT et l’effet sur la réponse anticorps anti-hépatite HBs. Trois différentes doses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adjuvant, formulées avec un antigène HBs, ont été utilisées dans le cadre de cette étude. Un vaccin HBs adjuvanté commercialisé et l’antigène HBs seul ont été employés comme témoins.</w:t>
      </w:r>
    </w:p>
    <w:p w:rsidR="00B67A56" w:rsidRPr="00C73365" w:rsidRDefault="00B67A56" w:rsidP="00B67A56">
      <w:pPr>
        <w:pStyle w:val="ConmainL5"/>
        <w:widowControl w:val="0"/>
        <w:tabs>
          <w:tab w:val="num" w:pos="567"/>
        </w:tabs>
        <w:spacing w:after="120"/>
        <w:outlineLvl w:val="9"/>
        <w:rPr>
          <w:rFonts w:asciiTheme="minorHAnsi" w:hAnsiTheme="minorHAnsi" w:cstheme="minorHAnsi"/>
          <w:i w:val="0"/>
          <w:lang w:val="fr-FR"/>
        </w:rPr>
      </w:pPr>
      <w:r w:rsidRPr="00C73365">
        <w:rPr>
          <w:rFonts w:asciiTheme="minorHAnsi" w:hAnsiTheme="minorHAnsi" w:cstheme="minorHAnsi"/>
          <w:i w:val="0"/>
          <w:lang w:val="fr-FR"/>
        </w:rPr>
        <w:t>Cette première étude clinique a validé l’activité et le mécanisme d’action chez l’humain. Chez tous les sujets immunisés par ABX196, les lymphocytes NKT sont activés. L’introduction de l’adjuvant ABX196 à l’agHBs, a induit des réponses anti-agHBs protectrices chez la majorité des sujets dès la première injection. Cependant des effets secondaires ont été observés avec les fortes doses d’ABX196. Les effets secondaires observés dans cette étude pourraient être potentiellement associés au passage d</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ABX196 dans le foie et à l</w:t>
      </w:r>
      <w:r w:rsidR="004572A0" w:rsidRPr="00C73365">
        <w:rPr>
          <w:rFonts w:asciiTheme="minorHAnsi" w:hAnsiTheme="minorHAnsi" w:cstheme="minorHAnsi"/>
          <w:i w:val="0"/>
          <w:lang w:val="fr-FR"/>
        </w:rPr>
        <w:t>’</w:t>
      </w:r>
      <w:r w:rsidRPr="00C73365">
        <w:rPr>
          <w:rFonts w:asciiTheme="minorHAnsi" w:hAnsiTheme="minorHAnsi" w:cstheme="minorHAnsi"/>
          <w:i w:val="0"/>
          <w:lang w:val="fr-FR"/>
        </w:rPr>
        <w:t xml:space="preserve">activation et prolifération des lymphocytes NKT </w:t>
      </w:r>
      <w:r w:rsidRPr="00C73365">
        <w:rPr>
          <w:rFonts w:asciiTheme="minorHAnsi" w:hAnsiTheme="minorHAnsi" w:cstheme="minorHAnsi"/>
          <w:i w:val="0"/>
          <w:lang w:val="fr-FR"/>
        </w:rPr>
        <w:lastRenderedPageBreak/>
        <w:t>hépatiques.</w:t>
      </w:r>
    </w:p>
    <w:p w:rsidR="00B67A56" w:rsidRPr="00C73365" w:rsidRDefault="00B67A56" w:rsidP="00B67A56">
      <w:pPr>
        <w:pStyle w:val="ListParagraph"/>
        <w:numPr>
          <w:ilvl w:val="3"/>
          <w:numId w:val="9"/>
        </w:numPr>
        <w:outlineLvl w:val="2"/>
        <w:rPr>
          <w:rFonts w:asciiTheme="minorHAnsi" w:hAnsiTheme="minorHAnsi" w:cstheme="minorHAnsi"/>
          <w:lang w:val="fr-FR"/>
        </w:rPr>
      </w:pPr>
      <w:r w:rsidRPr="00C73365">
        <w:rPr>
          <w:rFonts w:asciiTheme="minorHAnsi" w:hAnsiTheme="minorHAnsi" w:cstheme="minorHAnsi"/>
          <w:lang w:val="fr-FR"/>
        </w:rPr>
        <w:t xml:space="preserve">Stratégie de développement d’ABX196 </w:t>
      </w:r>
    </w:p>
    <w:p w:rsidR="00102917" w:rsidRPr="00C73365" w:rsidRDefault="00102917" w:rsidP="004572A0">
      <w:pPr>
        <w:pStyle w:val="BodyText"/>
        <w:rPr>
          <w:rFonts w:asciiTheme="minorHAnsi" w:hAnsiTheme="minorHAnsi" w:cstheme="minorHAnsi"/>
          <w:lang w:val="fr-FR"/>
        </w:rPr>
      </w:pPr>
      <w:r w:rsidRPr="00C73365">
        <w:rPr>
          <w:rFonts w:asciiTheme="minorHAnsi" w:hAnsiTheme="minorHAnsi" w:cstheme="minorHAnsi"/>
          <w:lang w:val="fr-FR"/>
        </w:rPr>
        <w:t>ABX196 s</w:t>
      </w:r>
      <w:r w:rsidR="004572A0" w:rsidRPr="00C73365">
        <w:rPr>
          <w:rFonts w:asciiTheme="minorHAnsi" w:hAnsiTheme="minorHAnsi" w:cstheme="minorHAnsi"/>
          <w:lang w:val="fr-FR"/>
        </w:rPr>
        <w:t>’</w:t>
      </w:r>
      <w:r w:rsidRPr="00C73365">
        <w:rPr>
          <w:rFonts w:asciiTheme="minorHAnsi" w:hAnsiTheme="minorHAnsi" w:cstheme="minorHAnsi"/>
          <w:lang w:val="fr-FR"/>
        </w:rPr>
        <w:t>est révélé prometteur comme candidat de notre plateforme de stimulateurs immunitaires. Un important volume de données vient étayer son emploi dans plusieurs indications vaccinales, notamment en utilisation thérapeutique.</w:t>
      </w:r>
    </w:p>
    <w:p w:rsidR="00102917" w:rsidRPr="00C73365" w:rsidRDefault="00102917" w:rsidP="004572A0">
      <w:pPr>
        <w:pStyle w:val="BodyText"/>
        <w:rPr>
          <w:rFonts w:asciiTheme="minorHAnsi" w:hAnsiTheme="minorHAnsi" w:cstheme="minorHAnsi"/>
          <w:lang w:val="fr-FR"/>
        </w:rPr>
      </w:pPr>
      <w:r w:rsidRPr="00C73365">
        <w:rPr>
          <w:rFonts w:asciiTheme="minorHAnsi" w:hAnsiTheme="minorHAnsi" w:cstheme="minorHAnsi"/>
          <w:lang w:val="fr-FR"/>
        </w:rPr>
        <w:t>Le marché des stimulateurs immunitaires comme l’ABX196 se pose en terme d’accord de sous licence, dans la mesure où de tels composés ne peuvent se commercialiser que dans le cadre d’association. Ainsi, à ce jour, tous les acteurs du domaine des vaccins ont un besoin critique d’adjuvants augmentant la réponse cellulaire cytotoxique, qui permet de détruire les cellules infectées par des virus ou des cellules cancéreuses. Egalement, les associations de produits sont de plus en plus courantes en immuno- oncologie afin d’augmenter l’efficacité des traitements.</w:t>
      </w:r>
    </w:p>
    <w:p w:rsidR="00102917" w:rsidRPr="00C73365" w:rsidRDefault="00102917"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a démontré que les effets secondaires, observés en clinique sont liés à la dose administrée ; mais aussi que ABX196 induit une réponse même à très faible dose. D’ailleurs la plus faible dose utilisée chez l’homme a généré une réponse sans effet secondaire. Il est donc possible de modifier la balance bénéfice/risque.  </w:t>
      </w:r>
    </w:p>
    <w:p w:rsidR="00A26CFC" w:rsidRPr="00C73365" w:rsidRDefault="001219E1" w:rsidP="004572A0">
      <w:pPr>
        <w:pStyle w:val="BodyText"/>
        <w:rPr>
          <w:rFonts w:asciiTheme="minorHAnsi" w:hAnsiTheme="minorHAnsi" w:cstheme="minorHAnsi"/>
          <w:lang w:val="fr-FR"/>
        </w:rPr>
      </w:pPr>
      <w:r w:rsidRPr="00C73365">
        <w:rPr>
          <w:rFonts w:asciiTheme="minorHAnsi" w:hAnsiTheme="minorHAnsi" w:cstheme="minorHAnsi"/>
          <w:lang w:val="fr-FR"/>
        </w:rPr>
        <w:t>À la suite de</w:t>
      </w:r>
      <w:r w:rsidR="00102917" w:rsidRPr="00C73365">
        <w:rPr>
          <w:rFonts w:asciiTheme="minorHAnsi" w:hAnsiTheme="minorHAnsi" w:cstheme="minorHAnsi"/>
          <w:lang w:val="fr-FR"/>
        </w:rPr>
        <w:t xml:space="preserve"> résultats encourageants dans des modèles in vivo en cancérologie (association ABX196 et anti-PD-1), notamment dans un modèle d’hépatocarcinome, </w:t>
      </w:r>
      <w:r w:rsidR="00EF089C" w:rsidRPr="00C73365">
        <w:rPr>
          <w:rFonts w:asciiTheme="minorHAnsi" w:hAnsiTheme="minorHAnsi" w:cstheme="minorHAnsi"/>
          <w:lang w:val="fr-FR"/>
        </w:rPr>
        <w:t>ABIVAX</w:t>
      </w:r>
      <w:r w:rsidR="00102917" w:rsidRPr="00C73365">
        <w:rPr>
          <w:rFonts w:asciiTheme="minorHAnsi" w:hAnsiTheme="minorHAnsi" w:cstheme="minorHAnsi"/>
          <w:lang w:val="fr-FR"/>
        </w:rPr>
        <w:t xml:space="preserve"> a repositionné ABX196 en immuno-oncologie et se prépare à lancer un essai clinique de phase I de preuve de concept dans l’hépatocarcinome</w:t>
      </w:r>
      <w:r w:rsidRPr="00C73365">
        <w:rPr>
          <w:rFonts w:asciiTheme="minorHAnsi" w:hAnsiTheme="minorHAnsi" w:cstheme="minorHAnsi"/>
          <w:lang w:val="fr-FR"/>
        </w:rPr>
        <w:t xml:space="preserve"> avancé</w:t>
      </w:r>
      <w:r w:rsidR="00102917" w:rsidRPr="00C73365">
        <w:rPr>
          <w:rFonts w:asciiTheme="minorHAnsi" w:hAnsiTheme="minorHAnsi" w:cstheme="minorHAnsi"/>
          <w:lang w:val="fr-FR"/>
        </w:rPr>
        <w:t xml:space="preserve"> (</w:t>
      </w:r>
      <w:r w:rsidRPr="00C73365">
        <w:rPr>
          <w:rFonts w:asciiTheme="minorHAnsi" w:hAnsiTheme="minorHAnsi" w:cstheme="minorHAnsi"/>
          <w:lang w:val="fr-FR"/>
        </w:rPr>
        <w:t>combinaison</w:t>
      </w:r>
      <w:r w:rsidR="00102917" w:rsidRPr="00C73365">
        <w:rPr>
          <w:rFonts w:asciiTheme="minorHAnsi" w:hAnsiTheme="minorHAnsi" w:cstheme="minorHAnsi"/>
          <w:lang w:val="fr-FR"/>
        </w:rPr>
        <w:t xml:space="preserve"> ABX196 et anti-PD-1) avant la fin d’année 2018.</w:t>
      </w:r>
      <w:r w:rsidRPr="00C73365">
        <w:rPr>
          <w:rFonts w:asciiTheme="minorHAnsi" w:hAnsiTheme="minorHAnsi" w:cstheme="minorHAnsi"/>
          <w:lang w:val="fr-FR"/>
        </w:rPr>
        <w:t xml:space="preserve"> </w:t>
      </w:r>
    </w:p>
    <w:p w:rsidR="00A26CFC"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A26CFC" w:rsidRPr="00C73365">
        <w:rPr>
          <w:rFonts w:asciiTheme="minorHAnsi" w:hAnsiTheme="minorHAnsi" w:cstheme="minorHAnsi"/>
          <w:lang w:val="fr-FR"/>
        </w:rPr>
        <w:t xml:space="preserve"> envisage la r</w:t>
      </w:r>
      <w:r w:rsidR="001219E1" w:rsidRPr="00C73365">
        <w:rPr>
          <w:rFonts w:asciiTheme="minorHAnsi" w:hAnsiTheme="minorHAnsi" w:cstheme="minorHAnsi"/>
          <w:lang w:val="fr-FR"/>
        </w:rPr>
        <w:t>echer</w:t>
      </w:r>
      <w:r w:rsidR="00A26CFC" w:rsidRPr="00C73365">
        <w:rPr>
          <w:rFonts w:asciiTheme="minorHAnsi" w:hAnsiTheme="minorHAnsi" w:cstheme="minorHAnsi"/>
          <w:lang w:val="fr-FR"/>
        </w:rPr>
        <w:t>che</w:t>
      </w:r>
      <w:r w:rsidR="001219E1" w:rsidRPr="00C73365">
        <w:rPr>
          <w:rFonts w:asciiTheme="minorHAnsi" w:hAnsiTheme="minorHAnsi" w:cstheme="minorHAnsi"/>
          <w:lang w:val="fr-FR"/>
        </w:rPr>
        <w:t xml:space="preserve"> de partena</w:t>
      </w:r>
      <w:r w:rsidR="00A26CFC" w:rsidRPr="00C73365">
        <w:rPr>
          <w:rFonts w:asciiTheme="minorHAnsi" w:hAnsiTheme="minorHAnsi" w:cstheme="minorHAnsi"/>
          <w:lang w:val="fr-FR"/>
        </w:rPr>
        <w:t>riat</w:t>
      </w:r>
      <w:r w:rsidR="001219E1" w:rsidRPr="00C73365">
        <w:rPr>
          <w:rFonts w:asciiTheme="minorHAnsi" w:hAnsiTheme="minorHAnsi" w:cstheme="minorHAnsi"/>
          <w:lang w:val="fr-FR"/>
        </w:rPr>
        <w:t xml:space="preserve"> dans l’immuno-oncologie </w:t>
      </w:r>
      <w:r w:rsidR="00A26CFC" w:rsidRPr="00C73365">
        <w:rPr>
          <w:rFonts w:asciiTheme="minorHAnsi" w:hAnsiTheme="minorHAnsi" w:cstheme="minorHAnsi"/>
          <w:lang w:val="fr-FR"/>
        </w:rPr>
        <w:t>une fois les</w:t>
      </w:r>
      <w:r w:rsidR="001219E1" w:rsidRPr="00C73365">
        <w:rPr>
          <w:rFonts w:asciiTheme="minorHAnsi" w:hAnsiTheme="minorHAnsi" w:cstheme="minorHAnsi"/>
          <w:lang w:val="fr-FR"/>
        </w:rPr>
        <w:t xml:space="preserve"> premiers résultats cliniques d’efficacité dans l’hépatocarcinome avancé</w:t>
      </w:r>
      <w:r w:rsidR="00A26CFC" w:rsidRPr="00C73365">
        <w:rPr>
          <w:rFonts w:asciiTheme="minorHAnsi" w:hAnsiTheme="minorHAnsi" w:cstheme="minorHAnsi"/>
          <w:lang w:val="fr-FR"/>
        </w:rPr>
        <w:t xml:space="preserve"> atteints.</w:t>
      </w:r>
    </w:p>
    <w:p w:rsidR="00B67A56" w:rsidRPr="00C73365" w:rsidRDefault="00B67A56" w:rsidP="00B67A56">
      <w:pPr>
        <w:pStyle w:val="ListParagraph"/>
        <w:numPr>
          <w:ilvl w:val="2"/>
          <w:numId w:val="9"/>
        </w:numPr>
        <w:outlineLvl w:val="2"/>
        <w:rPr>
          <w:rFonts w:asciiTheme="minorHAnsi" w:hAnsiTheme="minorHAnsi" w:cstheme="minorHAnsi"/>
          <w:b/>
          <w:szCs w:val="20"/>
          <w:lang w:val="fr-FR"/>
        </w:rPr>
      </w:pPr>
      <w:r w:rsidRPr="00C73365">
        <w:rPr>
          <w:rFonts w:asciiTheme="minorHAnsi" w:hAnsiTheme="minorHAnsi" w:cstheme="minorHAnsi"/>
          <w:b/>
          <w:color w:val="7030A0"/>
          <w:sz w:val="22"/>
          <w:szCs w:val="22"/>
          <w:lang w:val="fr-FR"/>
        </w:rPr>
        <w:t>ABX544, un anticorps polyclonal contre l’infection contre l’Ebola </w:t>
      </w:r>
    </w:p>
    <w:p w:rsidR="00B67A56" w:rsidRPr="00C73365" w:rsidRDefault="00B67A56" w:rsidP="00B67A56">
      <w:pPr>
        <w:pStyle w:val="conmainl50"/>
        <w:keepNext/>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Plusieurs épidémies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Ebola, à des degrés variables de gravité, ont éclaté depuis 1976.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épidémie en cours qui a débuté au printemps 2014 est la plus grave jamais connue, avec à ce jour plus de 15 000 cas diagnostiqués et plus de 8 000 décès dans toute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Afrique de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Ouest, selon les données de l’OMS de décembre 2015. Certains cas d’infection ont été exportés vers les pays développés. L’OMS considère qu</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une épidémie de très grande ampleur pourrait dépasser les frontières et éventuellement infecter les grandes villes des Etats-Unis et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Europe.</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A ce jour, aucun traitement ni vaccin ne permettent de prévenir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infection ; depuis le début de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 xml:space="preserve">épidémie de 2014, de nombreuses actions ont été entreprises, en vue de développer une approche soit thérapeutique, soit prophylactique. Il est en </w:t>
      </w:r>
      <w:r w:rsidR="00761572" w:rsidRPr="00C73365">
        <w:rPr>
          <w:rFonts w:asciiTheme="minorHAnsi" w:hAnsiTheme="minorHAnsi" w:cstheme="minorHAnsi"/>
          <w:iCs/>
          <w:color w:val="000000"/>
          <w:sz w:val="20"/>
          <w:szCs w:val="20"/>
        </w:rPr>
        <w:t>effet tout</w:t>
      </w:r>
      <w:r w:rsidRPr="00C73365">
        <w:rPr>
          <w:rFonts w:asciiTheme="minorHAnsi" w:hAnsiTheme="minorHAnsi" w:cstheme="minorHAnsi"/>
          <w:iCs/>
          <w:color w:val="000000"/>
          <w:sz w:val="20"/>
          <w:szCs w:val="20"/>
        </w:rPr>
        <w:t xml:space="preserve"> aussi important de développer des moyens thérapeutiques pour les malades infectés que prophylactiques pour les personnes très exposées (proches, contacts, soignants).</w:t>
      </w:r>
    </w:p>
    <w:p w:rsidR="00B67A56" w:rsidRPr="00C73365" w:rsidRDefault="00B67A56" w:rsidP="004572A0">
      <w:pPr>
        <w:pStyle w:val="BodyText"/>
        <w:rPr>
          <w:rFonts w:asciiTheme="minorHAnsi" w:eastAsiaTheme="minorHAnsi" w:hAnsiTheme="minorHAnsi" w:cstheme="minorHAnsi"/>
          <w:lang w:val="fr-FR" w:eastAsia="fr-FR"/>
        </w:rPr>
      </w:pPr>
      <w:r w:rsidRPr="00C73365">
        <w:rPr>
          <w:rFonts w:asciiTheme="minorHAnsi" w:hAnsiTheme="minorHAnsi" w:cstheme="minorHAnsi"/>
          <w:lang w:val="fr-FR"/>
        </w:rPr>
        <w:t xml:space="preserve">Les conséquences sanitaires, psychologiques et économiques d’une épidémie due au virus Ebola et de son éventuelle extension vers les pays développés sont d’un tel enjeu que la communauté internationale et en particulier les pays développés seront prêts à financer ce traitement à son juste prix par l’intermédiaire du WHO. </w:t>
      </w:r>
      <w:r w:rsidRPr="00C73365">
        <w:rPr>
          <w:rFonts w:asciiTheme="minorHAnsi" w:eastAsiaTheme="minorHAnsi" w:hAnsiTheme="minorHAnsi" w:cstheme="minorHAnsi"/>
          <w:lang w:val="fr-FR"/>
        </w:rPr>
        <w:t>Le coût de traitement d’un patient aux États-Unis est aujourd’hui estimé à 500 000 US$.</w:t>
      </w:r>
    </w:p>
    <w:p w:rsidR="00B67A56" w:rsidRPr="00C73365" w:rsidRDefault="00B67A56" w:rsidP="00B67A56">
      <w:pPr>
        <w:pStyle w:val="ListParagraph"/>
        <w:numPr>
          <w:ilvl w:val="3"/>
          <w:numId w:val="9"/>
        </w:numPr>
        <w:outlineLvl w:val="2"/>
        <w:rPr>
          <w:rFonts w:asciiTheme="minorHAnsi" w:hAnsiTheme="minorHAnsi" w:cstheme="minorHAnsi"/>
          <w:lang w:val="fr-FR"/>
        </w:rPr>
      </w:pPr>
      <w:r w:rsidRPr="00C73365">
        <w:rPr>
          <w:rFonts w:asciiTheme="minorHAnsi" w:hAnsiTheme="minorHAnsi" w:cstheme="minorHAnsi"/>
          <w:lang w:val="fr-FR"/>
        </w:rPr>
        <w:t>Approche thérapeutique </w:t>
      </w:r>
    </w:p>
    <w:p w:rsidR="00B67A56" w:rsidRPr="00C73365" w:rsidRDefault="00B67A56" w:rsidP="00B67A56">
      <w:pPr>
        <w:pStyle w:val="conmainl50"/>
        <w:spacing w:before="0" w:beforeAutospacing="0" w:after="120" w:afterAutospacing="0"/>
        <w:rPr>
          <w:rFonts w:asciiTheme="minorHAnsi" w:hAnsiTheme="minorHAnsi" w:cstheme="minorHAnsi"/>
          <w:iCs/>
          <w:sz w:val="20"/>
          <w:szCs w:val="20"/>
        </w:rPr>
      </w:pPr>
      <w:r w:rsidRPr="00C73365">
        <w:rPr>
          <w:rFonts w:asciiTheme="minorHAnsi" w:hAnsiTheme="minorHAnsi" w:cstheme="minorHAnsi"/>
          <w:iCs/>
          <w:sz w:val="20"/>
          <w:szCs w:val="20"/>
        </w:rPr>
        <w:t>Plusieurs anticorps monoclonaux sont en cours de développement et un mélange de trois anticorps monoclonaux (Zmapp) a montré une certaine efficacité. Ce mélange est produit dans des plants de tabac, avec toutes les difficultés et les limites des capacités de production qu</w:t>
      </w:r>
      <w:r w:rsidR="004572A0" w:rsidRPr="00C73365">
        <w:rPr>
          <w:rFonts w:asciiTheme="minorHAnsi" w:hAnsiTheme="minorHAnsi" w:cstheme="minorHAnsi"/>
          <w:iCs/>
          <w:sz w:val="20"/>
          <w:szCs w:val="20"/>
        </w:rPr>
        <w:t>’</w:t>
      </w:r>
      <w:r w:rsidRPr="00C73365">
        <w:rPr>
          <w:rFonts w:asciiTheme="minorHAnsi" w:hAnsiTheme="minorHAnsi" w:cstheme="minorHAnsi"/>
          <w:iCs/>
          <w:sz w:val="20"/>
          <w:szCs w:val="20"/>
        </w:rPr>
        <w:t>implique leur culture. Une adaptation à la production cellules de mammifères est en cours de développement. La sélection des spécificités essentielles des anticorps monoclonaux est cruciale pour assurer l</w:t>
      </w:r>
      <w:r w:rsidR="004572A0" w:rsidRPr="00C73365">
        <w:rPr>
          <w:rFonts w:asciiTheme="minorHAnsi" w:hAnsiTheme="minorHAnsi" w:cstheme="minorHAnsi"/>
          <w:iCs/>
          <w:sz w:val="20"/>
          <w:szCs w:val="20"/>
        </w:rPr>
        <w:t>’</w:t>
      </w:r>
      <w:r w:rsidRPr="00C73365">
        <w:rPr>
          <w:rFonts w:asciiTheme="minorHAnsi" w:hAnsiTheme="minorHAnsi" w:cstheme="minorHAnsi"/>
          <w:iCs/>
          <w:sz w:val="20"/>
          <w:szCs w:val="20"/>
        </w:rPr>
        <w:t>efficacité.</w:t>
      </w:r>
    </w:p>
    <w:p w:rsidR="00B67A56" w:rsidRPr="00C73365" w:rsidRDefault="00B67A56" w:rsidP="00B67A56">
      <w:pPr>
        <w:pStyle w:val="conmainl50"/>
        <w:spacing w:before="0" w:beforeAutospacing="0" w:after="120" w:afterAutospacing="0"/>
        <w:rPr>
          <w:rFonts w:asciiTheme="minorHAnsi" w:hAnsiTheme="minorHAnsi" w:cstheme="minorHAnsi"/>
          <w:iCs/>
          <w:sz w:val="20"/>
          <w:szCs w:val="20"/>
        </w:rPr>
      </w:pPr>
      <w:r w:rsidRPr="00C73365">
        <w:rPr>
          <w:rFonts w:asciiTheme="minorHAnsi" w:hAnsiTheme="minorHAnsi" w:cstheme="minorHAnsi"/>
          <w:iCs/>
          <w:sz w:val="20"/>
          <w:szCs w:val="20"/>
        </w:rPr>
        <w:t xml:space="preserve">Approches concurrentes </w:t>
      </w:r>
      <w:r w:rsidR="00761572" w:rsidRPr="00C73365">
        <w:rPr>
          <w:rFonts w:asciiTheme="minorHAnsi" w:hAnsiTheme="minorHAnsi" w:cstheme="minorHAnsi"/>
          <w:iCs/>
          <w:sz w:val="20"/>
          <w:szCs w:val="20"/>
        </w:rPr>
        <w:t>antivirales :</w:t>
      </w:r>
    </w:p>
    <w:p w:rsidR="00B67A56" w:rsidRPr="00C73365" w:rsidRDefault="00B67A56" w:rsidP="00434C49">
      <w:pPr>
        <w:pStyle w:val="ListParagraph"/>
        <w:numPr>
          <w:ilvl w:val="0"/>
          <w:numId w:val="81"/>
        </w:numPr>
        <w:rPr>
          <w:rFonts w:asciiTheme="minorHAnsi" w:hAnsiTheme="minorHAnsi" w:cstheme="minorHAnsi"/>
          <w:lang w:val="fr-FR"/>
        </w:rPr>
      </w:pPr>
      <w:r w:rsidRPr="00C73365">
        <w:rPr>
          <w:rFonts w:asciiTheme="minorHAnsi" w:hAnsiTheme="minorHAnsi" w:cstheme="minorHAnsi"/>
          <w:lang w:val="fr-FR"/>
        </w:rPr>
        <w:t>Mapp Bio : mélange d’anticorps monoclonaux (Zmapp) : phase II/III avec non atteinte de plusieurs critères d’évaluation</w:t>
      </w:r>
    </w:p>
    <w:p w:rsidR="00B67A56" w:rsidRPr="00C73365" w:rsidRDefault="00B67A56" w:rsidP="00434C49">
      <w:pPr>
        <w:pStyle w:val="ListParagraph"/>
        <w:numPr>
          <w:ilvl w:val="0"/>
          <w:numId w:val="81"/>
        </w:numPr>
        <w:rPr>
          <w:rFonts w:asciiTheme="minorHAnsi" w:hAnsiTheme="minorHAnsi" w:cstheme="minorHAnsi"/>
          <w:lang w:val="fr-FR"/>
        </w:rPr>
      </w:pPr>
      <w:r w:rsidRPr="00C73365">
        <w:rPr>
          <w:rFonts w:asciiTheme="minorHAnsi" w:hAnsiTheme="minorHAnsi" w:cstheme="minorHAnsi"/>
          <w:lang w:val="fr-FR"/>
        </w:rPr>
        <w:t>BioCryst : petite molécule (BCX 4430) : phase I</w:t>
      </w:r>
    </w:p>
    <w:p w:rsidR="00B67A56" w:rsidRPr="00C73365" w:rsidRDefault="00B67A56" w:rsidP="00434C49">
      <w:pPr>
        <w:pStyle w:val="ListParagraph"/>
        <w:numPr>
          <w:ilvl w:val="0"/>
          <w:numId w:val="81"/>
        </w:numPr>
        <w:rPr>
          <w:rFonts w:asciiTheme="minorHAnsi" w:hAnsiTheme="minorHAnsi" w:cstheme="minorHAnsi"/>
          <w:lang w:val="fr-FR"/>
        </w:rPr>
      </w:pPr>
      <w:r w:rsidRPr="00C73365">
        <w:rPr>
          <w:rFonts w:asciiTheme="minorHAnsi" w:hAnsiTheme="minorHAnsi" w:cstheme="minorHAnsi"/>
          <w:lang w:val="fr-FR"/>
        </w:rPr>
        <w:t>Regeneron : mélange d’anticorps monoclonaux</w:t>
      </w:r>
      <w:r w:rsidRPr="00C73365">
        <w:rPr>
          <w:rFonts w:asciiTheme="minorHAnsi" w:hAnsiTheme="minorHAnsi" w:cstheme="minorHAnsi"/>
          <w:cs/>
          <w:lang w:bidi="mr-IN"/>
        </w:rPr>
        <w:t xml:space="preserve"> : </w:t>
      </w:r>
      <w:r w:rsidRPr="00C73365">
        <w:rPr>
          <w:rFonts w:asciiTheme="minorHAnsi" w:hAnsiTheme="minorHAnsi" w:cstheme="minorHAnsi"/>
          <w:lang w:val="fr-FR"/>
        </w:rPr>
        <w:t>phase I</w:t>
      </w:r>
    </w:p>
    <w:p w:rsidR="00B67A56" w:rsidRPr="00C73365" w:rsidRDefault="00B67A56" w:rsidP="00434C49">
      <w:pPr>
        <w:pStyle w:val="ListParagraph"/>
        <w:numPr>
          <w:ilvl w:val="0"/>
          <w:numId w:val="81"/>
        </w:numPr>
        <w:rPr>
          <w:rFonts w:asciiTheme="minorHAnsi" w:hAnsiTheme="minorHAnsi" w:cstheme="minorHAnsi"/>
          <w:lang w:val="fr-FR"/>
        </w:rPr>
      </w:pPr>
      <w:r w:rsidRPr="00C73365">
        <w:rPr>
          <w:rFonts w:asciiTheme="minorHAnsi" w:hAnsiTheme="minorHAnsi" w:cstheme="minorHAnsi"/>
          <w:lang w:val="fr-FR"/>
        </w:rPr>
        <w:t>Genentech : mélange d’anticorps monoclonaux humanisés (Zmapp humanisé) : études précliniques</w:t>
      </w:r>
    </w:p>
    <w:p w:rsidR="00B67A56" w:rsidRPr="00C73365" w:rsidRDefault="00B67A56" w:rsidP="00B67A56">
      <w:pPr>
        <w:pStyle w:val="ListParagraph"/>
        <w:numPr>
          <w:ilvl w:val="3"/>
          <w:numId w:val="9"/>
        </w:numPr>
        <w:outlineLvl w:val="2"/>
        <w:rPr>
          <w:rFonts w:asciiTheme="minorHAnsi" w:hAnsiTheme="minorHAnsi" w:cstheme="minorHAnsi"/>
          <w:lang w:val="fr-FR"/>
        </w:rPr>
      </w:pPr>
      <w:r w:rsidRPr="00C73365">
        <w:rPr>
          <w:rFonts w:asciiTheme="minorHAnsi" w:hAnsiTheme="minorHAnsi" w:cstheme="minorHAnsi"/>
          <w:lang w:val="fr-FR"/>
        </w:rPr>
        <w:t>Approche prophylactique </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lastRenderedPageBreak/>
        <w:t>Plusieurs vaccins candidats sont en cours de développement. Deux approches mettant en œuvre des virus vivants (adénovirus ou VSV) comme vecteur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apport du vaccin</w:t>
      </w:r>
      <w:r w:rsidR="00761572" w:rsidRPr="00C73365">
        <w:rPr>
          <w:rFonts w:asciiTheme="minorHAnsi" w:hAnsiTheme="minorHAnsi" w:cstheme="minorHAnsi"/>
          <w:iCs/>
          <w:color w:val="000000"/>
          <w:sz w:val="20"/>
          <w:szCs w:val="20"/>
        </w:rPr>
        <w:t xml:space="preserve">, </w:t>
      </w:r>
      <w:r w:rsidRPr="00C73365">
        <w:rPr>
          <w:rFonts w:asciiTheme="minorHAnsi" w:hAnsiTheme="minorHAnsi" w:cstheme="minorHAnsi"/>
          <w:iCs/>
          <w:color w:val="000000"/>
          <w:sz w:val="20"/>
          <w:szCs w:val="20"/>
        </w:rPr>
        <w:t>ont été testées dans une étude clinique de phase I chez des volontaires sains, avec des résultats prometteurs en termes de tolérance.</w:t>
      </w:r>
      <w:r w:rsidR="00761572" w:rsidRPr="00C73365">
        <w:rPr>
          <w:rFonts w:asciiTheme="minorHAnsi" w:hAnsiTheme="minorHAnsi" w:cstheme="minorHAnsi"/>
          <w:iCs/>
          <w:color w:val="000000"/>
          <w:sz w:val="20"/>
          <w:szCs w:val="20"/>
        </w:rPr>
        <w:t xml:space="preserve"> </w:t>
      </w:r>
      <w:r w:rsidRPr="00C73365">
        <w:rPr>
          <w:rFonts w:asciiTheme="minorHAnsi" w:hAnsiTheme="minorHAnsi" w:cstheme="minorHAnsi"/>
          <w:iCs/>
          <w:color w:val="000000"/>
          <w:sz w:val="20"/>
          <w:szCs w:val="20"/>
        </w:rPr>
        <w:t>Le vaccin candidat ChAd3, co-développé par NIAID et GSK à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aide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un adénovirus, contient des protéines de deux souches du virus Ebola (souches Soudan et Zaïre).</w:t>
      </w:r>
      <w:r w:rsidR="00761572" w:rsidRPr="00C73365">
        <w:rPr>
          <w:rFonts w:asciiTheme="minorHAnsi" w:hAnsiTheme="minorHAnsi" w:cstheme="minorHAnsi"/>
          <w:iCs/>
          <w:color w:val="000000"/>
          <w:sz w:val="20"/>
          <w:szCs w:val="20"/>
        </w:rPr>
        <w:t xml:space="preserve"> </w:t>
      </w:r>
      <w:r w:rsidRPr="00C73365">
        <w:rPr>
          <w:rFonts w:asciiTheme="minorHAnsi" w:hAnsiTheme="minorHAnsi" w:cstheme="minorHAnsi"/>
          <w:iCs/>
          <w:color w:val="000000"/>
          <w:sz w:val="20"/>
          <w:szCs w:val="20"/>
        </w:rPr>
        <w:t xml:space="preserve">Les essais cliniques de Phase II et III ont </w:t>
      </w:r>
      <w:r w:rsidR="00761572" w:rsidRPr="00C73365">
        <w:rPr>
          <w:rFonts w:asciiTheme="minorHAnsi" w:hAnsiTheme="minorHAnsi" w:cstheme="minorHAnsi"/>
          <w:iCs/>
          <w:color w:val="000000"/>
          <w:sz w:val="20"/>
          <w:szCs w:val="20"/>
        </w:rPr>
        <w:t>débuté en</w:t>
      </w:r>
      <w:r w:rsidRPr="00C73365">
        <w:rPr>
          <w:rFonts w:asciiTheme="minorHAnsi" w:hAnsiTheme="minorHAnsi" w:cstheme="minorHAnsi"/>
          <w:iCs/>
          <w:color w:val="000000"/>
          <w:sz w:val="20"/>
          <w:szCs w:val="20"/>
        </w:rPr>
        <w:t xml:space="preserve"> 2015, mais il sera difficile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en démontrer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efficacité, étant donné que la prévention de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infection nécessiterait un essai clinique important. Seul le vaccin développé par MSD a pu démontrer une efficacité clinique dans un essai de phase III</w:t>
      </w:r>
    </w:p>
    <w:p w:rsidR="00B67A56" w:rsidRPr="00C73365" w:rsidRDefault="00B67A56" w:rsidP="00B67A56">
      <w:pPr>
        <w:pStyle w:val="conmainl50"/>
        <w:spacing w:before="0" w:beforeAutospacing="0" w:after="120" w:afterAutospacing="0"/>
        <w:rPr>
          <w:rFonts w:asciiTheme="minorHAnsi" w:hAnsiTheme="minorHAnsi" w:cstheme="minorHAnsi"/>
          <w:iCs/>
          <w:spacing w:val="-2"/>
          <w:sz w:val="20"/>
          <w:szCs w:val="20"/>
        </w:rPr>
      </w:pPr>
      <w:r w:rsidRPr="00C73365">
        <w:rPr>
          <w:rFonts w:asciiTheme="minorHAnsi" w:hAnsiTheme="minorHAnsi" w:cstheme="minorHAnsi"/>
          <w:iCs/>
          <w:spacing w:val="-2"/>
          <w:sz w:val="20"/>
          <w:szCs w:val="20"/>
        </w:rPr>
        <w:t xml:space="preserve">Approches concurrentes </w:t>
      </w:r>
      <w:r w:rsidR="00761572" w:rsidRPr="00C73365">
        <w:rPr>
          <w:rFonts w:asciiTheme="minorHAnsi" w:hAnsiTheme="minorHAnsi" w:cstheme="minorHAnsi"/>
          <w:iCs/>
          <w:spacing w:val="-2"/>
          <w:sz w:val="20"/>
          <w:szCs w:val="20"/>
        </w:rPr>
        <w:t>vaccinales :</w:t>
      </w:r>
    </w:p>
    <w:p w:rsidR="00B67A56" w:rsidRPr="00C73365" w:rsidRDefault="00B67A56" w:rsidP="00434C49">
      <w:pPr>
        <w:pStyle w:val="ListParagraph"/>
        <w:numPr>
          <w:ilvl w:val="0"/>
          <w:numId w:val="82"/>
        </w:numPr>
        <w:rPr>
          <w:rFonts w:asciiTheme="minorHAnsi" w:eastAsiaTheme="minorHAnsi" w:hAnsiTheme="minorHAnsi" w:cstheme="minorHAnsi"/>
          <w:iCs/>
          <w:spacing w:val="-2"/>
          <w:szCs w:val="20"/>
          <w:lang w:val="fr-FR" w:eastAsia="fr-FR"/>
        </w:rPr>
      </w:pPr>
      <w:r w:rsidRPr="00C73365">
        <w:rPr>
          <w:rFonts w:asciiTheme="minorHAnsi" w:eastAsiaTheme="minorHAnsi" w:hAnsiTheme="minorHAnsi" w:cstheme="minorHAnsi"/>
          <w:iCs/>
          <w:spacing w:val="-2"/>
          <w:szCs w:val="20"/>
          <w:lang w:val="fr-FR" w:eastAsia="fr-FR"/>
        </w:rPr>
        <w:t>NewLink/Merck</w:t>
      </w:r>
      <w:r w:rsidR="00793D85" w:rsidRPr="00C73365">
        <w:rPr>
          <w:rFonts w:asciiTheme="minorHAnsi" w:eastAsiaTheme="minorHAnsi" w:hAnsiTheme="minorHAnsi" w:cstheme="minorHAnsi"/>
          <w:iCs/>
          <w:spacing w:val="-2"/>
          <w:szCs w:val="20"/>
          <w:lang w:val="fr-FR" w:eastAsia="fr-FR"/>
        </w:rPr>
        <w:t xml:space="preserve"> </w:t>
      </w:r>
      <w:r w:rsidRPr="00C73365">
        <w:rPr>
          <w:rFonts w:asciiTheme="minorHAnsi" w:eastAsiaTheme="minorHAnsi" w:hAnsiTheme="minorHAnsi" w:cstheme="minorHAnsi"/>
          <w:iCs/>
          <w:spacing w:val="-2"/>
          <w:szCs w:val="20"/>
          <w:lang w:val="fr-FR" w:eastAsia="fr-FR"/>
        </w:rPr>
        <w:t>: Vaccin monovalent contre la souche Zaïre produit à partir du virus de la stomatite vésiculaire (rVSV-ZEBOV) : Phase III avec données d’efficacité disponibles (lancement prévu en 2017)</w:t>
      </w:r>
    </w:p>
    <w:p w:rsidR="00B67A56" w:rsidRPr="00C73365" w:rsidRDefault="00B67A56" w:rsidP="00434C49">
      <w:pPr>
        <w:pStyle w:val="ListParagraph"/>
        <w:numPr>
          <w:ilvl w:val="0"/>
          <w:numId w:val="82"/>
        </w:numPr>
        <w:rPr>
          <w:rFonts w:asciiTheme="minorHAnsi" w:eastAsiaTheme="minorHAnsi" w:hAnsiTheme="minorHAnsi" w:cstheme="minorHAnsi"/>
          <w:iCs/>
          <w:spacing w:val="-2"/>
          <w:szCs w:val="20"/>
          <w:lang w:val="fr-FR" w:eastAsia="fr-FR"/>
        </w:rPr>
      </w:pPr>
      <w:r w:rsidRPr="00C73365">
        <w:rPr>
          <w:rFonts w:asciiTheme="minorHAnsi" w:eastAsiaTheme="minorHAnsi" w:hAnsiTheme="minorHAnsi" w:cstheme="minorHAnsi"/>
          <w:iCs/>
          <w:spacing w:val="-2"/>
          <w:szCs w:val="20"/>
          <w:lang w:val="fr-FR" w:eastAsia="fr-FR"/>
        </w:rPr>
        <w:t>GSK : Vaccin recombinant un virus de chimpanzé inoffensif pour l</w:t>
      </w:r>
      <w:r w:rsidR="004572A0" w:rsidRPr="00C73365">
        <w:rPr>
          <w:rFonts w:asciiTheme="minorHAnsi" w:eastAsiaTheme="minorHAnsi" w:hAnsiTheme="minorHAnsi" w:cstheme="minorHAnsi"/>
          <w:iCs/>
          <w:spacing w:val="-2"/>
          <w:szCs w:val="20"/>
          <w:lang w:val="fr-FR" w:eastAsia="fr-FR"/>
        </w:rPr>
        <w:t>’</w:t>
      </w:r>
      <w:r w:rsidRPr="00C73365">
        <w:rPr>
          <w:rFonts w:asciiTheme="minorHAnsi" w:eastAsiaTheme="minorHAnsi" w:hAnsiTheme="minorHAnsi" w:cstheme="minorHAnsi"/>
          <w:iCs/>
          <w:spacing w:val="-2"/>
          <w:szCs w:val="20"/>
          <w:lang w:val="fr-FR" w:eastAsia="fr-FR"/>
        </w:rPr>
        <w:t>homme qui porte des fragments d</w:t>
      </w:r>
      <w:r w:rsidR="004572A0" w:rsidRPr="00C73365">
        <w:rPr>
          <w:rFonts w:asciiTheme="minorHAnsi" w:eastAsiaTheme="minorHAnsi" w:hAnsiTheme="minorHAnsi" w:cstheme="minorHAnsi"/>
          <w:iCs/>
          <w:spacing w:val="-2"/>
          <w:szCs w:val="20"/>
          <w:lang w:val="fr-FR" w:eastAsia="fr-FR"/>
        </w:rPr>
        <w:t>’</w:t>
      </w:r>
      <w:r w:rsidRPr="00C73365">
        <w:rPr>
          <w:rFonts w:asciiTheme="minorHAnsi" w:eastAsiaTheme="minorHAnsi" w:hAnsiTheme="minorHAnsi" w:cstheme="minorHAnsi"/>
          <w:iCs/>
          <w:spacing w:val="-2"/>
          <w:szCs w:val="20"/>
          <w:lang w:val="fr-FR" w:eastAsia="fr-FR"/>
        </w:rPr>
        <w:t xml:space="preserve">Ebola (ChAd3) : Phase II/III </w:t>
      </w:r>
    </w:p>
    <w:p w:rsidR="00B67A56" w:rsidRPr="00C73365" w:rsidRDefault="00B67A56" w:rsidP="00434C49">
      <w:pPr>
        <w:pStyle w:val="ListParagraph"/>
        <w:numPr>
          <w:ilvl w:val="0"/>
          <w:numId w:val="82"/>
        </w:numPr>
        <w:rPr>
          <w:rFonts w:asciiTheme="minorHAnsi" w:hAnsiTheme="minorHAnsi" w:cstheme="minorHAnsi"/>
          <w:iCs/>
          <w:spacing w:val="-2"/>
          <w:szCs w:val="20"/>
          <w:lang w:val="fr-FR"/>
        </w:rPr>
      </w:pPr>
      <w:r w:rsidRPr="00C73365">
        <w:rPr>
          <w:rFonts w:asciiTheme="minorHAnsi" w:eastAsiaTheme="minorHAnsi" w:hAnsiTheme="minorHAnsi" w:cstheme="minorHAnsi"/>
          <w:iCs/>
          <w:spacing w:val="-2"/>
          <w:szCs w:val="20"/>
          <w:lang w:eastAsia="fr-FR"/>
        </w:rPr>
        <w:t xml:space="preserve">Crucell and Bavarian Nordic (Ebovac 2): Stratégie « Prime-Boost ». </w:t>
      </w:r>
      <w:r w:rsidRPr="00C73365">
        <w:rPr>
          <w:rFonts w:asciiTheme="minorHAnsi" w:eastAsiaTheme="minorHAnsi" w:hAnsiTheme="minorHAnsi" w:cstheme="minorHAnsi"/>
          <w:iCs/>
          <w:spacing w:val="-2"/>
          <w:szCs w:val="20"/>
          <w:lang w:val="fr-FR" w:eastAsia="fr-FR"/>
        </w:rPr>
        <w:t>Le</w:t>
      </w:r>
      <w:r w:rsidR="00761572" w:rsidRPr="00C73365">
        <w:rPr>
          <w:rFonts w:asciiTheme="minorHAnsi" w:eastAsiaTheme="minorHAnsi" w:hAnsiTheme="minorHAnsi" w:cstheme="minorHAnsi"/>
          <w:iCs/>
          <w:spacing w:val="-2"/>
          <w:szCs w:val="20"/>
          <w:lang w:val="fr-FR" w:eastAsia="fr-FR"/>
        </w:rPr>
        <w:t xml:space="preserve"> «prime</w:t>
      </w:r>
      <w:r w:rsidRPr="00C73365">
        <w:rPr>
          <w:rFonts w:asciiTheme="minorHAnsi" w:eastAsiaTheme="minorHAnsi" w:hAnsiTheme="minorHAnsi" w:cstheme="minorHAnsi"/>
          <w:iCs/>
          <w:spacing w:val="-2"/>
          <w:szCs w:val="20"/>
          <w:lang w:val="fr-FR" w:eastAsia="fr-FR"/>
        </w:rPr>
        <w:t>»</w:t>
      </w:r>
      <w:r w:rsidR="00793D85" w:rsidRPr="00C73365">
        <w:rPr>
          <w:rFonts w:asciiTheme="minorHAnsi" w:eastAsiaTheme="minorHAnsi" w:hAnsiTheme="minorHAnsi" w:cstheme="minorHAnsi"/>
          <w:iCs/>
          <w:spacing w:val="-2"/>
          <w:szCs w:val="20"/>
          <w:lang w:val="fr-FR" w:eastAsia="fr-FR"/>
        </w:rPr>
        <w:t xml:space="preserve"> </w:t>
      </w:r>
      <w:r w:rsidRPr="00C73365">
        <w:rPr>
          <w:rFonts w:asciiTheme="minorHAnsi" w:eastAsiaTheme="minorHAnsi" w:hAnsiTheme="minorHAnsi" w:cstheme="minorHAnsi"/>
          <w:iCs/>
          <w:spacing w:val="-2"/>
          <w:szCs w:val="20"/>
          <w:lang w:val="fr-FR" w:eastAsia="fr-FR"/>
        </w:rPr>
        <w:t>Ad26.ZEBOV, fabriqué par les laboratoires Janssen, transporte une protéine d</w:t>
      </w:r>
      <w:r w:rsidR="004572A0" w:rsidRPr="00C73365">
        <w:rPr>
          <w:rFonts w:asciiTheme="minorHAnsi" w:eastAsiaTheme="minorHAnsi" w:hAnsiTheme="minorHAnsi" w:cstheme="minorHAnsi"/>
          <w:iCs/>
          <w:spacing w:val="-2"/>
          <w:szCs w:val="20"/>
          <w:lang w:val="fr-FR" w:eastAsia="fr-FR"/>
        </w:rPr>
        <w:t>’</w:t>
      </w:r>
      <w:r w:rsidRPr="00C73365">
        <w:rPr>
          <w:rFonts w:asciiTheme="minorHAnsi" w:eastAsiaTheme="minorHAnsi" w:hAnsiTheme="minorHAnsi" w:cstheme="minorHAnsi"/>
          <w:iCs/>
          <w:spacing w:val="-2"/>
          <w:szCs w:val="20"/>
          <w:lang w:val="fr-FR" w:eastAsia="fr-FR"/>
        </w:rPr>
        <w:t>Ebola Zaïre via un virus du rhume humain. Dans le</w:t>
      </w:r>
      <w:r w:rsidR="00761572" w:rsidRPr="00C73365">
        <w:rPr>
          <w:rFonts w:asciiTheme="minorHAnsi" w:eastAsiaTheme="minorHAnsi" w:hAnsiTheme="minorHAnsi" w:cstheme="minorHAnsi"/>
          <w:iCs/>
          <w:spacing w:val="-2"/>
          <w:szCs w:val="20"/>
          <w:lang w:val="fr-FR" w:eastAsia="fr-FR"/>
        </w:rPr>
        <w:t xml:space="preserve"> « boost</w:t>
      </w:r>
      <w:r w:rsidRPr="00C73365">
        <w:rPr>
          <w:rFonts w:asciiTheme="minorHAnsi" w:eastAsiaTheme="minorHAnsi" w:hAnsiTheme="minorHAnsi" w:cstheme="minorHAnsi"/>
          <w:iCs/>
          <w:spacing w:val="-2"/>
          <w:szCs w:val="20"/>
          <w:lang w:val="fr-FR" w:eastAsia="fr-FR"/>
        </w:rPr>
        <w:t> » MVA-BN-Filo, développé par Bavarian Nordic, des protéines de trois types de virus Ebola et du virus de Marburg ont pour vecteur un virus dérivé de la variole : Phase II/III</w:t>
      </w:r>
      <w:r w:rsidRPr="00C73365">
        <w:rPr>
          <w:rFonts w:asciiTheme="minorHAnsi" w:eastAsiaTheme="minorHAnsi" w:hAnsiTheme="minorHAnsi" w:cstheme="minorHAnsi"/>
          <w:iCs/>
          <w:spacing w:val="-2"/>
          <w:szCs w:val="20"/>
          <w:lang w:val="fr-FR" w:eastAsia="fr-FR"/>
        </w:rPr>
        <w:tab/>
      </w:r>
      <w:r w:rsidRPr="00C73365">
        <w:rPr>
          <w:rFonts w:asciiTheme="minorHAnsi" w:eastAsiaTheme="minorHAnsi" w:hAnsiTheme="minorHAnsi" w:cstheme="minorHAnsi"/>
          <w:iCs/>
          <w:spacing w:val="-2"/>
          <w:szCs w:val="20"/>
          <w:lang w:val="fr-FR" w:eastAsia="fr-FR"/>
        </w:rPr>
        <w:tab/>
        <w:t xml:space="preserve"> </w:t>
      </w:r>
    </w:p>
    <w:p w:rsidR="00B67A56" w:rsidRPr="00C73365" w:rsidRDefault="00B67A56" w:rsidP="00434C49">
      <w:pPr>
        <w:pStyle w:val="ListParagraph"/>
        <w:numPr>
          <w:ilvl w:val="0"/>
          <w:numId w:val="82"/>
        </w:numPr>
        <w:rPr>
          <w:rFonts w:asciiTheme="minorHAnsi" w:hAnsiTheme="minorHAnsi" w:cstheme="minorHAnsi"/>
          <w:iCs/>
          <w:szCs w:val="20"/>
          <w:lang w:val="fr-FR"/>
        </w:rPr>
      </w:pPr>
      <w:r w:rsidRPr="00C73365">
        <w:rPr>
          <w:rFonts w:asciiTheme="minorHAnsi" w:eastAsiaTheme="minorHAnsi" w:hAnsiTheme="minorHAnsi" w:cstheme="minorHAnsi"/>
          <w:iCs/>
          <w:spacing w:val="-2"/>
          <w:szCs w:val="20"/>
          <w:lang w:val="fr-FR" w:eastAsia="fr-FR"/>
        </w:rPr>
        <w:t>Profectus Biosciences : Vaccin monovalent contre la souche Zaïre produit à partir du Virus de la stomatite vésiculaire (VSV) : Phase I</w:t>
      </w:r>
    </w:p>
    <w:p w:rsidR="00B67A56" w:rsidRPr="00C73365" w:rsidRDefault="00B67A56" w:rsidP="00B67A56">
      <w:pPr>
        <w:pStyle w:val="ListParagraph"/>
        <w:numPr>
          <w:ilvl w:val="3"/>
          <w:numId w:val="9"/>
        </w:numPr>
        <w:outlineLvl w:val="2"/>
        <w:rPr>
          <w:rFonts w:asciiTheme="minorHAnsi" w:hAnsiTheme="minorHAnsi" w:cstheme="minorHAnsi"/>
          <w:lang w:val="fr-FR"/>
        </w:rPr>
      </w:pPr>
      <w:r w:rsidRPr="00C73365">
        <w:rPr>
          <w:rFonts w:asciiTheme="minorHAnsi" w:hAnsiTheme="minorHAnsi" w:cstheme="minorHAnsi"/>
          <w:lang w:val="fr-FR"/>
        </w:rPr>
        <w:t>Programme ABX544</w:t>
      </w:r>
    </w:p>
    <w:p w:rsidR="00B67A56" w:rsidRPr="00C73365" w:rsidRDefault="00B67A56" w:rsidP="00B67A56">
      <w:pPr>
        <w:pStyle w:val="conmainl50"/>
        <w:spacing w:before="0" w:beforeAutospacing="0" w:after="120" w:afterAutospacing="0"/>
        <w:rPr>
          <w:rFonts w:asciiTheme="minorHAnsi" w:hAnsiTheme="minorHAnsi" w:cstheme="minorHAnsi"/>
          <w:iCs/>
          <w:sz w:val="20"/>
          <w:szCs w:val="20"/>
        </w:rPr>
      </w:pPr>
      <w:r w:rsidRPr="00C73365">
        <w:rPr>
          <w:rFonts w:asciiTheme="minorHAnsi" w:hAnsiTheme="minorHAnsi" w:cstheme="minorHAnsi"/>
          <w:color w:val="000000"/>
          <w:sz w:val="20"/>
        </w:rPr>
        <w:t xml:space="preserve">L’utilisation d’anticorps polyclonaux de lapin, purifiés et neutralisants </w:t>
      </w:r>
      <w:r w:rsidR="00793D85" w:rsidRPr="00C73365">
        <w:rPr>
          <w:rFonts w:asciiTheme="minorHAnsi" w:hAnsiTheme="minorHAnsi" w:cstheme="minorHAnsi"/>
          <w:color w:val="000000"/>
          <w:sz w:val="20"/>
        </w:rPr>
        <w:t>présente</w:t>
      </w:r>
      <w:r w:rsidRPr="00C73365">
        <w:rPr>
          <w:rFonts w:asciiTheme="minorHAnsi" w:hAnsiTheme="minorHAnsi" w:cstheme="minorHAnsi"/>
          <w:color w:val="000000"/>
          <w:sz w:val="20"/>
        </w:rPr>
        <w:t xml:space="preserve"> les avantages</w:t>
      </w:r>
      <w:r w:rsidRPr="00C73365">
        <w:rPr>
          <w:rFonts w:asciiTheme="minorHAnsi" w:hAnsiTheme="minorHAnsi" w:cstheme="minorHAnsi"/>
          <w:iCs/>
          <w:spacing w:val="-2"/>
          <w:sz w:val="20"/>
          <w:szCs w:val="20"/>
        </w:rPr>
        <w:t xml:space="preserve"> d’un bas coût de production, d’une rapidité de déploiement, d’une efficacité thérapeutique, et d’un profil de toxicité exceptionnels, et d’une probabilité de succès pharmaceutique, clinique et réglementaire élevée. Ces anticorps polyclonaux sont encore largement utilisés lors d’infection par les agents </w:t>
      </w:r>
      <w:r w:rsidR="00761572" w:rsidRPr="00C73365">
        <w:rPr>
          <w:rFonts w:asciiTheme="minorHAnsi" w:hAnsiTheme="minorHAnsi" w:cstheme="minorHAnsi"/>
          <w:iCs/>
          <w:spacing w:val="-2"/>
          <w:sz w:val="20"/>
          <w:szCs w:val="20"/>
        </w:rPr>
        <w:t>suivants :</w:t>
      </w:r>
      <w:r w:rsidRPr="00C73365">
        <w:rPr>
          <w:rFonts w:asciiTheme="minorHAnsi" w:hAnsiTheme="minorHAnsi" w:cstheme="minorHAnsi"/>
          <w:iCs/>
          <w:spacing w:val="-2"/>
          <w:sz w:val="20"/>
          <w:szCs w:val="20"/>
        </w:rPr>
        <w:t xml:space="preserve"> Diphtérie, Hépatite B et Rage ainsi que dans le traitement des personnes mordues/piquées par des animaux venimeux (serpents, scorpions…)</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Sur la base de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expertise précédemment acquise dans le développement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 xml:space="preserve">anticorps polyclonaux employés dans la prévention des rejets de greffe, </w:t>
      </w:r>
      <w:r w:rsidR="00EF089C" w:rsidRPr="00C73365">
        <w:rPr>
          <w:rFonts w:asciiTheme="minorHAnsi" w:hAnsiTheme="minorHAnsi" w:cstheme="minorHAnsi"/>
          <w:iCs/>
          <w:color w:val="000000"/>
          <w:sz w:val="20"/>
          <w:szCs w:val="20"/>
        </w:rPr>
        <w:t>ABIVAX</w:t>
      </w:r>
      <w:r w:rsidRPr="00C73365">
        <w:rPr>
          <w:rFonts w:asciiTheme="minorHAnsi" w:hAnsiTheme="minorHAnsi" w:cstheme="minorHAnsi"/>
          <w:iCs/>
          <w:color w:val="000000"/>
          <w:sz w:val="20"/>
          <w:szCs w:val="20"/>
        </w:rPr>
        <w:t xml:space="preserve"> a décidé de développer des anticorps polyclonaux destinés au traitement des personnes infectées. </w:t>
      </w:r>
      <w:r w:rsidR="00EF089C" w:rsidRPr="00C73365">
        <w:rPr>
          <w:rFonts w:asciiTheme="minorHAnsi" w:hAnsiTheme="minorHAnsi" w:cstheme="minorHAnsi"/>
          <w:iCs/>
          <w:color w:val="000000"/>
          <w:sz w:val="20"/>
          <w:szCs w:val="20"/>
        </w:rPr>
        <w:t>ABIVAX</w:t>
      </w:r>
      <w:r w:rsidRPr="00C73365">
        <w:rPr>
          <w:rFonts w:asciiTheme="minorHAnsi" w:hAnsiTheme="minorHAnsi" w:cstheme="minorHAnsi"/>
          <w:iCs/>
          <w:color w:val="000000"/>
          <w:sz w:val="20"/>
          <w:szCs w:val="20"/>
        </w:rPr>
        <w:t xml:space="preserve"> est l’une des rares compagnies de biotechnologie internationales qui a l’expertise dans ce domaine.</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 xml:space="preserve">Les immunogènes (protéines virales, principalement des protéines GP1 et GP2 issues du virus Ebola) sont produites selon la technique de protéines recombinantes à partir d’une séquence « consensus ». De plus, </w:t>
      </w:r>
      <w:r w:rsidR="00EF089C" w:rsidRPr="00C73365">
        <w:rPr>
          <w:rFonts w:asciiTheme="minorHAnsi" w:hAnsiTheme="minorHAnsi" w:cstheme="minorHAnsi"/>
          <w:iCs/>
          <w:color w:val="000000"/>
          <w:sz w:val="20"/>
          <w:szCs w:val="20"/>
        </w:rPr>
        <w:t>ABIVAX</w:t>
      </w:r>
      <w:r w:rsidRPr="00C73365">
        <w:rPr>
          <w:rFonts w:asciiTheme="minorHAnsi" w:hAnsiTheme="minorHAnsi" w:cstheme="minorHAnsi"/>
          <w:iCs/>
          <w:color w:val="000000"/>
          <w:sz w:val="20"/>
          <w:szCs w:val="20"/>
        </w:rPr>
        <w:t xml:space="preserve"> et l’INSERM ont convenu de collaborer sur le contrôle de l’activité des sérums de lapins.</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Le plan repose sur les étapes suivantes :</w:t>
      </w:r>
    </w:p>
    <w:p w:rsidR="00B67A56" w:rsidRPr="00C73365" w:rsidRDefault="00761572"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Production</w:t>
      </w:r>
      <w:r w:rsidR="00B67A56" w:rsidRPr="00C73365">
        <w:rPr>
          <w:rFonts w:asciiTheme="minorHAnsi" w:hAnsiTheme="minorHAnsi" w:cstheme="minorHAnsi"/>
          <w:szCs w:val="20"/>
          <w:lang w:val="fr-FR"/>
        </w:rPr>
        <w:t xml:space="preserve"> de glycoprotéines GP1et GP2 aux normes BPL</w:t>
      </w:r>
      <w:bookmarkStart w:id="298" w:name="_ftnref2"/>
      <w:r w:rsidR="00B67A56" w:rsidRPr="00C73365">
        <w:rPr>
          <w:rFonts w:asciiTheme="minorHAnsi" w:hAnsiTheme="minorHAnsi" w:cstheme="minorHAnsi"/>
          <w:szCs w:val="20"/>
          <w:lang w:val="fr-FR"/>
        </w:rPr>
        <w:fldChar w:fldCharType="begin"/>
      </w:r>
      <w:r w:rsidR="00B67A56" w:rsidRPr="00C73365">
        <w:rPr>
          <w:rFonts w:asciiTheme="minorHAnsi" w:hAnsiTheme="minorHAnsi" w:cstheme="minorHAnsi"/>
          <w:szCs w:val="20"/>
          <w:lang w:val="fr-FR"/>
        </w:rPr>
        <w:instrText xml:space="preserve"> HYPERLINK "" \l "_ftn2" \o "" </w:instrText>
      </w:r>
      <w:r w:rsidR="00B67A56" w:rsidRPr="00C73365">
        <w:rPr>
          <w:rFonts w:asciiTheme="minorHAnsi" w:hAnsiTheme="minorHAnsi" w:cstheme="minorHAnsi"/>
          <w:szCs w:val="20"/>
          <w:lang w:val="fr-FR"/>
        </w:rPr>
        <w:fldChar w:fldCharType="separate"/>
      </w:r>
      <w:r w:rsidR="00B67A56" w:rsidRPr="00C73365">
        <w:rPr>
          <w:rFonts w:asciiTheme="minorHAnsi" w:hAnsiTheme="minorHAnsi" w:cstheme="minorHAnsi"/>
          <w:lang w:val="fr-FR"/>
        </w:rPr>
        <w:t>[2],</w:t>
      </w:r>
      <w:r w:rsidR="00B67A56" w:rsidRPr="00C73365">
        <w:rPr>
          <w:rFonts w:asciiTheme="minorHAnsi" w:hAnsiTheme="minorHAnsi" w:cstheme="minorHAnsi"/>
          <w:szCs w:val="20"/>
          <w:lang w:val="fr-FR"/>
        </w:rPr>
        <w:fldChar w:fldCharType="end"/>
      </w:r>
      <w:bookmarkEnd w:id="298"/>
    </w:p>
    <w:p w:rsidR="00B67A56" w:rsidRPr="00C73365" w:rsidRDefault="00761572"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Injection</w:t>
      </w:r>
      <w:r w:rsidR="00B67A56" w:rsidRPr="00C73365">
        <w:rPr>
          <w:rFonts w:asciiTheme="minorHAnsi" w:hAnsiTheme="minorHAnsi" w:cstheme="minorHAnsi"/>
          <w:szCs w:val="20"/>
          <w:lang w:val="fr-FR"/>
        </w:rPr>
        <w:t xml:space="preserve"> de l</w:t>
      </w:r>
      <w:r w:rsidR="004572A0" w:rsidRPr="00C73365">
        <w:rPr>
          <w:rFonts w:asciiTheme="minorHAnsi" w:hAnsiTheme="minorHAnsi" w:cstheme="minorHAnsi"/>
          <w:szCs w:val="20"/>
          <w:lang w:val="fr-FR"/>
        </w:rPr>
        <w:t>’</w:t>
      </w:r>
      <w:r w:rsidR="00B67A56" w:rsidRPr="00C73365">
        <w:rPr>
          <w:rFonts w:asciiTheme="minorHAnsi" w:hAnsiTheme="minorHAnsi" w:cstheme="minorHAnsi"/>
          <w:szCs w:val="20"/>
          <w:lang w:val="fr-FR"/>
        </w:rPr>
        <w:t>antigène purifié à des lapins SPF</w:t>
      </w:r>
      <w:bookmarkStart w:id="299" w:name="_ftnref3"/>
      <w:r w:rsidR="00B67A56" w:rsidRPr="00C73365">
        <w:rPr>
          <w:rFonts w:asciiTheme="minorHAnsi" w:hAnsiTheme="minorHAnsi" w:cstheme="minorHAnsi"/>
          <w:szCs w:val="20"/>
          <w:lang w:val="fr-FR"/>
        </w:rPr>
        <w:fldChar w:fldCharType="begin"/>
      </w:r>
      <w:r w:rsidR="00B67A56" w:rsidRPr="00C73365">
        <w:rPr>
          <w:rFonts w:asciiTheme="minorHAnsi" w:hAnsiTheme="minorHAnsi" w:cstheme="minorHAnsi"/>
          <w:szCs w:val="20"/>
          <w:lang w:val="fr-FR"/>
        </w:rPr>
        <w:instrText xml:space="preserve"> HYPERLINK "" \l "_ftn3" \o "" </w:instrText>
      </w:r>
      <w:r w:rsidR="00B67A56" w:rsidRPr="00C73365">
        <w:rPr>
          <w:rFonts w:asciiTheme="minorHAnsi" w:hAnsiTheme="minorHAnsi" w:cstheme="minorHAnsi"/>
          <w:szCs w:val="20"/>
          <w:lang w:val="fr-FR"/>
        </w:rPr>
        <w:fldChar w:fldCharType="separate"/>
      </w:r>
      <w:r w:rsidR="00B67A56" w:rsidRPr="00C73365">
        <w:rPr>
          <w:rFonts w:asciiTheme="minorHAnsi" w:hAnsiTheme="minorHAnsi" w:cstheme="minorHAnsi"/>
          <w:lang w:val="fr-FR"/>
        </w:rPr>
        <w:t>[3]</w:t>
      </w:r>
      <w:r w:rsidR="00B67A56" w:rsidRPr="00C73365">
        <w:rPr>
          <w:rFonts w:asciiTheme="minorHAnsi" w:hAnsiTheme="minorHAnsi" w:cstheme="minorHAnsi"/>
          <w:szCs w:val="20"/>
          <w:lang w:val="fr-FR"/>
        </w:rPr>
        <w:fldChar w:fldCharType="end"/>
      </w:r>
      <w:bookmarkEnd w:id="299"/>
    </w:p>
    <w:p w:rsidR="00B67A56" w:rsidRPr="00C73365" w:rsidRDefault="00761572"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Prélèvement</w:t>
      </w:r>
      <w:r w:rsidR="00B67A56" w:rsidRPr="00C73365">
        <w:rPr>
          <w:rFonts w:asciiTheme="minorHAnsi" w:hAnsiTheme="minorHAnsi" w:cstheme="minorHAnsi"/>
          <w:szCs w:val="20"/>
          <w:lang w:val="fr-FR"/>
        </w:rPr>
        <w:t xml:space="preserve"> du sérum</w:t>
      </w:r>
    </w:p>
    <w:p w:rsidR="00B67A56" w:rsidRPr="00C73365" w:rsidRDefault="00761572"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Purification</w:t>
      </w:r>
      <w:r w:rsidR="00B67A56" w:rsidRPr="00C73365">
        <w:rPr>
          <w:rFonts w:asciiTheme="minorHAnsi" w:hAnsiTheme="minorHAnsi" w:cstheme="minorHAnsi"/>
          <w:szCs w:val="20"/>
          <w:lang w:val="fr-FR"/>
        </w:rPr>
        <w:t xml:space="preserve"> du sérum</w:t>
      </w:r>
    </w:p>
    <w:p w:rsidR="00B67A56" w:rsidRPr="00C73365" w:rsidRDefault="00761572"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Production</w:t>
      </w:r>
      <w:r w:rsidR="00B67A56" w:rsidRPr="00C73365">
        <w:rPr>
          <w:rFonts w:asciiTheme="minorHAnsi" w:hAnsiTheme="minorHAnsi" w:cstheme="minorHAnsi"/>
          <w:szCs w:val="20"/>
          <w:lang w:val="fr-FR"/>
        </w:rPr>
        <w:t xml:space="preserve"> d</w:t>
      </w:r>
      <w:r w:rsidR="004572A0" w:rsidRPr="00C73365">
        <w:rPr>
          <w:rFonts w:asciiTheme="minorHAnsi" w:hAnsiTheme="minorHAnsi" w:cstheme="minorHAnsi"/>
          <w:szCs w:val="20"/>
          <w:lang w:val="fr-FR"/>
        </w:rPr>
        <w:t>’</w:t>
      </w:r>
      <w:r w:rsidR="00B67A56" w:rsidRPr="00C73365">
        <w:rPr>
          <w:rFonts w:asciiTheme="minorHAnsi" w:hAnsiTheme="minorHAnsi" w:cstheme="minorHAnsi"/>
          <w:szCs w:val="20"/>
          <w:lang w:val="fr-FR"/>
        </w:rPr>
        <w:t>anticorps IgG entiers ou fragmentés (Fab ou F(ab’)2)</w:t>
      </w:r>
    </w:p>
    <w:p w:rsidR="00B67A56" w:rsidRPr="00C73365" w:rsidRDefault="00761572"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Formulation</w:t>
      </w:r>
      <w:r w:rsidR="00B67A56" w:rsidRPr="00C73365">
        <w:rPr>
          <w:rFonts w:asciiTheme="minorHAnsi" w:hAnsiTheme="minorHAnsi" w:cstheme="minorHAnsi"/>
          <w:szCs w:val="20"/>
          <w:lang w:val="fr-FR"/>
        </w:rPr>
        <w:t xml:space="preserve"> et lyophilisation</w:t>
      </w:r>
    </w:p>
    <w:p w:rsidR="00B67A56" w:rsidRPr="00C73365" w:rsidRDefault="00B67A56" w:rsidP="00434C49">
      <w:pPr>
        <w:pStyle w:val="ListParagraph"/>
        <w:numPr>
          <w:ilvl w:val="0"/>
          <w:numId w:val="74"/>
        </w:numPr>
        <w:rPr>
          <w:rFonts w:asciiTheme="minorHAnsi" w:hAnsiTheme="minorHAnsi" w:cstheme="minorHAnsi"/>
          <w:szCs w:val="20"/>
          <w:lang w:val="fr-FR"/>
        </w:rPr>
      </w:pPr>
      <w:r w:rsidRPr="00C73365">
        <w:rPr>
          <w:rFonts w:asciiTheme="minorHAnsi" w:hAnsiTheme="minorHAnsi" w:cstheme="minorHAnsi"/>
          <w:szCs w:val="20"/>
          <w:lang w:val="fr-FR"/>
        </w:rPr>
        <w:t>Des étapes spécifiques en matière de sécurité virale seront intégrées au processus de purification.</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eastAsia="Times New Roman" w:hAnsiTheme="minorHAnsi" w:cstheme="minorHAnsi"/>
          <w:iCs/>
          <w:color w:val="000000"/>
          <w:sz w:val="20"/>
          <w:szCs w:val="20"/>
          <w:lang w:eastAsia="en-US"/>
        </w:rPr>
        <w:t xml:space="preserve">Après avoir discuté avec des universités </w:t>
      </w:r>
      <w:r w:rsidR="00EF089C" w:rsidRPr="00C73365">
        <w:rPr>
          <w:rFonts w:asciiTheme="minorHAnsi" w:eastAsia="Times New Roman" w:hAnsiTheme="minorHAnsi" w:cstheme="minorHAnsi"/>
          <w:iCs/>
          <w:color w:val="000000"/>
          <w:sz w:val="20"/>
          <w:szCs w:val="20"/>
          <w:lang w:eastAsia="en-US"/>
        </w:rPr>
        <w:t>ABIVAX</w:t>
      </w:r>
      <w:r w:rsidRPr="00C73365">
        <w:rPr>
          <w:rFonts w:asciiTheme="minorHAnsi" w:eastAsia="Times New Roman" w:hAnsiTheme="minorHAnsi" w:cstheme="minorHAnsi"/>
          <w:iCs/>
          <w:color w:val="000000"/>
          <w:sz w:val="20"/>
          <w:szCs w:val="20"/>
          <w:lang w:eastAsia="en-US"/>
        </w:rPr>
        <w:t xml:space="preserve"> a décidé de développer sa propre technologie de sélection de séquences et de production de protéines dans des cellules d’insectes. Un brevet a été déposé protégeant ainsi l’ensemble de la chaine de </w:t>
      </w:r>
      <w:r w:rsidR="00761572" w:rsidRPr="00C73365">
        <w:rPr>
          <w:rFonts w:asciiTheme="minorHAnsi" w:eastAsia="Times New Roman" w:hAnsiTheme="minorHAnsi" w:cstheme="minorHAnsi"/>
          <w:iCs/>
          <w:color w:val="000000"/>
          <w:sz w:val="20"/>
          <w:szCs w:val="20"/>
          <w:lang w:eastAsia="en-US"/>
        </w:rPr>
        <w:t>production.</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 xml:space="preserve">En 2017, </w:t>
      </w:r>
      <w:r w:rsidR="00EF089C" w:rsidRPr="00C73365">
        <w:rPr>
          <w:rFonts w:asciiTheme="minorHAnsi" w:hAnsiTheme="minorHAnsi" w:cstheme="minorHAnsi"/>
          <w:iCs/>
          <w:color w:val="000000"/>
          <w:sz w:val="20"/>
          <w:szCs w:val="20"/>
        </w:rPr>
        <w:t>ABIVAX</w:t>
      </w:r>
      <w:r w:rsidRPr="00C73365">
        <w:rPr>
          <w:rFonts w:asciiTheme="minorHAnsi" w:hAnsiTheme="minorHAnsi" w:cstheme="minorHAnsi"/>
          <w:iCs/>
          <w:color w:val="000000"/>
          <w:sz w:val="20"/>
          <w:szCs w:val="20"/>
        </w:rPr>
        <w:t xml:space="preserve"> a obtenu les avancées suivantes : </w:t>
      </w:r>
    </w:p>
    <w:p w:rsidR="00B67A56" w:rsidRPr="00C73365" w:rsidRDefault="00B67A56" w:rsidP="00434C49">
      <w:pPr>
        <w:pStyle w:val="conmainl50"/>
        <w:numPr>
          <w:ilvl w:val="0"/>
          <w:numId w:val="75"/>
        </w:numPr>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 xml:space="preserve">Développement de procédé : </w:t>
      </w:r>
    </w:p>
    <w:p w:rsidR="00B67A56" w:rsidRPr="00C73365" w:rsidRDefault="00B67A56" w:rsidP="00434C49">
      <w:pPr>
        <w:pStyle w:val="conmainl50"/>
        <w:numPr>
          <w:ilvl w:val="1"/>
          <w:numId w:val="75"/>
        </w:numPr>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 xml:space="preserve">La production de la protéine GP a été développée en collaboration avec l’entreprise Expression Biotechnologies, spécialiste de la production de protéines recombinante en cellules d’insectes. Un procédé a été mis au point permettant d’atteindre de très bons rendements et de produire une </w:t>
      </w:r>
      <w:r w:rsidRPr="00C73365">
        <w:rPr>
          <w:rFonts w:asciiTheme="minorHAnsi" w:hAnsiTheme="minorHAnsi" w:cstheme="minorHAnsi"/>
          <w:iCs/>
          <w:color w:val="000000"/>
          <w:sz w:val="20"/>
          <w:szCs w:val="20"/>
        </w:rPr>
        <w:lastRenderedPageBreak/>
        <w:t xml:space="preserve">protéine répondant aux niveaux appropriés de qualité (structure, pureté) pour un usage en production au grade pharmaceutique. </w:t>
      </w:r>
    </w:p>
    <w:p w:rsidR="00B67A56" w:rsidRPr="00C73365" w:rsidRDefault="00B67A56" w:rsidP="00434C49">
      <w:pPr>
        <w:pStyle w:val="conmainl50"/>
        <w:numPr>
          <w:ilvl w:val="1"/>
          <w:numId w:val="75"/>
        </w:numPr>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Différents protocoles d’immunisation de lapins avec la protéine GP ont été testés, en variant la dose injectée, le calendrier d’immunisation, les adjuvants utilisés. Ces protocoles ont permis de sélectionner les paramètres les plus critiques pour atteindre des niveaux d’anticorps polyclonaux significatifs.</w:t>
      </w:r>
    </w:p>
    <w:p w:rsidR="00B67A56" w:rsidRPr="00C73365" w:rsidRDefault="00B67A56" w:rsidP="00434C49">
      <w:pPr>
        <w:pStyle w:val="conmainl50"/>
        <w:numPr>
          <w:ilvl w:val="1"/>
          <w:numId w:val="75"/>
        </w:numPr>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 xml:space="preserve">Le procédé de purification des anticorps polyclonaux à partir des sérums de lapins a été mis au point. Ce procédé est directement transposable à un grade de bonne pratique de fabrication et contient toutes les étapes garantissant le niveau de sécurité virale exigées par la réglementation pharmaceutique.    </w:t>
      </w:r>
    </w:p>
    <w:p w:rsidR="00B67A56" w:rsidRPr="00C73365" w:rsidRDefault="00B67A56" w:rsidP="00434C49">
      <w:pPr>
        <w:pStyle w:val="conmainl50"/>
        <w:numPr>
          <w:ilvl w:val="0"/>
          <w:numId w:val="75"/>
        </w:numPr>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Toxicité : des prétests pour évaluer la possibilité d’une réaction croisée des anticorps purifiés contre des tissus humains ont été menées. Les données n’indiquent pas de risque spécifique à ce stade.</w:t>
      </w:r>
    </w:p>
    <w:p w:rsidR="00B67A56" w:rsidRPr="00C73365" w:rsidRDefault="00B67A56" w:rsidP="00434C49">
      <w:pPr>
        <w:pStyle w:val="conmainl50"/>
        <w:numPr>
          <w:ilvl w:val="0"/>
          <w:numId w:val="75"/>
        </w:numPr>
        <w:spacing w:before="0" w:beforeAutospacing="0" w:after="120" w:afterAutospacing="0"/>
        <w:rPr>
          <w:rFonts w:asciiTheme="minorHAnsi" w:hAnsiTheme="minorHAnsi" w:cstheme="minorHAnsi"/>
          <w:iCs/>
          <w:color w:val="000000"/>
          <w:szCs w:val="20"/>
        </w:rPr>
      </w:pPr>
      <w:r w:rsidRPr="00C73365">
        <w:rPr>
          <w:rFonts w:asciiTheme="minorHAnsi" w:hAnsiTheme="minorHAnsi" w:cstheme="minorHAnsi"/>
          <w:iCs/>
          <w:color w:val="000000"/>
          <w:sz w:val="20"/>
          <w:szCs w:val="20"/>
        </w:rPr>
        <w:t xml:space="preserve">Activité neutralisante des anticorps : </w:t>
      </w:r>
    </w:p>
    <w:p w:rsidR="00B67A56" w:rsidRPr="00C73365" w:rsidRDefault="00B67A56" w:rsidP="00434C49">
      <w:pPr>
        <w:pStyle w:val="ListParagraph"/>
        <w:numPr>
          <w:ilvl w:val="0"/>
          <w:numId w:val="85"/>
        </w:numPr>
        <w:rPr>
          <w:rFonts w:asciiTheme="minorHAnsi" w:hAnsiTheme="minorHAnsi" w:cstheme="minorHAnsi"/>
          <w:iCs/>
          <w:color w:val="000000"/>
          <w:szCs w:val="20"/>
          <w:lang w:val="fr-FR"/>
        </w:rPr>
      </w:pPr>
      <w:r w:rsidRPr="00C73365">
        <w:rPr>
          <w:rFonts w:asciiTheme="minorHAnsi" w:hAnsiTheme="minorHAnsi" w:cstheme="minorHAnsi"/>
          <w:color w:val="000000"/>
          <w:lang w:val="fr-FR"/>
        </w:rPr>
        <w:t xml:space="preserve">Au travers de sa collaboration avec l’INSERM </w:t>
      </w:r>
      <w:r w:rsidR="00761572" w:rsidRPr="00C73365">
        <w:rPr>
          <w:rFonts w:asciiTheme="minorHAnsi" w:hAnsiTheme="minorHAnsi" w:cstheme="minorHAnsi"/>
          <w:color w:val="000000"/>
          <w:lang w:val="fr-FR"/>
        </w:rPr>
        <w:t>de Lyon</w:t>
      </w:r>
      <w:r w:rsidRPr="00C73365">
        <w:rPr>
          <w:rFonts w:asciiTheme="minorHAnsi" w:hAnsiTheme="minorHAnsi" w:cstheme="minorHAnsi"/>
          <w:color w:val="000000"/>
          <w:lang w:val="fr-FR"/>
        </w:rPr>
        <w:t xml:space="preserve">, </w:t>
      </w:r>
      <w:r w:rsidR="00EF089C" w:rsidRPr="00C73365">
        <w:rPr>
          <w:rFonts w:asciiTheme="minorHAnsi" w:hAnsiTheme="minorHAnsi" w:cstheme="minorHAnsi"/>
          <w:color w:val="000000"/>
          <w:lang w:val="fr-FR"/>
        </w:rPr>
        <w:t>ABIVAX</w:t>
      </w:r>
      <w:r w:rsidRPr="00C73365">
        <w:rPr>
          <w:rFonts w:asciiTheme="minorHAnsi" w:hAnsiTheme="minorHAnsi" w:cstheme="minorHAnsi"/>
          <w:color w:val="000000"/>
          <w:lang w:val="fr-FR"/>
        </w:rPr>
        <w:t xml:space="preserve"> a eu accès à un laboratoire P2 pour l</w:t>
      </w:r>
      <w:r w:rsidR="004572A0" w:rsidRPr="00C73365">
        <w:rPr>
          <w:rFonts w:asciiTheme="minorHAnsi" w:hAnsiTheme="minorHAnsi" w:cstheme="minorHAnsi"/>
          <w:color w:val="000000"/>
          <w:lang w:val="fr-FR"/>
        </w:rPr>
        <w:t>’</w:t>
      </w:r>
      <w:r w:rsidRPr="00C73365">
        <w:rPr>
          <w:rFonts w:asciiTheme="minorHAnsi" w:hAnsiTheme="minorHAnsi" w:cstheme="minorHAnsi"/>
          <w:color w:val="000000"/>
          <w:lang w:val="fr-FR"/>
        </w:rPr>
        <w:t xml:space="preserve">évaluation de l’activité des sérums dans des tests in vitro : ces tests préliminaires sont réalisés sur des virus </w:t>
      </w:r>
      <w:r w:rsidR="00761572" w:rsidRPr="00C73365">
        <w:rPr>
          <w:rFonts w:asciiTheme="minorHAnsi" w:hAnsiTheme="minorHAnsi" w:cstheme="minorHAnsi"/>
          <w:color w:val="000000"/>
          <w:lang w:val="fr-FR"/>
        </w:rPr>
        <w:t xml:space="preserve">pseudo </w:t>
      </w:r>
      <w:r w:rsidR="000F1A28" w:rsidRPr="00C73365">
        <w:rPr>
          <w:rFonts w:asciiTheme="minorHAnsi" w:hAnsiTheme="minorHAnsi" w:cstheme="minorHAnsi"/>
          <w:color w:val="000000"/>
          <w:lang w:val="fr-FR"/>
        </w:rPr>
        <w:t>typés (</w:t>
      </w:r>
      <w:r w:rsidRPr="00C73365">
        <w:rPr>
          <w:rFonts w:asciiTheme="minorHAnsi" w:hAnsiTheme="minorHAnsi" w:cstheme="minorHAnsi"/>
          <w:color w:val="000000"/>
          <w:lang w:val="fr-FR"/>
        </w:rPr>
        <w:t xml:space="preserve">virus de la stomatite vésiculaire VSV transformé pour présenter à leur surface la protéine GP du virus EBOLA) et permettent une première évaluation de l’activité des sérums produits en lapins et des anticorps purifiés à partir de ces sérums.  Les titres neutralisants ont atteint, pour certains groupes de lapins immunisés, des niveaux significativement hauts dans ce test in vitro.  </w:t>
      </w:r>
    </w:p>
    <w:p w:rsidR="00B67A56" w:rsidRPr="00C73365" w:rsidRDefault="00B67A56" w:rsidP="00434C49">
      <w:pPr>
        <w:pStyle w:val="ListParagraph"/>
        <w:numPr>
          <w:ilvl w:val="0"/>
          <w:numId w:val="85"/>
        </w:numPr>
        <w:rPr>
          <w:rFonts w:asciiTheme="minorHAnsi" w:hAnsiTheme="minorHAnsi" w:cstheme="minorHAnsi"/>
          <w:iCs/>
          <w:color w:val="000000"/>
          <w:szCs w:val="20"/>
          <w:lang w:val="fr-FR"/>
        </w:rPr>
      </w:pPr>
      <w:r w:rsidRPr="00C73365">
        <w:rPr>
          <w:rFonts w:asciiTheme="minorHAnsi" w:hAnsiTheme="minorHAnsi" w:cstheme="minorHAnsi"/>
          <w:color w:val="000000"/>
          <w:lang w:val="fr-FR"/>
        </w:rPr>
        <w:t xml:space="preserve">Des tests in vitro en laboratoire P4 ont donc ensuite été réalisés, pour évaluer in vitro le pouvoir neutralisant des anticorps contre des souches cliniques (Zaïre) du virus EBOLA : les résultats ont confirmé le pouvoir neutralisant des anticorps générés en lapins.          </w:t>
      </w:r>
    </w:p>
    <w:p w:rsidR="00B67A56" w:rsidRPr="00C73365" w:rsidRDefault="00B67A56" w:rsidP="00B67A56">
      <w:pPr>
        <w:pStyle w:val="conmainl50"/>
        <w:spacing w:before="0" w:beforeAutospacing="0" w:after="120" w:afterAutospacing="0"/>
        <w:rPr>
          <w:rFonts w:asciiTheme="minorHAnsi" w:hAnsiTheme="minorHAnsi" w:cstheme="minorHAnsi"/>
          <w:iCs/>
          <w:color w:val="000000"/>
          <w:sz w:val="20"/>
          <w:szCs w:val="20"/>
        </w:rPr>
      </w:pPr>
      <w:r w:rsidRPr="00C73365">
        <w:rPr>
          <w:rFonts w:asciiTheme="minorHAnsi" w:hAnsiTheme="minorHAnsi" w:cstheme="minorHAnsi"/>
          <w:iCs/>
          <w:color w:val="000000"/>
          <w:sz w:val="20"/>
          <w:szCs w:val="20"/>
        </w:rPr>
        <w:t xml:space="preserve">Si les résultats in vitro sont confirmés et consolidés par des preuves de concept dans un modèle animal pertinent (cochons d’inde ou macaque), le développement d’ABX544 se poursuivra </w:t>
      </w:r>
      <w:r w:rsidR="00761572" w:rsidRPr="00C73365">
        <w:rPr>
          <w:rFonts w:asciiTheme="minorHAnsi" w:hAnsiTheme="minorHAnsi" w:cstheme="minorHAnsi"/>
          <w:iCs/>
          <w:color w:val="000000"/>
          <w:sz w:val="20"/>
          <w:szCs w:val="20"/>
        </w:rPr>
        <w:t>par une</w:t>
      </w:r>
      <w:r w:rsidRPr="00C73365">
        <w:rPr>
          <w:rFonts w:asciiTheme="minorHAnsi" w:hAnsiTheme="minorHAnsi" w:cstheme="minorHAnsi"/>
          <w:iCs/>
          <w:color w:val="000000"/>
          <w:sz w:val="20"/>
          <w:szCs w:val="20"/>
        </w:rPr>
        <w:t xml:space="preserve"> évaluation toxicologique classique et le programme clinique se continuera par une étude de phase I chez des volontaires sains en vue d</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évaluer la tolérance.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évaluation de l</w:t>
      </w:r>
      <w:r w:rsidR="004572A0" w:rsidRPr="00C73365">
        <w:rPr>
          <w:rFonts w:asciiTheme="minorHAnsi" w:hAnsiTheme="minorHAnsi" w:cstheme="minorHAnsi"/>
          <w:iCs/>
          <w:color w:val="000000"/>
          <w:sz w:val="20"/>
          <w:szCs w:val="20"/>
        </w:rPr>
        <w:t>’</w:t>
      </w:r>
      <w:r w:rsidRPr="00C73365">
        <w:rPr>
          <w:rFonts w:asciiTheme="minorHAnsi" w:hAnsiTheme="minorHAnsi" w:cstheme="minorHAnsi"/>
          <w:iCs/>
          <w:color w:val="000000"/>
          <w:sz w:val="20"/>
          <w:szCs w:val="20"/>
        </w:rPr>
        <w:t xml:space="preserve">efficacité se fera </w:t>
      </w:r>
      <w:r w:rsidR="000F1A28" w:rsidRPr="00C73365">
        <w:rPr>
          <w:rFonts w:asciiTheme="minorHAnsi" w:hAnsiTheme="minorHAnsi" w:cstheme="minorHAnsi"/>
          <w:iCs/>
          <w:color w:val="000000"/>
          <w:sz w:val="20"/>
          <w:szCs w:val="20"/>
        </w:rPr>
        <w:t xml:space="preserve">ensuite </w:t>
      </w:r>
      <w:r w:rsidRPr="00C73365">
        <w:rPr>
          <w:rFonts w:asciiTheme="minorHAnsi" w:hAnsiTheme="minorHAnsi" w:cstheme="minorHAnsi"/>
          <w:iCs/>
          <w:color w:val="000000"/>
          <w:sz w:val="20"/>
          <w:szCs w:val="20"/>
        </w:rPr>
        <w:t>chez des personnes infectées.</w:t>
      </w:r>
    </w:p>
    <w:p w:rsidR="00B67A56"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B67A56" w:rsidRPr="00C73365">
        <w:rPr>
          <w:rFonts w:asciiTheme="minorHAnsi" w:hAnsiTheme="minorHAnsi" w:cstheme="minorHAnsi"/>
          <w:lang w:val="fr-FR"/>
        </w:rPr>
        <w:t xml:space="preserve"> compte développer et produire en moins de 2 ans un produit thérapeutique pour les malades infectés par Ebola, également utilisable pour la prophylaxie chez les personnes au contact de malades infectés et les personnels soignants.</w:t>
      </w:r>
    </w:p>
    <w:p w:rsidR="00B67A56" w:rsidRPr="00C73365" w:rsidRDefault="00B67A56" w:rsidP="00B67A56">
      <w:pPr>
        <w:pStyle w:val="ConmainL2"/>
        <w:numPr>
          <w:ilvl w:val="1"/>
          <w:numId w:val="9"/>
        </w:numPr>
        <w:spacing w:after="120"/>
        <w:rPr>
          <w:rFonts w:asciiTheme="minorHAnsi" w:hAnsiTheme="minorHAnsi" w:cstheme="minorHAnsi"/>
          <w:sz w:val="22"/>
          <w:szCs w:val="22"/>
          <w:lang w:val="fr-FR"/>
        </w:rPr>
      </w:pPr>
      <w:bookmarkStart w:id="300" w:name="_Toc408918419"/>
      <w:bookmarkStart w:id="301" w:name="_Toc409537500"/>
      <w:bookmarkStart w:id="302" w:name="_Toc452704640"/>
      <w:bookmarkStart w:id="303" w:name="_Toc462673241"/>
      <w:bookmarkStart w:id="304" w:name="_Toc467835587"/>
      <w:bookmarkStart w:id="305" w:name="_Toc508786494"/>
      <w:bookmarkStart w:id="306" w:name="_Toc512863901"/>
      <w:r w:rsidRPr="00C73365">
        <w:rPr>
          <w:rFonts w:asciiTheme="minorHAnsi" w:hAnsiTheme="minorHAnsi" w:cstheme="minorHAnsi"/>
          <w:sz w:val="22"/>
          <w:szCs w:val="22"/>
          <w:lang w:val="fr-FR"/>
        </w:rPr>
        <w:t>Organisation d</w:t>
      </w:r>
      <w:r w:rsidR="004572A0" w:rsidRPr="00C73365">
        <w:rPr>
          <w:rFonts w:asciiTheme="minorHAnsi" w:hAnsiTheme="minorHAnsi" w:cstheme="minorHAnsi"/>
          <w:sz w:val="22"/>
          <w:szCs w:val="22"/>
          <w:lang w:val="fr-FR"/>
        </w:rPr>
        <w:t>’</w:t>
      </w:r>
      <w:r w:rsidR="00EF089C" w:rsidRPr="00C73365">
        <w:rPr>
          <w:rFonts w:asciiTheme="minorHAnsi" w:hAnsiTheme="minorHAnsi" w:cstheme="minorHAnsi"/>
          <w:sz w:val="22"/>
          <w:szCs w:val="22"/>
          <w:lang w:val="fr-FR"/>
        </w:rPr>
        <w:t>ABIVAX</w:t>
      </w:r>
      <w:bookmarkEnd w:id="300"/>
      <w:bookmarkEnd w:id="301"/>
      <w:bookmarkEnd w:id="302"/>
      <w:bookmarkEnd w:id="303"/>
      <w:bookmarkEnd w:id="304"/>
      <w:bookmarkEnd w:id="305"/>
      <w:bookmarkEnd w:id="306"/>
    </w:p>
    <w:p w:rsidR="00B67A56" w:rsidRPr="00C73365" w:rsidRDefault="00B67A56" w:rsidP="00B67A56">
      <w:pPr>
        <w:pStyle w:val="ListParagraph"/>
        <w:numPr>
          <w:ilvl w:val="2"/>
          <w:numId w:val="9"/>
        </w:numPr>
        <w:outlineLvl w:val="2"/>
        <w:rPr>
          <w:rFonts w:asciiTheme="minorHAnsi" w:hAnsiTheme="minorHAnsi" w:cstheme="minorHAnsi"/>
          <w:b/>
          <w:color w:val="7030A0"/>
          <w:sz w:val="22"/>
          <w:szCs w:val="22"/>
          <w:lang w:val="fr-FR"/>
        </w:rPr>
      </w:pPr>
      <w:bookmarkStart w:id="307" w:name="_Toc408918420"/>
      <w:bookmarkStart w:id="308" w:name="_Toc409537501"/>
      <w:r w:rsidRPr="00C73365">
        <w:rPr>
          <w:rFonts w:asciiTheme="minorHAnsi" w:hAnsiTheme="minorHAnsi" w:cstheme="minorHAnsi"/>
          <w:b/>
          <w:color w:val="7030A0"/>
          <w:sz w:val="22"/>
          <w:szCs w:val="22"/>
          <w:lang w:val="fr-FR"/>
        </w:rPr>
        <w:t>Modèle et structure opérationnels</w:t>
      </w:r>
      <w:bookmarkEnd w:id="307"/>
      <w:bookmarkEnd w:id="308"/>
    </w:p>
    <w:p w:rsidR="00B67A56" w:rsidRPr="00C73365" w:rsidRDefault="00B67A56" w:rsidP="00B67A56">
      <w:pPr>
        <w:pStyle w:val="ConmainL3"/>
        <w:keepLines/>
        <w:tabs>
          <w:tab w:val="clear" w:pos="360"/>
        </w:tabs>
        <w:spacing w:after="120"/>
        <w:ind w:left="0" w:firstLine="0"/>
        <w:outlineLvl w:val="9"/>
        <w:rPr>
          <w:rFonts w:asciiTheme="minorHAnsi" w:hAnsiTheme="minorHAnsi" w:cstheme="minorHAnsi"/>
          <w:szCs w:val="20"/>
          <w:lang w:val="fr-FR"/>
        </w:rPr>
      </w:pPr>
      <w:r w:rsidRPr="00C73365">
        <w:rPr>
          <w:rFonts w:asciiTheme="minorHAnsi" w:hAnsiTheme="minorHAnsi" w:cstheme="minorHAnsi"/>
          <w:szCs w:val="20"/>
          <w:lang w:val="fr-FR"/>
        </w:rPr>
        <w:t>La stratégie de la société consiste à rechercher et développer des nouveaux agents thérapeutiques contre les infections virales et d’établir des partenariats à un moment adéquat du développement avec des autres sociétés pharmaceutiques et de biotechnologies tout en gardant au cas par cas des droits de commercialisation pour certains territoires. L’objectif de la société est à terme d’exploiter directement au travers de sa propre organisation commerciale certains de ses produits dans des zones géographiques déterminées.</w:t>
      </w:r>
    </w:p>
    <w:p w:rsidR="00B67A56" w:rsidRPr="00C73365" w:rsidRDefault="00B67A56" w:rsidP="00B67A56">
      <w:pPr>
        <w:pStyle w:val="ConmainL3"/>
        <w:keepLines/>
        <w:tabs>
          <w:tab w:val="clear" w:pos="360"/>
        </w:tabs>
        <w:spacing w:after="120"/>
        <w:ind w:left="0" w:firstLine="0"/>
        <w:outlineLvl w:val="9"/>
        <w:rPr>
          <w:rFonts w:asciiTheme="minorHAnsi" w:hAnsiTheme="minorHAnsi" w:cstheme="minorHAnsi"/>
          <w:szCs w:val="20"/>
          <w:lang w:val="fr-FR"/>
        </w:rPr>
      </w:pPr>
      <w:r w:rsidRPr="00C73365">
        <w:rPr>
          <w:rFonts w:asciiTheme="minorHAnsi" w:hAnsiTheme="minorHAnsi" w:cstheme="minorHAnsi"/>
          <w:szCs w:val="20"/>
          <w:lang w:val="fr-FR"/>
        </w:rPr>
        <w:t xml:space="preserve">Pour ce faire, la Société dispose d’un centre de Recherche à Montpellier au sein du campus du CNRS, d’une équipe de développement et réglementaire à Paris et Montpellier et d’une fonction commerciale et de Business Development installée à Paris. </w:t>
      </w:r>
    </w:p>
    <w:p w:rsidR="00B67A56" w:rsidRPr="00C73365" w:rsidRDefault="00EF089C" w:rsidP="00B67A56">
      <w:pPr>
        <w:pStyle w:val="ConmainL3"/>
        <w:keepLines/>
        <w:tabs>
          <w:tab w:val="clear" w:pos="360"/>
        </w:tabs>
        <w:spacing w:after="120"/>
        <w:ind w:left="0" w:firstLine="0"/>
        <w:outlineLvl w:val="9"/>
        <w:rPr>
          <w:rFonts w:asciiTheme="minorHAnsi" w:hAnsiTheme="minorHAnsi" w:cstheme="minorHAnsi"/>
          <w:lang w:val="fr-FR"/>
        </w:rPr>
      </w:pPr>
      <w:r w:rsidRPr="00C73365">
        <w:rPr>
          <w:rFonts w:asciiTheme="minorHAnsi" w:hAnsiTheme="minorHAnsi" w:cstheme="minorHAnsi"/>
          <w:lang w:val="fr-FR"/>
        </w:rPr>
        <w:t>ABIVAX</w:t>
      </w:r>
      <w:r w:rsidR="00B67A56" w:rsidRPr="00C73365">
        <w:rPr>
          <w:rFonts w:asciiTheme="minorHAnsi" w:hAnsiTheme="minorHAnsi" w:cstheme="minorHAnsi"/>
          <w:lang w:val="fr-FR"/>
        </w:rPr>
        <w:t xml:space="preserve"> peut être qualifié de laboratoire bio-pharmaceutique au stade clinique, se consacrant à la découverte et au développement des composés antiviraux et immunologiques novateurs suivants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985"/>
        <w:gridCol w:w="1962"/>
        <w:gridCol w:w="1581"/>
        <w:gridCol w:w="1276"/>
        <w:gridCol w:w="1701"/>
      </w:tblGrid>
      <w:tr w:rsidR="00B67A56" w:rsidRPr="00C73365" w:rsidTr="00045411">
        <w:tc>
          <w:tcPr>
            <w:tcW w:w="1271" w:type="dxa"/>
            <w:shd w:val="clear" w:color="auto" w:fill="7030A0"/>
            <w:vAlign w:val="center"/>
          </w:tcPr>
          <w:p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Candidats-Médicaments /</w:t>
            </w:r>
          </w:p>
          <w:p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Produits</w:t>
            </w:r>
          </w:p>
        </w:tc>
        <w:tc>
          <w:tcPr>
            <w:tcW w:w="1985" w:type="dxa"/>
            <w:shd w:val="clear" w:color="auto" w:fill="7030A0"/>
            <w:vAlign w:val="center"/>
          </w:tcPr>
          <w:p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Propriété intellectuelle</w:t>
            </w:r>
          </w:p>
        </w:tc>
        <w:tc>
          <w:tcPr>
            <w:tcW w:w="1962" w:type="dxa"/>
            <w:shd w:val="clear" w:color="auto" w:fill="7030A0"/>
            <w:vAlign w:val="center"/>
          </w:tcPr>
          <w:p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Stade de développement actuel</w:t>
            </w:r>
          </w:p>
        </w:tc>
        <w:tc>
          <w:tcPr>
            <w:tcW w:w="1581" w:type="dxa"/>
            <w:shd w:val="clear" w:color="auto" w:fill="7030A0"/>
            <w:vAlign w:val="center"/>
          </w:tcPr>
          <w:p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Modèle de développement</w:t>
            </w:r>
          </w:p>
        </w:tc>
        <w:tc>
          <w:tcPr>
            <w:tcW w:w="1276" w:type="dxa"/>
            <w:shd w:val="clear" w:color="auto" w:fill="7030A0"/>
            <w:vAlign w:val="center"/>
          </w:tcPr>
          <w:p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Coûts associés</w:t>
            </w:r>
          </w:p>
        </w:tc>
        <w:tc>
          <w:tcPr>
            <w:tcW w:w="1701" w:type="dxa"/>
            <w:shd w:val="clear" w:color="auto" w:fill="7030A0"/>
            <w:vAlign w:val="center"/>
          </w:tcPr>
          <w:p w:rsidR="00B67A56" w:rsidRPr="00C73365" w:rsidRDefault="00B67A56" w:rsidP="009C5D68">
            <w:pPr>
              <w:autoSpaceDE w:val="0"/>
              <w:autoSpaceDN w:val="0"/>
              <w:adjustRightInd w:val="0"/>
              <w:spacing w:after="0"/>
              <w:jc w:val="center"/>
              <w:rPr>
                <w:rFonts w:asciiTheme="minorHAnsi" w:hAnsiTheme="minorHAnsi" w:cstheme="minorHAnsi"/>
                <w:b/>
                <w:color w:val="FFFFFF" w:themeColor="background1"/>
                <w:sz w:val="18"/>
                <w:szCs w:val="18"/>
              </w:rPr>
            </w:pPr>
            <w:r w:rsidRPr="00C73365">
              <w:rPr>
                <w:rFonts w:asciiTheme="minorHAnsi" w:hAnsiTheme="minorHAnsi" w:cstheme="minorHAnsi"/>
                <w:b/>
                <w:color w:val="FFFFFF" w:themeColor="background1"/>
                <w:sz w:val="18"/>
                <w:szCs w:val="18"/>
              </w:rPr>
              <w:t>Revenus associés</w:t>
            </w:r>
          </w:p>
        </w:tc>
      </w:tr>
      <w:tr w:rsidR="00B67A56" w:rsidRPr="004A7B49" w:rsidTr="00045411">
        <w:trPr>
          <w:trHeight w:val="1106"/>
        </w:trPr>
        <w:tc>
          <w:tcPr>
            <w:tcW w:w="1271" w:type="dxa"/>
            <w:vMerge w:val="restart"/>
            <w:vAlign w:val="center"/>
          </w:tcPr>
          <w:p w:rsidR="00553DB0" w:rsidRPr="00C73365" w:rsidRDefault="00B67A56" w:rsidP="009C5D68">
            <w:pPr>
              <w:autoSpaceDE w:val="0"/>
              <w:autoSpaceDN w:val="0"/>
              <w:adjustRightInd w:val="0"/>
              <w:spacing w:after="0"/>
              <w:jc w:val="center"/>
              <w:rPr>
                <w:rFonts w:asciiTheme="minorHAnsi" w:hAnsiTheme="minorHAnsi" w:cstheme="minorHAnsi"/>
                <w:b/>
                <w:sz w:val="18"/>
                <w:szCs w:val="18"/>
                <w:lang w:val="fr-FR"/>
              </w:rPr>
            </w:pPr>
            <w:r w:rsidRPr="00C73365">
              <w:rPr>
                <w:rFonts w:asciiTheme="minorHAnsi" w:hAnsiTheme="minorHAnsi" w:cstheme="minorHAnsi"/>
                <w:b/>
                <w:sz w:val="18"/>
                <w:szCs w:val="18"/>
                <w:lang w:val="fr-FR"/>
              </w:rPr>
              <w:t>ABX464 : Traitement du VIH/SIDA</w:t>
            </w:r>
          </w:p>
          <w:p w:rsidR="00B67A56" w:rsidRPr="00C73365" w:rsidRDefault="00553DB0" w:rsidP="009C5D68">
            <w:pPr>
              <w:autoSpaceDE w:val="0"/>
              <w:autoSpaceDN w:val="0"/>
              <w:adjustRightInd w:val="0"/>
              <w:spacing w:after="0"/>
              <w:jc w:val="center"/>
              <w:rPr>
                <w:rFonts w:asciiTheme="minorHAnsi" w:hAnsiTheme="minorHAnsi" w:cstheme="minorHAnsi"/>
                <w:b/>
                <w:sz w:val="18"/>
                <w:szCs w:val="18"/>
                <w:lang w:val="fr-FR"/>
              </w:rPr>
            </w:pPr>
            <w:r w:rsidRPr="00C73365">
              <w:rPr>
                <w:rFonts w:asciiTheme="minorHAnsi" w:hAnsiTheme="minorHAnsi" w:cstheme="minorHAnsi"/>
                <w:b/>
                <w:sz w:val="18"/>
                <w:szCs w:val="18"/>
                <w:lang w:val="fr-FR"/>
              </w:rPr>
              <w:t>et des MICI</w:t>
            </w:r>
          </w:p>
        </w:tc>
        <w:tc>
          <w:tcPr>
            <w:tcW w:w="1985" w:type="dxa"/>
            <w:vMerge w:val="restart"/>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Produit issue de la plateforme technologique «antivirale» d’</w:t>
            </w:r>
            <w:r w:rsidR="00EF089C" w:rsidRPr="00C73365">
              <w:rPr>
                <w:rFonts w:asciiTheme="minorHAnsi" w:hAnsiTheme="minorHAnsi" w:cstheme="minorHAnsi"/>
                <w:sz w:val="18"/>
                <w:szCs w:val="18"/>
                <w:lang w:val="fr-FR"/>
              </w:rPr>
              <w:t>ABIVAX</w:t>
            </w: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(copropriété de certains brevets avec le CNRS, l’Université de </w:t>
            </w:r>
            <w:r w:rsidRPr="00C73365">
              <w:rPr>
                <w:rFonts w:asciiTheme="minorHAnsi" w:hAnsiTheme="minorHAnsi" w:cstheme="minorHAnsi"/>
                <w:sz w:val="18"/>
                <w:szCs w:val="18"/>
                <w:lang w:val="fr-FR"/>
              </w:rPr>
              <w:lastRenderedPageBreak/>
              <w:t>Montpellier et de l’Institut Curie)</w:t>
            </w:r>
          </w:p>
        </w:tc>
        <w:tc>
          <w:tcPr>
            <w:tcW w:w="1962" w:type="dxa"/>
            <w:vMerge w:val="restart"/>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lastRenderedPageBreak/>
              <w:t xml:space="preserve">La première étude de phase IIa menée à l’Ile Maurice et en Thailande par </w:t>
            </w:r>
            <w:r w:rsidR="00EF089C" w:rsidRPr="00C73365">
              <w:rPr>
                <w:rFonts w:asciiTheme="minorHAnsi" w:hAnsiTheme="minorHAnsi" w:cstheme="minorHAnsi"/>
                <w:sz w:val="18"/>
                <w:szCs w:val="18"/>
                <w:lang w:val="fr-FR"/>
              </w:rPr>
              <w:t>ABIVAX</w:t>
            </w:r>
            <w:r w:rsidRPr="00C73365">
              <w:rPr>
                <w:rFonts w:asciiTheme="minorHAnsi" w:hAnsiTheme="minorHAnsi" w:cstheme="minorHAnsi"/>
                <w:sz w:val="18"/>
                <w:szCs w:val="18"/>
                <w:lang w:val="fr-FR"/>
              </w:rPr>
              <w:t xml:space="preserve"> ayant pour objectif de démontrer l’effet antiviral de L’</w:t>
            </w:r>
            <w:r w:rsidR="00E32CFE" w:rsidRPr="00C73365">
              <w:rPr>
                <w:rFonts w:asciiTheme="minorHAnsi" w:hAnsiTheme="minorHAnsi" w:cstheme="minorHAnsi"/>
                <w:sz w:val="18"/>
                <w:szCs w:val="18"/>
                <w:lang w:val="fr-FR"/>
              </w:rPr>
              <w:t>ABX464</w:t>
            </w:r>
            <w:r w:rsidRPr="00C73365">
              <w:rPr>
                <w:rFonts w:asciiTheme="minorHAnsi" w:hAnsiTheme="minorHAnsi" w:cstheme="minorHAnsi"/>
                <w:sz w:val="18"/>
                <w:szCs w:val="18"/>
                <w:lang w:val="fr-FR"/>
              </w:rPr>
              <w:t xml:space="preserve"> est achevée.</w:t>
            </w: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lastRenderedPageBreak/>
              <w:t>Les résultats préliminaires ont été communiqués à la CROI en février 2016. Les résultats finaux seront publiés vers la fin de l’année 2016.</w:t>
            </w: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La deuxième étude de phase IIa ayant pour objectif de démontrer l’effet à long terme del’ABX464 est actuellement conduite en France, Espagne et Belgique.</w:t>
            </w:r>
          </w:p>
          <w:p w:rsidR="00553DB0"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Les résultats intermédiaires ont été publiés le 2 </w:t>
            </w:r>
            <w:r w:rsidR="008A30B9" w:rsidRPr="00C73365">
              <w:rPr>
                <w:rFonts w:asciiTheme="minorHAnsi" w:hAnsiTheme="minorHAnsi" w:cstheme="minorHAnsi"/>
                <w:sz w:val="18"/>
                <w:szCs w:val="18"/>
                <w:lang w:val="fr-FR"/>
              </w:rPr>
              <w:t>M</w:t>
            </w:r>
            <w:r w:rsidRPr="00C73365">
              <w:rPr>
                <w:rFonts w:asciiTheme="minorHAnsi" w:hAnsiTheme="minorHAnsi" w:cstheme="minorHAnsi"/>
                <w:sz w:val="18"/>
                <w:szCs w:val="18"/>
                <w:lang w:val="fr-FR"/>
              </w:rPr>
              <w:t>ai 2017.</w:t>
            </w:r>
          </w:p>
          <w:p w:rsidR="00553DB0" w:rsidRPr="00C73365" w:rsidRDefault="00553DB0"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553DB0"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Résultats de la première cohorte </w:t>
            </w:r>
            <w:r w:rsidR="008A30B9" w:rsidRPr="00C73365">
              <w:rPr>
                <w:rFonts w:asciiTheme="minorHAnsi" w:hAnsiTheme="minorHAnsi" w:cstheme="minorHAnsi"/>
                <w:sz w:val="18"/>
                <w:szCs w:val="18"/>
                <w:lang w:val="fr-FR"/>
              </w:rPr>
              <w:t xml:space="preserve">de patients </w:t>
            </w:r>
            <w:r w:rsidRPr="00C73365">
              <w:rPr>
                <w:rFonts w:asciiTheme="minorHAnsi" w:hAnsiTheme="minorHAnsi" w:cstheme="minorHAnsi"/>
                <w:sz w:val="18"/>
                <w:szCs w:val="18"/>
                <w:lang w:val="fr-FR"/>
              </w:rPr>
              <w:t>de la troisième étude de phase IIa</w:t>
            </w:r>
            <w:r w:rsidR="008A30B9" w:rsidRPr="00C73365">
              <w:rPr>
                <w:rFonts w:asciiTheme="minorHAnsi" w:hAnsiTheme="minorHAnsi" w:cstheme="minorHAnsi"/>
                <w:sz w:val="18"/>
                <w:szCs w:val="18"/>
                <w:lang w:val="fr-FR"/>
              </w:rPr>
              <w:t xml:space="preserve"> traités par ABX464 durant un mois sont publiés </w:t>
            </w:r>
            <w:r w:rsidR="00E73A7C">
              <w:rPr>
                <w:rFonts w:asciiTheme="minorHAnsi" w:hAnsiTheme="minorHAnsi" w:cstheme="minorHAnsi"/>
                <w:sz w:val="18"/>
                <w:szCs w:val="18"/>
                <w:lang w:val="fr-FR"/>
              </w:rPr>
              <w:t>le 28 septembre</w:t>
            </w:r>
            <w:r w:rsidR="008A30B9" w:rsidRPr="00C73365">
              <w:rPr>
                <w:rFonts w:asciiTheme="minorHAnsi" w:hAnsiTheme="minorHAnsi" w:cstheme="minorHAnsi"/>
                <w:sz w:val="18"/>
                <w:szCs w:val="18"/>
                <w:lang w:val="fr-FR"/>
              </w:rPr>
              <w:t xml:space="preserve"> 2017</w:t>
            </w:r>
          </w:p>
          <w:p w:rsidR="008A30B9" w:rsidRPr="00C73365" w:rsidRDefault="008A30B9"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Cohorte de patients traités par ABX464 durant trois mois en cours.</w:t>
            </w:r>
          </w:p>
          <w:p w:rsidR="008A30B9" w:rsidRPr="00C73365" w:rsidRDefault="008A30B9" w:rsidP="009C5D68">
            <w:pPr>
              <w:autoSpaceDE w:val="0"/>
              <w:autoSpaceDN w:val="0"/>
              <w:adjustRightInd w:val="0"/>
              <w:spacing w:after="0"/>
              <w:jc w:val="center"/>
              <w:rPr>
                <w:rFonts w:asciiTheme="minorHAnsi" w:hAnsiTheme="minorHAnsi" w:cstheme="minorHAnsi"/>
                <w:sz w:val="18"/>
                <w:szCs w:val="18"/>
                <w:lang w:val="fr-FR"/>
              </w:rPr>
            </w:pPr>
          </w:p>
          <w:p w:rsidR="008A30B9" w:rsidRPr="00C73365" w:rsidRDefault="008A30B9"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Etude de phase IIa dans la rectocol</w:t>
            </w:r>
            <w:r w:rsidR="00A26CFC" w:rsidRPr="00C73365">
              <w:rPr>
                <w:rFonts w:asciiTheme="minorHAnsi" w:hAnsiTheme="minorHAnsi" w:cstheme="minorHAnsi"/>
                <w:sz w:val="18"/>
                <w:szCs w:val="18"/>
                <w:lang w:val="fr-FR"/>
              </w:rPr>
              <w:t>it</w:t>
            </w:r>
            <w:r w:rsidRPr="00C73365">
              <w:rPr>
                <w:rFonts w:asciiTheme="minorHAnsi" w:hAnsiTheme="minorHAnsi" w:cstheme="minorHAnsi"/>
                <w:sz w:val="18"/>
                <w:szCs w:val="18"/>
                <w:lang w:val="fr-FR"/>
              </w:rPr>
              <w:t xml:space="preserve">e hémorragique en cours  </w:t>
            </w: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 </w:t>
            </w:r>
          </w:p>
        </w:tc>
        <w:tc>
          <w:tcPr>
            <w:tcW w:w="158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lastRenderedPageBreak/>
              <w:t>Commercialisation au travers de distributeurs en Asie, en Afrique et en Amérique Latine</w:t>
            </w:r>
          </w:p>
        </w:tc>
        <w:tc>
          <w:tcPr>
            <w:tcW w:w="1276" w:type="dxa"/>
            <w:vMerge w:val="restart"/>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Redevances dues au CNRS, l’Université de Montpellier, l’Institut Curie</w:t>
            </w: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Coût de fabrication de </w:t>
            </w:r>
            <w:r w:rsidRPr="00C73365">
              <w:rPr>
                <w:rFonts w:asciiTheme="minorHAnsi" w:hAnsiTheme="minorHAnsi" w:cstheme="minorHAnsi"/>
                <w:sz w:val="18"/>
                <w:szCs w:val="18"/>
                <w:lang w:val="fr-FR"/>
              </w:rPr>
              <w:lastRenderedPageBreak/>
              <w:t xml:space="preserve">l’antiviral </w:t>
            </w:r>
            <w:r w:rsidR="00E32CFE" w:rsidRPr="00C73365">
              <w:rPr>
                <w:rFonts w:asciiTheme="minorHAnsi" w:hAnsiTheme="minorHAnsi" w:cstheme="minorHAnsi"/>
                <w:sz w:val="18"/>
                <w:szCs w:val="18"/>
                <w:lang w:val="fr-FR"/>
              </w:rPr>
              <w:t>ABX464</w:t>
            </w:r>
          </w:p>
        </w:tc>
        <w:tc>
          <w:tcPr>
            <w:tcW w:w="170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lastRenderedPageBreak/>
              <w:t>Chiffre d’affaires généré par les ventes de l’antiviral par les distributeurs</w:t>
            </w:r>
          </w:p>
        </w:tc>
      </w:tr>
      <w:tr w:rsidR="00B67A56" w:rsidRPr="004A7B49" w:rsidTr="00045411">
        <w:tc>
          <w:tcPr>
            <w:tcW w:w="1271" w:type="dxa"/>
            <w:vMerge/>
            <w:vAlign w:val="center"/>
          </w:tcPr>
          <w:p w:rsidR="00B67A56" w:rsidRPr="00C73365" w:rsidRDefault="00B67A56" w:rsidP="009C5D68">
            <w:pPr>
              <w:autoSpaceDE w:val="0"/>
              <w:autoSpaceDN w:val="0"/>
              <w:adjustRightInd w:val="0"/>
              <w:spacing w:after="0"/>
              <w:jc w:val="center"/>
              <w:rPr>
                <w:rFonts w:asciiTheme="minorHAnsi" w:hAnsiTheme="minorHAnsi" w:cstheme="minorHAnsi"/>
                <w:b/>
                <w:sz w:val="18"/>
                <w:szCs w:val="18"/>
                <w:lang w:val="fr-FR"/>
              </w:rPr>
            </w:pPr>
          </w:p>
        </w:tc>
        <w:tc>
          <w:tcPr>
            <w:tcW w:w="1985" w:type="dxa"/>
            <w:vMerge/>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tc>
        <w:tc>
          <w:tcPr>
            <w:tcW w:w="1962" w:type="dxa"/>
            <w:vMerge/>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tc>
        <w:tc>
          <w:tcPr>
            <w:tcW w:w="158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Licence accordée en Europe, aux </w:t>
            </w:r>
            <w:r w:rsidRPr="00C73365">
              <w:rPr>
                <w:rFonts w:asciiTheme="minorHAnsi" w:hAnsiTheme="minorHAnsi" w:cstheme="minorHAnsi"/>
                <w:sz w:val="18"/>
                <w:szCs w:val="18"/>
                <w:lang w:val="fr-FR"/>
              </w:rPr>
              <w:lastRenderedPageBreak/>
              <w:t>Etats-Unis et au Japon à un laboratoire pharmaceutique</w:t>
            </w:r>
          </w:p>
        </w:tc>
        <w:tc>
          <w:tcPr>
            <w:tcW w:w="1276" w:type="dxa"/>
            <w:vMerge/>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tc>
        <w:tc>
          <w:tcPr>
            <w:tcW w:w="170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Revenus d’un contrat de licence (paiements à la signature, d’étapes et roya</w:t>
            </w:r>
            <w:r w:rsidR="00A26CFC" w:rsidRPr="00C73365">
              <w:rPr>
                <w:rFonts w:asciiTheme="minorHAnsi" w:hAnsiTheme="minorHAnsi" w:cstheme="minorHAnsi"/>
                <w:sz w:val="18"/>
                <w:szCs w:val="18"/>
                <w:lang w:val="fr-FR"/>
              </w:rPr>
              <w:t>lties</w:t>
            </w:r>
            <w:r w:rsidRPr="00C73365">
              <w:rPr>
                <w:rFonts w:asciiTheme="minorHAnsi" w:hAnsiTheme="minorHAnsi" w:cstheme="minorHAnsi"/>
                <w:sz w:val="18"/>
                <w:szCs w:val="18"/>
                <w:lang w:val="fr-FR"/>
              </w:rPr>
              <w:t xml:space="preserve"> sur les ventes une fois </w:t>
            </w:r>
            <w:r w:rsidR="00A26CFC" w:rsidRPr="00C73365">
              <w:rPr>
                <w:rFonts w:asciiTheme="minorHAnsi" w:hAnsiTheme="minorHAnsi" w:cstheme="minorHAnsi"/>
                <w:sz w:val="18"/>
                <w:szCs w:val="18"/>
                <w:lang w:val="fr-FR"/>
              </w:rPr>
              <w:t>l</w:t>
            </w:r>
            <w:r w:rsidRPr="00C73365">
              <w:rPr>
                <w:rFonts w:asciiTheme="minorHAnsi" w:hAnsiTheme="minorHAnsi" w:cstheme="minorHAnsi"/>
                <w:sz w:val="18"/>
                <w:szCs w:val="18"/>
                <w:lang w:val="fr-FR"/>
              </w:rPr>
              <w:t>e produit commercialisé)</w:t>
            </w:r>
          </w:p>
        </w:tc>
      </w:tr>
      <w:tr w:rsidR="00B67A56" w:rsidRPr="004A7B49" w:rsidTr="00045411">
        <w:trPr>
          <w:trHeight w:val="64"/>
        </w:trPr>
        <w:tc>
          <w:tcPr>
            <w:tcW w:w="127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b/>
                <w:sz w:val="18"/>
                <w:szCs w:val="18"/>
                <w:lang w:val="fr-FR"/>
              </w:rPr>
            </w:pPr>
            <w:r w:rsidRPr="00C73365">
              <w:rPr>
                <w:rFonts w:asciiTheme="minorHAnsi" w:hAnsiTheme="minorHAnsi" w:cstheme="minorHAnsi"/>
                <w:b/>
                <w:sz w:val="18"/>
                <w:szCs w:val="18"/>
                <w:lang w:val="fr-FR"/>
              </w:rPr>
              <w:lastRenderedPageBreak/>
              <w:t>ABX196 :</w:t>
            </w:r>
          </w:p>
          <w:p w:rsidR="00B67A56" w:rsidRPr="00C73365" w:rsidRDefault="00B67A56" w:rsidP="009C5D68">
            <w:pPr>
              <w:autoSpaceDE w:val="0"/>
              <w:autoSpaceDN w:val="0"/>
              <w:adjustRightInd w:val="0"/>
              <w:spacing w:after="0"/>
              <w:jc w:val="center"/>
              <w:rPr>
                <w:rFonts w:asciiTheme="minorHAnsi" w:hAnsiTheme="minorHAnsi" w:cstheme="minorHAnsi"/>
                <w:b/>
                <w:sz w:val="18"/>
                <w:szCs w:val="18"/>
                <w:lang w:val="fr-FR"/>
              </w:rPr>
            </w:pPr>
            <w:r w:rsidRPr="00C73365">
              <w:rPr>
                <w:rFonts w:asciiTheme="minorHAnsi" w:hAnsiTheme="minorHAnsi" w:cstheme="minorHAnsi"/>
                <w:b/>
                <w:sz w:val="18"/>
                <w:szCs w:val="18"/>
                <w:lang w:val="fr-FR"/>
              </w:rPr>
              <w:t>Agent immuno</w:t>
            </w:r>
          </w:p>
          <w:p w:rsidR="00B67A56" w:rsidRPr="00C73365" w:rsidRDefault="00B67A56" w:rsidP="009C5D68">
            <w:pPr>
              <w:autoSpaceDE w:val="0"/>
              <w:autoSpaceDN w:val="0"/>
              <w:adjustRightInd w:val="0"/>
              <w:spacing w:after="0"/>
              <w:jc w:val="center"/>
              <w:rPr>
                <w:rFonts w:asciiTheme="minorHAnsi" w:hAnsiTheme="minorHAnsi" w:cstheme="minorHAnsi"/>
                <w:b/>
                <w:sz w:val="18"/>
                <w:szCs w:val="18"/>
                <w:lang w:val="fr-FR"/>
              </w:rPr>
            </w:pPr>
            <w:r w:rsidRPr="00C73365">
              <w:rPr>
                <w:rFonts w:asciiTheme="minorHAnsi" w:hAnsiTheme="minorHAnsi" w:cstheme="minorHAnsi"/>
                <w:b/>
                <w:sz w:val="18"/>
                <w:szCs w:val="18"/>
                <w:lang w:val="fr-FR"/>
              </w:rPr>
              <w:t xml:space="preserve">stimulant pour l’immuno-oncologie et l’immuno-virologie </w:t>
            </w:r>
          </w:p>
        </w:tc>
        <w:tc>
          <w:tcPr>
            <w:tcW w:w="1985"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Produit issue de la plateforme technologique « Stimulation Immunitaire » d’</w:t>
            </w:r>
            <w:r w:rsidR="00EF089C" w:rsidRPr="00C73365">
              <w:rPr>
                <w:rFonts w:asciiTheme="minorHAnsi" w:hAnsiTheme="minorHAnsi" w:cstheme="minorHAnsi"/>
                <w:sz w:val="18"/>
                <w:szCs w:val="18"/>
                <w:lang w:val="fr-FR"/>
              </w:rPr>
              <w:t>ABIVAX</w:t>
            </w:r>
            <w:r w:rsidRPr="00C73365">
              <w:rPr>
                <w:rFonts w:asciiTheme="minorHAnsi" w:hAnsiTheme="minorHAnsi" w:cstheme="minorHAnsi"/>
                <w:sz w:val="18"/>
                <w:szCs w:val="18"/>
                <w:lang w:val="fr-FR"/>
              </w:rPr>
              <w:t xml:space="preserve"> et d’une licence du Scripps Research Institute, à l’Université de Chicago et à la Brigham Young University</w:t>
            </w:r>
          </w:p>
        </w:tc>
        <w:tc>
          <w:tcPr>
            <w:tcW w:w="1962" w:type="dxa"/>
            <w:vAlign w:val="center"/>
          </w:tcPr>
          <w:p w:rsidR="00B67A56" w:rsidRPr="00C73365" w:rsidRDefault="00EF089C"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ABIVAX</w:t>
            </w:r>
            <w:r w:rsidR="00B67A56" w:rsidRPr="00C73365">
              <w:rPr>
                <w:rFonts w:asciiTheme="minorHAnsi" w:hAnsiTheme="minorHAnsi" w:cstheme="minorHAnsi"/>
                <w:sz w:val="18"/>
                <w:szCs w:val="18"/>
                <w:lang w:val="fr-FR"/>
              </w:rPr>
              <w:t xml:space="preserve"> conduit actuellement des études précliniques pour les applications en immuno-oncologie (molécule anti-cancéreuse + ABX196)</w:t>
            </w:r>
          </w:p>
          <w:p w:rsidR="00B67A56" w:rsidRPr="00C73365" w:rsidRDefault="00B67A56" w:rsidP="009C5D68">
            <w:pPr>
              <w:pBdr>
                <w:bottom w:val="single" w:sz="6" w:space="1" w:color="auto"/>
              </w:pBd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8A30B9" w:rsidRPr="00C73365" w:rsidRDefault="00EF089C" w:rsidP="00A26CFC">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ABIVAX</w:t>
            </w:r>
            <w:r w:rsidR="00B67A56" w:rsidRPr="00C73365">
              <w:rPr>
                <w:rFonts w:asciiTheme="minorHAnsi" w:hAnsiTheme="minorHAnsi" w:cstheme="minorHAnsi"/>
                <w:sz w:val="18"/>
                <w:szCs w:val="18"/>
                <w:lang w:val="fr-FR"/>
              </w:rPr>
              <w:t xml:space="preserve"> prévoit de </w:t>
            </w:r>
            <w:r w:rsidR="00A26CFC" w:rsidRPr="00C73365">
              <w:rPr>
                <w:rFonts w:asciiTheme="minorHAnsi" w:hAnsiTheme="minorHAnsi" w:cstheme="minorHAnsi"/>
                <w:sz w:val="18"/>
                <w:szCs w:val="18"/>
                <w:lang w:val="fr-FR"/>
              </w:rPr>
              <w:t xml:space="preserve">lancer </w:t>
            </w:r>
            <w:r w:rsidR="008A30B9" w:rsidRPr="00C73365">
              <w:rPr>
                <w:rFonts w:asciiTheme="minorHAnsi" w:hAnsiTheme="minorHAnsi" w:cstheme="minorHAnsi"/>
                <w:sz w:val="18"/>
                <w:szCs w:val="18"/>
                <w:lang w:val="fr-FR"/>
              </w:rPr>
              <w:t>une étude clinique de preuve de concept dans l’hépatocarcinome</w:t>
            </w:r>
            <w:r w:rsidR="00A26CFC" w:rsidRPr="00C73365">
              <w:rPr>
                <w:rFonts w:asciiTheme="minorHAnsi" w:hAnsiTheme="minorHAnsi" w:cstheme="minorHAnsi"/>
                <w:sz w:val="18"/>
                <w:szCs w:val="18"/>
                <w:lang w:val="fr-FR"/>
              </w:rPr>
              <w:t xml:space="preserve"> avancé</w:t>
            </w:r>
            <w:r w:rsidR="008A30B9" w:rsidRPr="00C73365">
              <w:rPr>
                <w:rFonts w:asciiTheme="minorHAnsi" w:hAnsiTheme="minorHAnsi" w:cstheme="minorHAnsi"/>
                <w:sz w:val="18"/>
                <w:szCs w:val="18"/>
                <w:lang w:val="fr-FR"/>
              </w:rPr>
              <w:t>, associant ABX196 + Anti-PD1</w:t>
            </w: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tc>
        <w:tc>
          <w:tcPr>
            <w:tcW w:w="158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Licence accordée à un laboratoire pharmaceutique après validation de la preuve de concept</w:t>
            </w:r>
          </w:p>
          <w:p w:rsidR="00B67A56" w:rsidRPr="00C73365" w:rsidRDefault="00B67A56" w:rsidP="009C5D68">
            <w:pPr>
              <w:pBdr>
                <w:bottom w:val="single" w:sz="6" w:space="1" w:color="auto"/>
              </w:pBd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rPr>
                <w:rFonts w:asciiTheme="minorHAnsi" w:hAnsiTheme="minorHAnsi" w:cstheme="minorHAnsi"/>
                <w:sz w:val="18"/>
                <w:szCs w:val="18"/>
                <w:lang w:val="fr-FR"/>
              </w:rPr>
            </w:pPr>
            <w:r w:rsidRPr="00C73365">
              <w:rPr>
                <w:rFonts w:asciiTheme="minorHAnsi" w:hAnsiTheme="minorHAnsi" w:cstheme="minorHAnsi"/>
                <w:sz w:val="18"/>
                <w:szCs w:val="18"/>
                <w:lang w:val="fr-FR"/>
              </w:rPr>
              <w:t>Commercialisation via des distributeurs et/ou License accordée à un laboratoire pharmaceutique</w:t>
            </w:r>
          </w:p>
        </w:tc>
        <w:tc>
          <w:tcPr>
            <w:tcW w:w="1276"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Redevances dues au Scripps Research Institute, à l’Université de Chicago et à la Brigham Young University</w:t>
            </w:r>
          </w:p>
        </w:tc>
        <w:tc>
          <w:tcPr>
            <w:tcW w:w="170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Revenus d’un contrat de licence (paiements à la signature, d’étapes et roya</w:t>
            </w:r>
            <w:r w:rsidR="00A26CFC" w:rsidRPr="00C73365">
              <w:rPr>
                <w:rFonts w:asciiTheme="minorHAnsi" w:hAnsiTheme="minorHAnsi" w:cstheme="minorHAnsi"/>
                <w:sz w:val="18"/>
                <w:szCs w:val="18"/>
                <w:lang w:val="fr-FR"/>
              </w:rPr>
              <w:t>lties</w:t>
            </w:r>
            <w:r w:rsidRPr="00C73365">
              <w:rPr>
                <w:rFonts w:asciiTheme="minorHAnsi" w:hAnsiTheme="minorHAnsi" w:cstheme="minorHAnsi"/>
                <w:sz w:val="18"/>
                <w:szCs w:val="18"/>
                <w:lang w:val="fr-FR"/>
              </w:rPr>
              <w:t xml:space="preserve"> sur les ventes une fois le produit commercialisé)</w:t>
            </w:r>
          </w:p>
          <w:p w:rsidR="00B67A56" w:rsidRPr="00C73365" w:rsidRDefault="00B67A56" w:rsidP="009C5D68">
            <w:pPr>
              <w:pBdr>
                <w:bottom w:val="single" w:sz="6" w:space="1" w:color="auto"/>
              </w:pBdr>
              <w:autoSpaceDE w:val="0"/>
              <w:autoSpaceDN w:val="0"/>
              <w:adjustRightInd w:val="0"/>
              <w:spacing w:after="0"/>
              <w:jc w:val="center"/>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rPr>
                <w:rFonts w:asciiTheme="minorHAnsi" w:hAnsiTheme="minorHAnsi" w:cstheme="minorHAnsi"/>
                <w:sz w:val="18"/>
                <w:szCs w:val="18"/>
                <w:lang w:val="fr-FR"/>
              </w:rPr>
            </w:pPr>
            <w:r w:rsidRPr="00C73365">
              <w:rPr>
                <w:rFonts w:asciiTheme="minorHAnsi" w:hAnsiTheme="minorHAnsi" w:cstheme="minorHAnsi"/>
                <w:sz w:val="18"/>
                <w:szCs w:val="18"/>
                <w:lang w:val="fr-FR"/>
              </w:rPr>
              <w:t>Revenus générés via les ventes via des distributeurs et/ou revenus d’un contrat de licence (paiements à la signature, d’étapes et roya</w:t>
            </w:r>
            <w:r w:rsidR="00A26CFC" w:rsidRPr="00C73365">
              <w:rPr>
                <w:rFonts w:asciiTheme="minorHAnsi" w:hAnsiTheme="minorHAnsi" w:cstheme="minorHAnsi"/>
                <w:sz w:val="18"/>
                <w:szCs w:val="18"/>
                <w:lang w:val="fr-FR"/>
              </w:rPr>
              <w:t>lties</w:t>
            </w:r>
            <w:r w:rsidRPr="00C73365">
              <w:rPr>
                <w:rFonts w:asciiTheme="minorHAnsi" w:hAnsiTheme="minorHAnsi" w:cstheme="minorHAnsi"/>
                <w:sz w:val="18"/>
                <w:szCs w:val="18"/>
                <w:lang w:val="fr-FR"/>
              </w:rPr>
              <w:t xml:space="preserve"> sur les ventes une fois le produit commercialisé)</w:t>
            </w:r>
          </w:p>
          <w:p w:rsidR="00B67A56" w:rsidRPr="00C73365" w:rsidRDefault="00B67A56" w:rsidP="009C5D68">
            <w:pPr>
              <w:autoSpaceDE w:val="0"/>
              <w:autoSpaceDN w:val="0"/>
              <w:adjustRightInd w:val="0"/>
              <w:spacing w:after="0"/>
              <w:rPr>
                <w:rFonts w:asciiTheme="minorHAnsi" w:hAnsiTheme="minorHAnsi" w:cstheme="minorHAnsi"/>
                <w:sz w:val="18"/>
                <w:szCs w:val="18"/>
                <w:lang w:val="fr-FR"/>
              </w:rPr>
            </w:pP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tc>
      </w:tr>
      <w:tr w:rsidR="00B67A56" w:rsidRPr="004A7B49" w:rsidTr="00045411">
        <w:trPr>
          <w:trHeight w:val="41"/>
        </w:trPr>
        <w:tc>
          <w:tcPr>
            <w:tcW w:w="1271" w:type="dxa"/>
            <w:vAlign w:val="center"/>
          </w:tcPr>
          <w:p w:rsidR="00B67A56" w:rsidRPr="00C73365" w:rsidRDefault="00B67A56" w:rsidP="009C5D68">
            <w:pPr>
              <w:keepNext/>
              <w:keepLines/>
              <w:autoSpaceDE w:val="0"/>
              <w:autoSpaceDN w:val="0"/>
              <w:adjustRightInd w:val="0"/>
              <w:spacing w:after="0"/>
              <w:jc w:val="center"/>
              <w:rPr>
                <w:rFonts w:asciiTheme="minorHAnsi" w:hAnsiTheme="minorHAnsi" w:cstheme="minorHAnsi"/>
                <w:b/>
                <w:sz w:val="18"/>
                <w:szCs w:val="18"/>
              </w:rPr>
            </w:pPr>
            <w:r w:rsidRPr="00C73365">
              <w:rPr>
                <w:rFonts w:asciiTheme="minorHAnsi" w:hAnsiTheme="minorHAnsi" w:cstheme="minorHAnsi"/>
                <w:b/>
                <w:sz w:val="18"/>
                <w:szCs w:val="18"/>
              </w:rPr>
              <w:lastRenderedPageBreak/>
              <w:t>ABX544 :</w:t>
            </w:r>
          </w:p>
          <w:p w:rsidR="00B67A56" w:rsidRPr="00C73365" w:rsidRDefault="00B67A56" w:rsidP="009C5D68">
            <w:pPr>
              <w:autoSpaceDE w:val="0"/>
              <w:autoSpaceDN w:val="0"/>
              <w:adjustRightInd w:val="0"/>
              <w:spacing w:after="0"/>
              <w:jc w:val="center"/>
              <w:rPr>
                <w:rFonts w:asciiTheme="minorHAnsi" w:hAnsiTheme="minorHAnsi" w:cstheme="minorHAnsi"/>
                <w:b/>
                <w:sz w:val="18"/>
                <w:szCs w:val="18"/>
                <w:lang w:val="fr-FR"/>
              </w:rPr>
            </w:pPr>
            <w:r w:rsidRPr="00C73365">
              <w:rPr>
                <w:rFonts w:asciiTheme="minorHAnsi" w:hAnsiTheme="minorHAnsi" w:cstheme="minorHAnsi"/>
                <w:b/>
                <w:sz w:val="18"/>
                <w:szCs w:val="18"/>
              </w:rPr>
              <w:t>Traitement d’Ebola</w:t>
            </w:r>
          </w:p>
        </w:tc>
        <w:tc>
          <w:tcPr>
            <w:tcW w:w="1985"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Technologie mise en œuvre par </w:t>
            </w:r>
            <w:r w:rsidR="00EF089C" w:rsidRPr="00C73365">
              <w:rPr>
                <w:rFonts w:asciiTheme="minorHAnsi" w:hAnsiTheme="minorHAnsi" w:cstheme="minorHAnsi"/>
                <w:sz w:val="18"/>
                <w:szCs w:val="18"/>
                <w:lang w:val="fr-FR"/>
              </w:rPr>
              <w:t>ABIVAX</w:t>
            </w:r>
            <w:r w:rsidRPr="00C73365">
              <w:rPr>
                <w:rFonts w:asciiTheme="minorHAnsi" w:hAnsiTheme="minorHAnsi" w:cstheme="minorHAnsi"/>
                <w:sz w:val="18"/>
                <w:szCs w:val="18"/>
                <w:lang w:val="fr-FR"/>
              </w:rPr>
              <w:t xml:space="preserve"> </w:t>
            </w:r>
          </w:p>
        </w:tc>
        <w:tc>
          <w:tcPr>
            <w:tcW w:w="1962"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rPr>
              <w:t>Stade préclinique</w:t>
            </w:r>
          </w:p>
        </w:tc>
        <w:tc>
          <w:tcPr>
            <w:tcW w:w="4558" w:type="dxa"/>
            <w:gridSpan w:val="3"/>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Non arrêté à ce stade de développement (entre développement en propre et licence) et sera fonction des résultats précliniques</w:t>
            </w:r>
          </w:p>
        </w:tc>
      </w:tr>
      <w:tr w:rsidR="00B67A56" w:rsidRPr="004A7B49" w:rsidTr="00045411">
        <w:trPr>
          <w:trHeight w:val="1773"/>
        </w:trPr>
        <w:tc>
          <w:tcPr>
            <w:tcW w:w="1271" w:type="dxa"/>
            <w:tcBorders>
              <w:top w:val="single" w:sz="4" w:space="0" w:color="auto"/>
              <w:left w:val="single" w:sz="4" w:space="0" w:color="auto"/>
              <w:bottom w:val="single" w:sz="4" w:space="0" w:color="auto"/>
              <w:right w:val="single" w:sz="4" w:space="0" w:color="auto"/>
            </w:tcBorders>
            <w:vAlign w:val="center"/>
          </w:tcPr>
          <w:p w:rsidR="00B67A56" w:rsidRPr="00C73365" w:rsidRDefault="00B67A56" w:rsidP="009C5D68">
            <w:pPr>
              <w:keepNext/>
              <w:keepLines/>
              <w:autoSpaceDE w:val="0"/>
              <w:autoSpaceDN w:val="0"/>
              <w:adjustRightInd w:val="0"/>
              <w:spacing w:after="0"/>
              <w:jc w:val="center"/>
              <w:rPr>
                <w:rFonts w:asciiTheme="minorHAnsi" w:hAnsiTheme="minorHAnsi" w:cstheme="minorHAnsi"/>
                <w:b/>
                <w:sz w:val="18"/>
                <w:szCs w:val="18"/>
                <w:lang w:val="fr-FR"/>
              </w:rPr>
            </w:pPr>
          </w:p>
          <w:p w:rsidR="00B67A56" w:rsidRPr="00C73365" w:rsidRDefault="00B67A56" w:rsidP="009C5D68">
            <w:pPr>
              <w:keepNext/>
              <w:keepLines/>
              <w:autoSpaceDE w:val="0"/>
              <w:autoSpaceDN w:val="0"/>
              <w:adjustRightInd w:val="0"/>
              <w:spacing w:after="0"/>
              <w:jc w:val="center"/>
              <w:rPr>
                <w:rFonts w:asciiTheme="minorHAnsi" w:hAnsiTheme="minorHAnsi" w:cstheme="minorHAnsi"/>
                <w:b/>
                <w:sz w:val="18"/>
                <w:szCs w:val="18"/>
                <w:lang w:val="fr-FR"/>
              </w:rPr>
            </w:pPr>
          </w:p>
          <w:p w:rsidR="00280009" w:rsidRPr="00C73365" w:rsidRDefault="00B67A56" w:rsidP="009C5D68">
            <w:pPr>
              <w:keepNext/>
              <w:keepLines/>
              <w:autoSpaceDE w:val="0"/>
              <w:autoSpaceDN w:val="0"/>
              <w:adjustRightInd w:val="0"/>
              <w:spacing w:after="0"/>
              <w:jc w:val="center"/>
              <w:rPr>
                <w:rFonts w:asciiTheme="minorHAnsi" w:hAnsiTheme="minorHAnsi" w:cstheme="minorHAnsi"/>
                <w:b/>
                <w:sz w:val="18"/>
                <w:szCs w:val="18"/>
              </w:rPr>
            </w:pPr>
            <w:r w:rsidRPr="00C73365">
              <w:rPr>
                <w:rFonts w:asciiTheme="minorHAnsi" w:hAnsiTheme="minorHAnsi" w:cstheme="minorHAnsi"/>
                <w:b/>
                <w:sz w:val="18"/>
                <w:szCs w:val="18"/>
              </w:rPr>
              <w:t xml:space="preserve">Traitement </w:t>
            </w:r>
          </w:p>
          <w:p w:rsidR="00B67A56" w:rsidRPr="00C73365" w:rsidRDefault="00B67A56" w:rsidP="00280009">
            <w:pPr>
              <w:keepNext/>
              <w:keepLines/>
              <w:autoSpaceDE w:val="0"/>
              <w:autoSpaceDN w:val="0"/>
              <w:adjustRightInd w:val="0"/>
              <w:spacing w:after="0"/>
              <w:rPr>
                <w:rFonts w:asciiTheme="minorHAnsi" w:hAnsiTheme="minorHAnsi" w:cstheme="minorHAnsi"/>
                <w:b/>
                <w:sz w:val="18"/>
                <w:szCs w:val="18"/>
              </w:rPr>
            </w:pPr>
            <w:r w:rsidRPr="00C73365">
              <w:rPr>
                <w:rFonts w:asciiTheme="minorHAnsi" w:hAnsiTheme="minorHAnsi" w:cstheme="minorHAnsi"/>
                <w:b/>
                <w:sz w:val="18"/>
                <w:szCs w:val="18"/>
              </w:rPr>
              <w:t>de la Dengue</w:t>
            </w:r>
          </w:p>
        </w:tc>
        <w:tc>
          <w:tcPr>
            <w:tcW w:w="1985" w:type="dxa"/>
            <w:tcBorders>
              <w:top w:val="single" w:sz="4" w:space="0" w:color="auto"/>
              <w:left w:val="single" w:sz="4" w:space="0" w:color="auto"/>
              <w:bottom w:val="single" w:sz="4" w:space="0" w:color="auto"/>
              <w:right w:val="single" w:sz="4" w:space="0" w:color="auto"/>
            </w:tcBorders>
            <w:vAlign w:val="center"/>
          </w:tcPr>
          <w:p w:rsidR="00B67A56" w:rsidRPr="00C73365" w:rsidRDefault="00B67A56" w:rsidP="009C5D68">
            <w:pPr>
              <w:keepNext/>
              <w:keepLines/>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Produit issu de la plateforme technologique « Antivirale » d’</w:t>
            </w:r>
            <w:r w:rsidR="00EF089C" w:rsidRPr="00C73365">
              <w:rPr>
                <w:rFonts w:asciiTheme="minorHAnsi" w:hAnsiTheme="minorHAnsi" w:cstheme="minorHAnsi"/>
                <w:sz w:val="18"/>
                <w:szCs w:val="18"/>
                <w:lang w:val="fr-FR"/>
              </w:rPr>
              <w:t>ABIVAX</w:t>
            </w:r>
          </w:p>
          <w:p w:rsidR="00B67A56" w:rsidRPr="00C73365" w:rsidRDefault="00B67A56" w:rsidP="009C5D68">
            <w:pPr>
              <w:keepNext/>
              <w:keepLines/>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(Copropriété de certains brevets avec le CNRS, l’Université de Montpellier et de l’Institut Curie)</w:t>
            </w:r>
          </w:p>
        </w:tc>
        <w:tc>
          <w:tcPr>
            <w:tcW w:w="1962" w:type="dxa"/>
            <w:tcBorders>
              <w:top w:val="single" w:sz="4" w:space="0" w:color="auto"/>
              <w:left w:val="single" w:sz="4" w:space="0" w:color="auto"/>
              <w:bottom w:val="single" w:sz="4" w:space="0" w:color="auto"/>
              <w:right w:val="single" w:sz="4" w:space="0" w:color="auto"/>
            </w:tcBorders>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rPr>
            </w:pPr>
            <w:r w:rsidRPr="00C73365">
              <w:rPr>
                <w:rFonts w:asciiTheme="minorHAnsi" w:hAnsiTheme="minorHAnsi" w:cstheme="minorHAnsi"/>
                <w:sz w:val="18"/>
                <w:szCs w:val="18"/>
              </w:rPr>
              <w:t>Recherche</w:t>
            </w:r>
          </w:p>
          <w:p w:rsidR="00B67A56" w:rsidRPr="00C73365" w:rsidRDefault="00B67A56" w:rsidP="009C5D68">
            <w:pPr>
              <w:autoSpaceDE w:val="0"/>
              <w:autoSpaceDN w:val="0"/>
              <w:adjustRightInd w:val="0"/>
              <w:spacing w:after="0"/>
              <w:jc w:val="center"/>
              <w:rPr>
                <w:rFonts w:asciiTheme="minorHAnsi" w:hAnsiTheme="minorHAnsi" w:cstheme="minorHAnsi"/>
                <w:sz w:val="18"/>
                <w:szCs w:val="18"/>
              </w:rPr>
            </w:pPr>
          </w:p>
        </w:tc>
        <w:tc>
          <w:tcPr>
            <w:tcW w:w="1581" w:type="dxa"/>
            <w:tcBorders>
              <w:top w:val="single" w:sz="4" w:space="0" w:color="auto"/>
              <w:left w:val="single" w:sz="4" w:space="0" w:color="auto"/>
              <w:bottom w:val="single" w:sz="4" w:space="0" w:color="auto"/>
              <w:right w:val="single" w:sz="4" w:space="0" w:color="auto"/>
            </w:tcBorders>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Non arrêté à ce stade de développement (entre développement en propre et licence) et sera fonction des résultats précliniques</w:t>
            </w:r>
          </w:p>
        </w:tc>
        <w:tc>
          <w:tcPr>
            <w:tcW w:w="1276"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Redevances dues au CNRS, l’Université de Montpellier, l’Institut Curie</w:t>
            </w:r>
          </w:p>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p>
        </w:tc>
        <w:tc>
          <w:tcPr>
            <w:tcW w:w="1701" w:type="dxa"/>
            <w:vAlign w:val="center"/>
          </w:tcPr>
          <w:p w:rsidR="00B67A56" w:rsidRPr="00C73365" w:rsidRDefault="00B67A56" w:rsidP="009C5D68">
            <w:pPr>
              <w:autoSpaceDE w:val="0"/>
              <w:autoSpaceDN w:val="0"/>
              <w:adjustRightInd w:val="0"/>
              <w:spacing w:after="0"/>
              <w:jc w:val="center"/>
              <w:rPr>
                <w:rFonts w:asciiTheme="minorHAnsi" w:hAnsiTheme="minorHAnsi" w:cstheme="minorHAnsi"/>
                <w:sz w:val="18"/>
                <w:szCs w:val="18"/>
                <w:lang w:val="fr-FR"/>
              </w:rPr>
            </w:pPr>
            <w:r w:rsidRPr="00C73365">
              <w:rPr>
                <w:rFonts w:asciiTheme="minorHAnsi" w:hAnsiTheme="minorHAnsi" w:cstheme="minorHAnsi"/>
                <w:sz w:val="18"/>
                <w:szCs w:val="18"/>
                <w:lang w:val="fr-FR"/>
              </w:rPr>
              <w:t>Fonction du modèle de développement</w:t>
            </w:r>
          </w:p>
        </w:tc>
      </w:tr>
    </w:tbl>
    <w:p w:rsidR="00280009" w:rsidRPr="00C73365" w:rsidRDefault="00280009" w:rsidP="00280009">
      <w:pPr>
        <w:rPr>
          <w:rFonts w:asciiTheme="minorHAnsi" w:hAnsiTheme="minorHAnsi" w:cstheme="minorHAnsi"/>
          <w:lang w:val="fr-FR"/>
        </w:rPr>
      </w:pPr>
      <w:bookmarkStart w:id="309" w:name="_Toc461441216"/>
      <w:bookmarkStart w:id="310" w:name="_Toc460232645"/>
      <w:bookmarkStart w:id="311" w:name="_Toc460232646"/>
      <w:bookmarkStart w:id="312" w:name="_Toc466382417"/>
      <w:bookmarkStart w:id="313" w:name="_Toc466382418"/>
      <w:bookmarkStart w:id="314" w:name="_Toc466382419"/>
      <w:bookmarkStart w:id="315" w:name="_Toc408918421"/>
      <w:bookmarkStart w:id="316" w:name="_Toc409537502"/>
      <w:bookmarkEnd w:id="205"/>
      <w:bookmarkEnd w:id="309"/>
      <w:bookmarkEnd w:id="310"/>
      <w:bookmarkEnd w:id="311"/>
      <w:bookmarkEnd w:id="312"/>
      <w:bookmarkEnd w:id="313"/>
      <w:bookmarkEnd w:id="314"/>
    </w:p>
    <w:p w:rsidR="00280009" w:rsidRPr="00C73365" w:rsidRDefault="00280009" w:rsidP="00280009">
      <w:pPr>
        <w:rPr>
          <w:rFonts w:asciiTheme="minorHAnsi" w:hAnsiTheme="minorHAnsi" w:cstheme="minorHAnsi"/>
          <w:lang w:val="fr-FR"/>
        </w:rPr>
      </w:pPr>
    </w:p>
    <w:p w:rsidR="00B67A56" w:rsidRPr="00C73365" w:rsidRDefault="00B67A56" w:rsidP="00B67A56">
      <w:pPr>
        <w:pStyle w:val="ListParagraph"/>
        <w:numPr>
          <w:ilvl w:val="2"/>
          <w:numId w:val="9"/>
        </w:numPr>
        <w:outlineLvl w:val="2"/>
        <w:rPr>
          <w:rFonts w:asciiTheme="minorHAnsi" w:hAnsiTheme="minorHAnsi" w:cstheme="minorHAnsi"/>
          <w:b/>
          <w:color w:val="7030A0"/>
          <w:sz w:val="22"/>
          <w:szCs w:val="22"/>
          <w:lang w:val="fr-FR"/>
        </w:rPr>
      </w:pPr>
      <w:r w:rsidRPr="00C73365">
        <w:rPr>
          <w:rFonts w:asciiTheme="minorHAnsi" w:hAnsiTheme="minorHAnsi" w:cstheme="minorHAnsi"/>
          <w:b/>
          <w:color w:val="7030A0"/>
          <w:sz w:val="22"/>
          <w:szCs w:val="22"/>
          <w:lang w:val="fr-FR"/>
        </w:rPr>
        <w:t>Organigramme d</w:t>
      </w:r>
      <w:r w:rsidR="004572A0" w:rsidRPr="00C73365">
        <w:rPr>
          <w:rFonts w:asciiTheme="minorHAnsi" w:hAnsiTheme="minorHAnsi" w:cstheme="minorHAnsi"/>
          <w:b/>
          <w:color w:val="7030A0"/>
          <w:sz w:val="22"/>
          <w:szCs w:val="22"/>
          <w:lang w:val="fr-FR"/>
        </w:rPr>
        <w:t>’</w:t>
      </w:r>
      <w:r w:rsidR="00EF089C" w:rsidRPr="00C73365">
        <w:rPr>
          <w:rFonts w:asciiTheme="minorHAnsi" w:hAnsiTheme="minorHAnsi" w:cstheme="minorHAnsi"/>
          <w:b/>
          <w:color w:val="7030A0"/>
          <w:sz w:val="22"/>
          <w:szCs w:val="22"/>
          <w:lang w:val="fr-FR"/>
        </w:rPr>
        <w:t>ABIVAX</w:t>
      </w:r>
      <w:bookmarkEnd w:id="315"/>
      <w:bookmarkEnd w:id="316"/>
    </w:p>
    <w:p w:rsidR="00B67A56" w:rsidRPr="00C73365" w:rsidRDefault="00EF089C" w:rsidP="004572A0">
      <w:pPr>
        <w:pStyle w:val="BodyText"/>
        <w:rPr>
          <w:rFonts w:asciiTheme="minorHAnsi" w:hAnsiTheme="minorHAnsi" w:cstheme="minorHAnsi"/>
          <w:i/>
          <w:lang w:val="fr-FR"/>
        </w:rPr>
      </w:pPr>
      <w:r w:rsidRPr="00C73365">
        <w:rPr>
          <w:rFonts w:asciiTheme="minorHAnsi" w:hAnsiTheme="minorHAnsi" w:cstheme="minorHAnsi"/>
          <w:lang w:val="fr-FR"/>
        </w:rPr>
        <w:t>ABIVAX</w:t>
      </w:r>
      <w:r w:rsidR="00B67A56" w:rsidRPr="00C73365">
        <w:rPr>
          <w:rFonts w:asciiTheme="minorHAnsi" w:hAnsiTheme="minorHAnsi" w:cstheme="minorHAnsi"/>
          <w:lang w:val="fr-FR"/>
        </w:rPr>
        <w:t xml:space="preserve"> dispose d</w:t>
      </w:r>
      <w:r w:rsidR="004572A0" w:rsidRPr="00C73365">
        <w:rPr>
          <w:rFonts w:asciiTheme="minorHAnsi" w:hAnsiTheme="minorHAnsi" w:cstheme="minorHAnsi"/>
          <w:lang w:val="fr-FR"/>
        </w:rPr>
        <w:t>’</w:t>
      </w:r>
      <w:r w:rsidR="00B67A56" w:rsidRPr="00C73365">
        <w:rPr>
          <w:rFonts w:asciiTheme="minorHAnsi" w:hAnsiTheme="minorHAnsi" w:cstheme="minorHAnsi"/>
          <w:lang w:val="fr-FR"/>
        </w:rPr>
        <w:t>une équipe dirigeante forte d</w:t>
      </w:r>
      <w:r w:rsidR="004572A0" w:rsidRPr="00C73365">
        <w:rPr>
          <w:rFonts w:asciiTheme="minorHAnsi" w:hAnsiTheme="minorHAnsi" w:cstheme="minorHAnsi"/>
          <w:lang w:val="fr-FR"/>
        </w:rPr>
        <w:t>’</w:t>
      </w:r>
      <w:r w:rsidR="00B67A56" w:rsidRPr="00C73365">
        <w:rPr>
          <w:rFonts w:asciiTheme="minorHAnsi" w:hAnsiTheme="minorHAnsi" w:cstheme="minorHAnsi"/>
          <w:lang w:val="fr-FR"/>
        </w:rPr>
        <w:t>une grande expérience internationale, ainsi que d</w:t>
      </w:r>
      <w:r w:rsidR="004572A0" w:rsidRPr="00C73365">
        <w:rPr>
          <w:rFonts w:asciiTheme="minorHAnsi" w:hAnsiTheme="minorHAnsi" w:cstheme="minorHAnsi"/>
          <w:lang w:val="fr-FR"/>
        </w:rPr>
        <w:t>’</w:t>
      </w:r>
      <w:r w:rsidR="00B67A56" w:rsidRPr="00C73365">
        <w:rPr>
          <w:rFonts w:asciiTheme="minorHAnsi" w:hAnsiTheme="minorHAnsi" w:cstheme="minorHAnsi"/>
          <w:lang w:val="fr-FR"/>
        </w:rPr>
        <w:t>un conseil d</w:t>
      </w:r>
      <w:r w:rsidR="004572A0" w:rsidRPr="00C73365">
        <w:rPr>
          <w:rFonts w:asciiTheme="minorHAnsi" w:hAnsiTheme="minorHAnsi" w:cstheme="minorHAnsi"/>
          <w:lang w:val="fr-FR"/>
        </w:rPr>
        <w:t>’</w:t>
      </w:r>
      <w:r w:rsidR="00B67A56" w:rsidRPr="00C73365">
        <w:rPr>
          <w:rFonts w:asciiTheme="minorHAnsi" w:hAnsiTheme="minorHAnsi" w:cstheme="minorHAnsi"/>
          <w:lang w:val="fr-FR"/>
        </w:rPr>
        <w:t>administration et d</w:t>
      </w:r>
      <w:r w:rsidR="004572A0" w:rsidRPr="00C73365">
        <w:rPr>
          <w:rFonts w:asciiTheme="minorHAnsi" w:hAnsiTheme="minorHAnsi" w:cstheme="minorHAnsi"/>
          <w:lang w:val="fr-FR"/>
        </w:rPr>
        <w:t>’</w:t>
      </w:r>
      <w:r w:rsidR="00B67A56" w:rsidRPr="00C73365">
        <w:rPr>
          <w:rFonts w:asciiTheme="minorHAnsi" w:hAnsiTheme="minorHAnsi" w:cstheme="minorHAnsi"/>
          <w:lang w:val="fr-FR"/>
        </w:rPr>
        <w:t xml:space="preserve">un comité scientifique de classe internationale, qui permettront à la Société d’obtenir une nouvelle dimension (se référer au paragraphe 14.1 du présent document de référence). </w:t>
      </w:r>
    </w:p>
    <w:p w:rsidR="00045411" w:rsidRDefault="00B67A56" w:rsidP="004572A0">
      <w:pPr>
        <w:pStyle w:val="BodyText"/>
        <w:rPr>
          <w:rFonts w:asciiTheme="minorHAnsi" w:hAnsiTheme="minorHAnsi" w:cstheme="minorHAnsi"/>
          <w:b/>
          <w:noProof/>
        </w:rPr>
      </w:pPr>
      <w:r w:rsidRPr="00C73365">
        <w:rPr>
          <w:rFonts w:asciiTheme="minorHAnsi" w:hAnsiTheme="minorHAnsi" w:cstheme="minorHAnsi"/>
          <w:b/>
          <w:lang w:val="fr-FR"/>
        </w:rPr>
        <w:t>Organigramme d</w:t>
      </w:r>
      <w:r w:rsidR="004572A0" w:rsidRPr="00C73365">
        <w:rPr>
          <w:rFonts w:asciiTheme="minorHAnsi" w:hAnsiTheme="minorHAnsi" w:cstheme="minorHAnsi"/>
          <w:b/>
          <w:lang w:val="fr-FR"/>
        </w:rPr>
        <w:t>’</w:t>
      </w:r>
      <w:r w:rsidR="00EF089C" w:rsidRPr="00C73365">
        <w:rPr>
          <w:rFonts w:asciiTheme="minorHAnsi" w:hAnsiTheme="minorHAnsi" w:cstheme="minorHAnsi"/>
          <w:b/>
          <w:lang w:val="fr-FR"/>
        </w:rPr>
        <w:t>ABIVAX</w:t>
      </w:r>
      <w:r w:rsidRPr="00C73365">
        <w:rPr>
          <w:rFonts w:asciiTheme="minorHAnsi" w:hAnsiTheme="minorHAnsi" w:cstheme="minorHAnsi"/>
          <w:b/>
          <w:lang w:val="fr-FR"/>
        </w:rPr>
        <w:t> :</w:t>
      </w:r>
      <w:r w:rsidRPr="00C73365">
        <w:rPr>
          <w:rFonts w:asciiTheme="minorHAnsi" w:hAnsiTheme="minorHAnsi" w:cstheme="minorHAnsi"/>
          <w:b/>
          <w:noProof/>
          <w:lang w:val="fr-FR"/>
        </w:rPr>
        <w:t xml:space="preserve"> </w:t>
      </w:r>
    </w:p>
    <w:p w:rsidR="00045411" w:rsidRPr="00C73365" w:rsidRDefault="00F06B5C" w:rsidP="004572A0">
      <w:pPr>
        <w:pStyle w:val="BodyText"/>
        <w:rPr>
          <w:rFonts w:asciiTheme="minorHAnsi" w:hAnsiTheme="minorHAnsi" w:cstheme="minorHAnsi"/>
          <w:b/>
          <w:noProof/>
          <w:lang w:val="fr-FR"/>
        </w:rPr>
      </w:pPr>
      <w:r w:rsidRPr="00F06B5C">
        <w:rPr>
          <w:rFonts w:asciiTheme="minorHAnsi" w:hAnsiTheme="minorHAnsi" w:cstheme="minorHAnsi"/>
          <w:b/>
          <w:noProof/>
          <w:lang w:val="fr-FR" w:eastAsia="fr-FR"/>
        </w:rPr>
        <w:drawing>
          <wp:inline distT="0" distB="0" distL="0" distR="0" wp14:anchorId="0884CE0E" wp14:editId="69E19B84">
            <wp:extent cx="6120765" cy="2954020"/>
            <wp:effectExtent l="38100" t="0" r="89535" b="0"/>
            <wp:docPr id="14" name="Diagramme 14">
              <a:extLst xmlns:a="http://schemas.openxmlformats.org/drawingml/2006/main">
                <a:ext uri="{FF2B5EF4-FFF2-40B4-BE49-F238E27FC236}">
                  <a16:creationId xmlns:a16="http://schemas.microsoft.com/office/drawing/2014/main" id="{B81C9680-E0BB-4EF9-8E49-DA0712372C8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B67A56" w:rsidRPr="00C73365" w:rsidRDefault="00B67A56" w:rsidP="004572A0">
      <w:pPr>
        <w:pStyle w:val="BodyText"/>
        <w:rPr>
          <w:rFonts w:asciiTheme="minorHAnsi" w:hAnsiTheme="minorHAnsi" w:cstheme="minorHAnsi"/>
          <w:b/>
          <w:i/>
          <w:lang w:val="fr-FR"/>
        </w:rPr>
      </w:pPr>
      <w:r w:rsidRPr="00C73365">
        <w:rPr>
          <w:rFonts w:asciiTheme="minorHAnsi" w:hAnsiTheme="minorHAnsi" w:cstheme="minorHAnsi"/>
          <w:b/>
          <w:lang w:val="fr-FR"/>
        </w:rPr>
        <w:t>Biographies de l</w:t>
      </w:r>
      <w:r w:rsidR="004572A0" w:rsidRPr="00C73365">
        <w:rPr>
          <w:rFonts w:asciiTheme="minorHAnsi" w:hAnsiTheme="minorHAnsi" w:cstheme="minorHAnsi"/>
          <w:b/>
          <w:lang w:val="fr-FR"/>
        </w:rPr>
        <w:t>’</w:t>
      </w:r>
      <w:r w:rsidRPr="00C73365">
        <w:rPr>
          <w:rFonts w:asciiTheme="minorHAnsi" w:hAnsiTheme="minorHAnsi" w:cstheme="minorHAnsi"/>
          <w:b/>
          <w:lang w:val="fr-FR"/>
        </w:rPr>
        <w:t>équipe dirigeante</w:t>
      </w:r>
      <w:r w:rsidR="00F06B5C">
        <w:rPr>
          <w:rFonts w:asciiTheme="minorHAnsi" w:hAnsiTheme="minorHAnsi" w:cstheme="minorHAnsi"/>
          <w:b/>
          <w:lang w:val="fr-FR"/>
        </w:rPr>
        <w:t xml:space="preserve"> : </w:t>
      </w:r>
    </w:p>
    <w:p w:rsidR="00B67A56" w:rsidRPr="00C73365" w:rsidRDefault="00B67A56" w:rsidP="004572A0">
      <w:pPr>
        <w:pStyle w:val="BodyText"/>
        <w:rPr>
          <w:rFonts w:asciiTheme="minorHAnsi" w:hAnsiTheme="minorHAnsi" w:cstheme="minorHAnsi"/>
          <w:b/>
          <w:i/>
          <w:lang w:val="fr-FR"/>
        </w:rPr>
      </w:pPr>
      <w:r w:rsidRPr="00C73365">
        <w:rPr>
          <w:rFonts w:asciiTheme="minorHAnsi" w:hAnsiTheme="minorHAnsi" w:cstheme="minorHAnsi"/>
          <w:b/>
          <w:lang w:val="fr-FR"/>
        </w:rPr>
        <w:t>Prof. Dr. Hartmut J. Ehrlich, Directeur Général</w:t>
      </w:r>
    </w:p>
    <w:p w:rsidR="00B67A56" w:rsidRPr="00C73365" w:rsidRDefault="00B67A56" w:rsidP="004572A0">
      <w:pPr>
        <w:pStyle w:val="BodyText"/>
        <w:rPr>
          <w:rFonts w:asciiTheme="minorHAnsi" w:hAnsiTheme="minorHAnsi" w:cstheme="minorHAnsi"/>
          <w:i/>
          <w:lang w:val="fr-FR"/>
        </w:rPr>
      </w:pPr>
      <w:r w:rsidRPr="00C73365">
        <w:rPr>
          <w:rFonts w:asciiTheme="minorHAnsi" w:hAnsiTheme="minorHAnsi" w:cstheme="minorHAnsi"/>
          <w:lang w:val="fr-FR"/>
        </w:rPr>
        <w:t>Hartmut Ehrlich est directeur général d’</w:t>
      </w:r>
      <w:r w:rsidR="00EF089C" w:rsidRPr="00C73365">
        <w:rPr>
          <w:rFonts w:asciiTheme="minorHAnsi" w:hAnsiTheme="minorHAnsi" w:cstheme="minorHAnsi"/>
          <w:lang w:val="fr-FR"/>
        </w:rPr>
        <w:t>ABIVAX</w:t>
      </w:r>
      <w:r w:rsidRPr="00C73365">
        <w:rPr>
          <w:rFonts w:asciiTheme="minorHAnsi" w:hAnsiTheme="minorHAnsi" w:cstheme="minorHAnsi"/>
          <w:lang w:val="fr-FR"/>
        </w:rPr>
        <w:t>. Médecin, il travaille depuis 30 ans au sein d’universités et de l’industrie biopharmaceutique (dont 20 ans au sein de Baxter et Sandoz (désormais Novartis)). Il a vécu et travaillé aux Etats-Unis (Eli Lilly et Département de Médecine de l’Université de l’Indiana), aux Pays-Bas (Laboratoire Central de la Croix Rouge néerlandaise), en Allemagne (Fondation Max Planck, Sandoz, Baxter), en Suisse (Sandoz), en Autriche (Baxter) et en France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Au cours des sept années précédant son arrivée chez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décembre 2013, Hartmut Ehrlich a mis en place et développé avec succès le portefeuille R&amp;D de Baxter BioSciences, avec plus de 50 programmes de développement précliniques et cliniques. Il fut à l’origine de l’obtention de nombreuses autorisations réglementaires dans différents domaines (hémophilie, thrombose, immunologie, neurologie, oncologie, bio-chirurgie ou vaccination). Hartmut Ehrlich a écrit et co-écrit plus de 120 publications. En 2011, Hartmut fut nommé « Professeur » par le Président autrichien et par le Ministre autrichien de la Science et de la Recherche, et a reçu le titre de « Professeur Adjoint » de l’université du Danube, Krems, en basse Autriche en 2013.</w:t>
      </w:r>
    </w:p>
    <w:p w:rsidR="00B67A56" w:rsidRPr="00C73365" w:rsidRDefault="00B67A56" w:rsidP="004572A0">
      <w:pPr>
        <w:pStyle w:val="BodyText"/>
        <w:rPr>
          <w:rFonts w:asciiTheme="minorHAnsi" w:hAnsiTheme="minorHAnsi" w:cstheme="minorHAnsi"/>
          <w:b/>
          <w:i/>
          <w:highlight w:val="yellow"/>
          <w:lang w:val="fr-FR"/>
        </w:rPr>
      </w:pPr>
      <w:r w:rsidRPr="00C73365">
        <w:rPr>
          <w:rFonts w:asciiTheme="minorHAnsi" w:hAnsiTheme="minorHAnsi" w:cstheme="minorHAnsi"/>
          <w:b/>
          <w:lang w:val="fr-FR"/>
        </w:rPr>
        <w:t>Didier Blondel, Vice-Président Directeur Administratif &amp; Financier et Secrétaire du Conseil d</w:t>
      </w:r>
      <w:r w:rsidR="004572A0" w:rsidRPr="00C73365">
        <w:rPr>
          <w:rFonts w:asciiTheme="minorHAnsi" w:hAnsiTheme="minorHAnsi" w:cstheme="minorHAnsi"/>
          <w:b/>
          <w:lang w:val="fr-FR"/>
        </w:rPr>
        <w:t>’</w:t>
      </w:r>
      <w:r w:rsidRPr="00C73365">
        <w:rPr>
          <w:rFonts w:asciiTheme="minorHAnsi" w:hAnsiTheme="minorHAnsi" w:cstheme="minorHAnsi"/>
          <w:b/>
          <w:lang w:val="fr-FR"/>
        </w:rPr>
        <w:t>Administration</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Didier Blondel occupait depuis 2012 le poste de Directeur Financier de Sanofi Pasteur MSD, co-entreprise de Sanofi et Merck basée à Lyon et leader européen des vaccins humains. Auparavant, il a occupé durant près de 20 ans d</w:t>
      </w:r>
      <w:r w:rsidR="004572A0" w:rsidRPr="00C73365">
        <w:rPr>
          <w:rFonts w:asciiTheme="minorHAnsi" w:hAnsiTheme="minorHAnsi" w:cstheme="minorHAnsi"/>
          <w:lang w:val="fr-FR"/>
        </w:rPr>
        <w:t>’</w:t>
      </w:r>
      <w:r w:rsidRPr="00C73365">
        <w:rPr>
          <w:rFonts w:asciiTheme="minorHAnsi" w:hAnsiTheme="minorHAnsi" w:cstheme="minorHAnsi"/>
          <w:lang w:val="fr-FR"/>
        </w:rPr>
        <w:t>importants postes en finance au sein du groupe Sanofi, aux Opérations Commerciales et à la R&amp;D, dont il fut le Directeur Financier Global. Didier Blondel a démarré sa carrière en tant qu</w:t>
      </w:r>
      <w:r w:rsidR="004572A0" w:rsidRPr="00C73365">
        <w:rPr>
          <w:rFonts w:asciiTheme="minorHAnsi" w:hAnsiTheme="minorHAnsi" w:cstheme="minorHAnsi"/>
          <w:lang w:val="fr-FR"/>
        </w:rPr>
        <w:t>’</w:t>
      </w:r>
      <w:r w:rsidRPr="00C73365">
        <w:rPr>
          <w:rFonts w:asciiTheme="minorHAnsi" w:hAnsiTheme="minorHAnsi" w:cstheme="minorHAnsi"/>
          <w:lang w:val="fr-FR"/>
        </w:rPr>
        <w:t>auditeur chez Price Waterhouse Coopers après avoir obtenu son diplôme à l</w:t>
      </w:r>
      <w:r w:rsidR="004572A0" w:rsidRPr="00C73365">
        <w:rPr>
          <w:rFonts w:asciiTheme="minorHAnsi" w:hAnsiTheme="minorHAnsi" w:cstheme="minorHAnsi"/>
          <w:lang w:val="fr-FR"/>
        </w:rPr>
        <w:t>’</w:t>
      </w:r>
      <w:r w:rsidRPr="00C73365">
        <w:rPr>
          <w:rFonts w:asciiTheme="minorHAnsi" w:hAnsiTheme="minorHAnsi" w:cstheme="minorHAnsi"/>
          <w:lang w:val="fr-FR"/>
        </w:rPr>
        <w:t>Institut Commercial de Nancy. Il est également titulaire d</w:t>
      </w:r>
      <w:r w:rsidR="004572A0" w:rsidRPr="00C73365">
        <w:rPr>
          <w:rFonts w:asciiTheme="minorHAnsi" w:hAnsiTheme="minorHAnsi" w:cstheme="minorHAnsi"/>
          <w:lang w:val="fr-FR"/>
        </w:rPr>
        <w:t>’</w:t>
      </w:r>
      <w:r w:rsidRPr="00C73365">
        <w:rPr>
          <w:rFonts w:asciiTheme="minorHAnsi" w:hAnsiTheme="minorHAnsi" w:cstheme="minorHAnsi"/>
          <w:lang w:val="fr-FR"/>
        </w:rPr>
        <w:t>une Maîtrise des Sciences et Techniques Comptables et Financières de l</w:t>
      </w:r>
      <w:r w:rsidR="004572A0" w:rsidRPr="00C73365">
        <w:rPr>
          <w:rFonts w:asciiTheme="minorHAnsi" w:hAnsiTheme="minorHAnsi" w:cstheme="minorHAnsi"/>
          <w:lang w:val="fr-FR"/>
        </w:rPr>
        <w:t>’</w:t>
      </w:r>
      <w:r w:rsidRPr="00C73365">
        <w:rPr>
          <w:rFonts w:asciiTheme="minorHAnsi" w:hAnsiTheme="minorHAnsi" w:cstheme="minorHAnsi"/>
          <w:lang w:val="fr-FR"/>
        </w:rPr>
        <w:t>Université de Nancy II et d</w:t>
      </w:r>
      <w:r w:rsidR="004572A0" w:rsidRPr="00C73365">
        <w:rPr>
          <w:rFonts w:asciiTheme="minorHAnsi" w:hAnsiTheme="minorHAnsi" w:cstheme="minorHAnsi"/>
          <w:lang w:val="fr-FR"/>
        </w:rPr>
        <w:t>’</w:t>
      </w:r>
      <w:r w:rsidRPr="00C73365">
        <w:rPr>
          <w:rFonts w:asciiTheme="minorHAnsi" w:hAnsiTheme="minorHAnsi" w:cstheme="minorHAnsi"/>
          <w:lang w:val="fr-FR"/>
        </w:rPr>
        <w:t>un Diplôme d</w:t>
      </w:r>
      <w:r w:rsidR="004572A0" w:rsidRPr="00C73365">
        <w:rPr>
          <w:rFonts w:asciiTheme="minorHAnsi" w:hAnsiTheme="minorHAnsi" w:cstheme="minorHAnsi"/>
          <w:lang w:val="fr-FR"/>
        </w:rPr>
        <w:t>’</w:t>
      </w:r>
      <w:r w:rsidRPr="00C73365">
        <w:rPr>
          <w:rFonts w:asciiTheme="minorHAnsi" w:hAnsiTheme="minorHAnsi" w:cstheme="minorHAnsi"/>
          <w:lang w:val="fr-FR"/>
        </w:rPr>
        <w:t>Etudes Supérieures Comptables et Financières.</w:t>
      </w:r>
    </w:p>
    <w:p w:rsidR="00B67A56" w:rsidRPr="00B868AC" w:rsidRDefault="00B67A56" w:rsidP="00B868AC">
      <w:pPr>
        <w:spacing w:after="160" w:line="259" w:lineRule="auto"/>
        <w:jc w:val="left"/>
        <w:rPr>
          <w:rFonts w:asciiTheme="minorHAnsi" w:hAnsiTheme="minorHAnsi" w:cstheme="minorHAnsi"/>
          <w:b/>
          <w:szCs w:val="20"/>
          <w:lang w:val="fr-FR"/>
        </w:rPr>
      </w:pPr>
      <w:r w:rsidRPr="00C73365">
        <w:rPr>
          <w:rFonts w:asciiTheme="minorHAnsi" w:hAnsiTheme="minorHAnsi" w:cstheme="minorHAnsi"/>
          <w:b/>
          <w:lang w:val="fr-FR"/>
        </w:rPr>
        <w:t>Pierre Courteille, Vice-Président Directeur Commercial et du Business Development</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Pharmacien, et diplômé  du MBA de l’Université de Chicago Booth,  Pierre Courteille cumule plus de 20 ans d’expérience dans les fonctions marketing et vente du secteur pharmaceutique en France et au Japon où il a travaillé 13 ans. Au sein de Sanofi-Pasteur Japon et de sa cœntreprise avec Daiichi, Pierre Courteille a notamment mis œuvre en tant que Marketing Manager les activités de pré-lancement des vaccins Hib/méningite et IPV/polio. Début 2005, Pierre Courteille prend la Présidence de Guerbet Japon &amp; la Vice-Présidence de GUERBET Asie. Il assure avec succès la mise en place, le déploiement de la filiale Japonaise ainsi que le développement des autres filiales asiatiques de Guerbet. A partir de 2009, Pierre Courteille assure la responsabilité de Vice-Président des Ventes pour l’Asie, l’Amérique Latine et l’EMEA et il atteint l’objectif ambitieux d’optimisation de la performance commerciale avec un remaniement réussi des structures déficitaires dans ces trois zones.  Avant de rejoindre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Pierre Courteille assurait depuis 2012 la fonction de Senior Vice-Président Commercial (Marketing et Ventes) pour Guerbet et CEO de MEDEX (société de dispositifs médicaux détenue par Guerbet). </w:t>
      </w:r>
    </w:p>
    <w:p w:rsidR="0045240E" w:rsidRPr="00C73365" w:rsidRDefault="0045240E" w:rsidP="004572A0">
      <w:pPr>
        <w:pStyle w:val="BodyText"/>
        <w:rPr>
          <w:rFonts w:asciiTheme="minorHAnsi" w:hAnsiTheme="minorHAnsi" w:cstheme="minorHAnsi"/>
          <w:b/>
          <w:lang w:val="fr-FR"/>
        </w:rPr>
      </w:pPr>
      <w:r w:rsidRPr="00C73365">
        <w:rPr>
          <w:rFonts w:asciiTheme="minorHAnsi" w:hAnsiTheme="minorHAnsi" w:cstheme="minorHAnsi"/>
          <w:b/>
          <w:lang w:val="fr-FR"/>
        </w:rPr>
        <w:t>Jean-Marc Steens, Vice-Président Directeur Médical</w:t>
      </w:r>
    </w:p>
    <w:p w:rsidR="0045240E" w:rsidRPr="00C73365" w:rsidRDefault="0045240E" w:rsidP="004572A0">
      <w:pPr>
        <w:pStyle w:val="BodyText"/>
        <w:rPr>
          <w:rFonts w:asciiTheme="minorHAnsi" w:hAnsiTheme="minorHAnsi" w:cstheme="minorHAnsi"/>
          <w:lang w:val="fr-FR"/>
        </w:rPr>
      </w:pPr>
      <w:r w:rsidRPr="00C73365">
        <w:rPr>
          <w:rFonts w:asciiTheme="minorHAnsi" w:hAnsiTheme="minorHAnsi" w:cstheme="minorHAnsi"/>
          <w:lang w:val="fr-FR"/>
        </w:rPr>
        <w:t>Jean-Marc Steens est médecin et dispose d’une expérience de 30 ans dans l’industrie biopharmaceutique. Après l’obtention de son diplôme en médecine, il a suivi une formation postdoctorale dans le domaine de la santé publique à l</w:t>
      </w:r>
      <w:r w:rsidR="004572A0" w:rsidRPr="00C73365">
        <w:rPr>
          <w:rFonts w:asciiTheme="minorHAnsi" w:hAnsiTheme="minorHAnsi" w:cstheme="minorHAnsi"/>
          <w:lang w:val="fr-FR"/>
        </w:rPr>
        <w:t>’</w:t>
      </w:r>
      <w:r w:rsidRPr="00C73365">
        <w:rPr>
          <w:rFonts w:asciiTheme="minorHAnsi" w:hAnsiTheme="minorHAnsi" w:cstheme="minorHAnsi"/>
          <w:lang w:val="fr-FR"/>
        </w:rPr>
        <w:t>Université catholique de Louvain (Belgique). Le Dr. Steens a débuté sa carrière chez Sandoz en Belgique et a ensuite rejoint Glaxo où il est resté plus de 20 ans. Pendant ces années, il a occupé différents postes de direction en Europe comme aux États-Unis, axés principalement sur les maladies virales, notamment sur le SIDA mais aussi l’hépatite B, dans les domaines du développement clinique et des affaires médicales à l’échelle mondiale. En 2009, le Dr. Steens a été nommé au poste de Vice-Président et Directeur Médical International de ViiV Healthcare, où il était responsable de la création et la gestion de départements médicaux en Europe de l</w:t>
      </w:r>
      <w:r w:rsidR="004572A0" w:rsidRPr="00C73365">
        <w:rPr>
          <w:rFonts w:asciiTheme="minorHAnsi" w:hAnsiTheme="minorHAnsi" w:cstheme="minorHAnsi"/>
          <w:lang w:val="fr-FR"/>
        </w:rPr>
        <w:t>’</w:t>
      </w:r>
      <w:r w:rsidRPr="00C73365">
        <w:rPr>
          <w:rFonts w:asciiTheme="minorHAnsi" w:hAnsiTheme="minorHAnsi" w:cstheme="minorHAnsi"/>
          <w:lang w:val="fr-FR"/>
        </w:rPr>
        <w:t>Est, Asie et Amérique latine. Depuis 2013, le Dr. Steens a travaillé en tant que consultant pour plusieurs entreprises de l</w:t>
      </w:r>
      <w:r w:rsidR="004572A0" w:rsidRPr="00C73365">
        <w:rPr>
          <w:rFonts w:asciiTheme="minorHAnsi" w:hAnsiTheme="minorHAnsi" w:cstheme="minorHAnsi"/>
          <w:lang w:val="fr-FR"/>
        </w:rPr>
        <w:t>’</w:t>
      </w:r>
      <w:r w:rsidRPr="00C73365">
        <w:rPr>
          <w:rFonts w:asciiTheme="minorHAnsi" w:hAnsiTheme="minorHAnsi" w:cstheme="minorHAnsi"/>
          <w:lang w:val="fr-FR"/>
        </w:rPr>
        <w:t>industrie pharmaceutique comme Novartis. Le Dr. Steens est membre des conseils consultatifs sur le HIV, ainsi que des comités scientifiques comme ceux de l’Organisation Mondiale de la Santé (OMS) et du National Institutes of Health (Etats-Unis). </w:t>
      </w:r>
    </w:p>
    <w:p w:rsidR="0045240E" w:rsidRPr="00C73365" w:rsidRDefault="0045240E" w:rsidP="004572A0">
      <w:pPr>
        <w:pStyle w:val="BodyText"/>
        <w:rPr>
          <w:rFonts w:asciiTheme="minorHAnsi" w:hAnsiTheme="minorHAnsi" w:cstheme="minorHAnsi"/>
          <w:b/>
          <w:lang w:val="fr-FR"/>
        </w:rPr>
      </w:pPr>
      <w:r w:rsidRPr="00C73365">
        <w:rPr>
          <w:rFonts w:asciiTheme="minorHAnsi" w:hAnsiTheme="minorHAnsi" w:cstheme="minorHAnsi"/>
          <w:b/>
          <w:lang w:val="fr-FR"/>
        </w:rPr>
        <w:t>Paul Gineste, Vice-Président Opérations Cliniques</w:t>
      </w:r>
    </w:p>
    <w:p w:rsidR="0045240E" w:rsidRPr="00C73365" w:rsidRDefault="0045240E" w:rsidP="004572A0">
      <w:pPr>
        <w:pStyle w:val="BodyText"/>
        <w:rPr>
          <w:rFonts w:asciiTheme="minorHAnsi" w:hAnsiTheme="minorHAnsi" w:cstheme="minorHAnsi"/>
          <w:lang w:val="fr-FR"/>
        </w:rPr>
      </w:pPr>
      <w:r w:rsidRPr="00C73365">
        <w:rPr>
          <w:rFonts w:asciiTheme="minorHAnsi" w:hAnsiTheme="minorHAnsi" w:cstheme="minorHAnsi"/>
          <w:lang w:val="fr-FR"/>
        </w:rPr>
        <w:t xml:space="preserve">Paul apporte plus de 20 ans d’expérience en développement clinique et stratégique au sein de société pharmaceutiques et de biotechnologie internationales. Paul a débuté sa carrière au sein de Boehringer Ingelheim en tant que International Clinical Trials Manager avant de prendre le poste de Head of Clinical R&amp;D chez Altana Pharma en 2003. En 2007, Paul a été nommé Directeur of Clinical Studies chez AB Science où il a mené des développements cliniques précoces sur l’inhibiteur de la tyronise-kinase aux Etats-Unis et en Europe. En 2013, il rejoint Theravectys, une entreprise issue de l’Institut Pasteur et spécialisée dans les vecteurs lentiviraux en tant que Executive VP, Clinical Development. Paul a rejoint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2015 en tant que Head of Clinical Operations. Il est titulaire d’un doctorat en pharmacie de l’Université de Rouen, France et d’un master en droit de l’Université de Paris XI.</w:t>
      </w:r>
    </w:p>
    <w:p w:rsidR="0045240E" w:rsidRPr="005B40E1" w:rsidRDefault="0045240E" w:rsidP="005B40E1">
      <w:pPr>
        <w:pStyle w:val="BodyText"/>
        <w:rPr>
          <w:rFonts w:asciiTheme="minorHAnsi" w:hAnsiTheme="minorHAnsi" w:cstheme="minorHAnsi"/>
          <w:b/>
          <w:lang w:val="fr-FR"/>
        </w:rPr>
      </w:pPr>
      <w:r w:rsidRPr="005B40E1">
        <w:rPr>
          <w:rFonts w:asciiTheme="minorHAnsi" w:hAnsiTheme="minorHAnsi" w:cstheme="minorHAnsi"/>
          <w:b/>
          <w:lang w:val="fr-FR"/>
        </w:rPr>
        <w:t>Bernard Fanget</w:t>
      </w:r>
      <w:r w:rsidR="005B40E1" w:rsidRPr="005B40E1">
        <w:rPr>
          <w:rFonts w:asciiTheme="minorHAnsi" w:hAnsiTheme="minorHAnsi" w:cstheme="minorHAnsi"/>
          <w:b/>
          <w:lang w:val="fr-FR"/>
        </w:rPr>
        <w:t>, Vice-Président</w:t>
      </w:r>
      <w:r w:rsidR="009E11D9" w:rsidRPr="005B40E1">
        <w:rPr>
          <w:rFonts w:asciiTheme="minorHAnsi" w:hAnsiTheme="minorHAnsi" w:cstheme="minorHAnsi"/>
          <w:b/>
          <w:lang w:val="fr-FR"/>
        </w:rPr>
        <w:t xml:space="preserve"> Affaires réglementaires</w:t>
      </w:r>
    </w:p>
    <w:p w:rsidR="005B40E1" w:rsidRPr="00C73365" w:rsidRDefault="005B40E1" w:rsidP="004572A0">
      <w:pPr>
        <w:pStyle w:val="BodyText"/>
        <w:rPr>
          <w:rFonts w:asciiTheme="minorHAnsi" w:hAnsiTheme="minorHAnsi" w:cstheme="minorHAnsi"/>
          <w:b/>
          <w:lang w:val="fr-FR"/>
        </w:rPr>
      </w:pPr>
      <w:r w:rsidRPr="005B40E1">
        <w:rPr>
          <w:rFonts w:asciiTheme="minorHAnsi" w:hAnsiTheme="minorHAnsi"/>
          <w:szCs w:val="22"/>
          <w:lang w:val="fr-FR"/>
        </w:rPr>
        <w:t xml:space="preserve">Bernard Fanget a plus de 30 ans d’expérience industrielle dans le développement des vaccins et protéines recombinantes. Il occupe depuis 2005 le poste de Vice-Président des affaires pharmaceutiques chez Neovacs. Il était auparavant Vice-Président Senior en charge du développement pharmaceutique chez Flamel Technologies, et Vice-Président Corporate, division d’Industrialisation Globale, chez Sanofi-Pasteur. M. Fanget a développé plusieurs technologies de production à grande échelle et a obtenu l’enregistrement de nombreux vaccins. Il est membre de nombreux groupes de travail au sein de l’Organisation mondiale de la santé. Il est diplômé de Biochimie de l’Université </w:t>
      </w:r>
      <w:r w:rsidRPr="005B40E1">
        <w:rPr>
          <w:rFonts w:asciiTheme="minorHAnsi" w:hAnsiTheme="minorHAnsi"/>
          <w:lang w:val="fr-FR"/>
        </w:rPr>
        <w:t>de Lyon, France</w:t>
      </w:r>
    </w:p>
    <w:p w:rsidR="00E92A57" w:rsidRDefault="00E92A57">
      <w:pPr>
        <w:spacing w:after="160" w:line="259" w:lineRule="auto"/>
        <w:jc w:val="left"/>
        <w:rPr>
          <w:rFonts w:asciiTheme="minorHAnsi" w:hAnsiTheme="minorHAnsi" w:cstheme="minorHAnsi"/>
          <w:b/>
          <w:szCs w:val="20"/>
          <w:lang w:val="fr-FR"/>
        </w:rPr>
      </w:pPr>
      <w:r>
        <w:rPr>
          <w:rFonts w:asciiTheme="minorHAnsi" w:hAnsiTheme="minorHAnsi" w:cstheme="minorHAnsi"/>
          <w:b/>
          <w:lang w:val="fr-FR"/>
        </w:rPr>
        <w:br w:type="page"/>
      </w:r>
    </w:p>
    <w:p w:rsidR="00B67A56" w:rsidRPr="00C73365" w:rsidRDefault="00B67A56"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 xml:space="preserve">Jérôme Denis, Vice-Président Directeur de la Production et du Développement des Procédés </w:t>
      </w:r>
    </w:p>
    <w:p w:rsidR="00B67A56" w:rsidRPr="00C73365" w:rsidRDefault="00B67A56" w:rsidP="004572A0">
      <w:pPr>
        <w:pStyle w:val="BodyText"/>
        <w:rPr>
          <w:rFonts w:asciiTheme="minorHAnsi" w:hAnsiTheme="minorHAnsi" w:cstheme="minorHAnsi"/>
          <w:lang w:val="fr-FR"/>
        </w:rPr>
      </w:pPr>
      <w:r w:rsidRPr="00C73365">
        <w:rPr>
          <w:rFonts w:asciiTheme="minorHAnsi" w:hAnsiTheme="minorHAnsi" w:cstheme="minorHAnsi"/>
          <w:lang w:val="fr-FR"/>
        </w:rPr>
        <w:t xml:space="preserve">Jérôme DENIS a plus de 10 d’expérience dans le développement pharmaceutique et la production de médicaments, à usage clinique ou commercial. Il a débuté sa carrière comme responsable de projet au Canada et en France au sein de programmes ciblant différentes maladies infectieuses. Il a ensuite rejoint imaxio (Lyan, France) en 2009, comme Exécutif Responsable du Développement puis Directeur Associé du Développement : ii a initié et piloté avec succès plusieurs projets de transferts et développement de procédés. Il a rejoint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2014 comme Directeur de la production, en charge de mettre en place et coordonner toutes les opérations de développement de procédé et de fabrication, lia également piloté l’approvisionnement et la distribution des IMP (Investigational Medicinal Praducts) pour les études ciiniques menées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Mie et en Europe. Il est titulaire d’un Ph.D. en Immunologie et Microbiologie à l’université Lavai (Québec, Canada).</w:t>
      </w:r>
    </w:p>
    <w:p w:rsidR="00B67A56" w:rsidRPr="00C73365" w:rsidRDefault="00B67A56" w:rsidP="004572A0">
      <w:pPr>
        <w:pStyle w:val="BodyText"/>
        <w:rPr>
          <w:rFonts w:asciiTheme="minorHAnsi" w:hAnsiTheme="minorHAnsi" w:cstheme="minorHAnsi"/>
          <w:b/>
          <w:i/>
          <w:lang w:val="fr-FR"/>
        </w:rPr>
      </w:pPr>
      <w:r w:rsidRPr="00C73365">
        <w:rPr>
          <w:rFonts w:asciiTheme="minorHAnsi" w:hAnsiTheme="minorHAnsi" w:cstheme="minorHAnsi"/>
          <w:b/>
          <w:lang w:val="fr-FR"/>
        </w:rPr>
        <w:t>Didier Scherrer Ph.D., Vice-Président Directeur de la Recherche</w:t>
      </w:r>
    </w:p>
    <w:p w:rsidR="00B67A56" w:rsidRPr="00C73365" w:rsidRDefault="00B67A56" w:rsidP="004572A0">
      <w:pPr>
        <w:pStyle w:val="BodyText"/>
        <w:rPr>
          <w:rFonts w:asciiTheme="minorHAnsi" w:hAnsiTheme="minorHAnsi" w:cstheme="minorHAnsi"/>
          <w:i/>
          <w:lang w:val="fr-FR"/>
        </w:rPr>
      </w:pPr>
      <w:r w:rsidRPr="00C73365">
        <w:rPr>
          <w:rFonts w:asciiTheme="minorHAnsi" w:hAnsiTheme="minorHAnsi" w:cstheme="minorHAnsi"/>
          <w:lang w:val="fr-FR"/>
        </w:rPr>
        <w:t xml:space="preserve">Didier Scherrer, avant de rejoindre </w:t>
      </w:r>
      <w:r w:rsidR="00EF089C" w:rsidRPr="00C73365">
        <w:rPr>
          <w:rFonts w:asciiTheme="minorHAnsi" w:hAnsiTheme="minorHAnsi" w:cstheme="minorHAnsi"/>
          <w:lang w:val="fr-FR"/>
        </w:rPr>
        <w:t>ABIVAX</w:t>
      </w:r>
      <w:r w:rsidRPr="00C73365">
        <w:rPr>
          <w:rFonts w:asciiTheme="minorHAnsi" w:hAnsiTheme="minorHAnsi" w:cstheme="minorHAnsi"/>
          <w:lang w:val="fr-FR"/>
        </w:rPr>
        <w:t>, cumulait les fonctions de Directeur Général et de Directeur Scientifique de Splicos. Docteur en Pharmacologie Moléculaire, il a effectué ses études post doctorales à la Harvard Medical School puis à la Stanford University School of Medicine. Directeur de Recherches chez Entelos (Californie – USA) de 2000 à 2005, il a ensuite rejoint la Direction de la Recherche d’Astra-Zeneca en tant que Directeur Associé (Pathways Capability – Discovery Enabling Capabilities and Sciences) puis en tant que Directeur de la Recherche chez LFB Biotechnologies, où il dirigeait une équipe d’une cinquantaine de scientifiques en charge de développer le portefeuille de protéines thérapeutiques dans les domaines de l’oncologie, des maladies auto-immunes et de l’onco-hématologie. Il est l’auteur de nombreuses publications et de présentations dans le domaine de la biologie des systèmes appliqué à la recherche et au développement de nouveaux médicaments.</w:t>
      </w:r>
    </w:p>
    <w:p w:rsidR="00B67A56" w:rsidRPr="00C73365" w:rsidRDefault="0045240E" w:rsidP="004572A0">
      <w:pPr>
        <w:pStyle w:val="BodyText"/>
        <w:rPr>
          <w:rFonts w:asciiTheme="minorHAnsi" w:hAnsiTheme="minorHAnsi" w:cstheme="minorHAnsi"/>
          <w:b/>
          <w:i/>
          <w:lang w:val="fr-FR"/>
        </w:rPr>
      </w:pPr>
      <w:r w:rsidRPr="00C73365">
        <w:rPr>
          <w:rFonts w:asciiTheme="minorHAnsi" w:hAnsiTheme="minorHAnsi" w:cstheme="minorHAnsi"/>
          <w:b/>
          <w:lang w:val="fr-FR"/>
        </w:rPr>
        <w:t>C</w:t>
      </w:r>
      <w:r w:rsidR="00B67A56" w:rsidRPr="00C73365">
        <w:rPr>
          <w:rFonts w:asciiTheme="minorHAnsi" w:hAnsiTheme="minorHAnsi" w:cstheme="minorHAnsi"/>
          <w:b/>
          <w:lang w:val="fr-FR"/>
        </w:rPr>
        <w:t>onseil d</w:t>
      </w:r>
      <w:r w:rsidR="004572A0" w:rsidRPr="00C73365">
        <w:rPr>
          <w:rFonts w:asciiTheme="minorHAnsi" w:hAnsiTheme="minorHAnsi" w:cstheme="minorHAnsi"/>
          <w:b/>
          <w:lang w:val="fr-FR"/>
        </w:rPr>
        <w:t>’</w:t>
      </w:r>
      <w:r w:rsidRPr="00C73365">
        <w:rPr>
          <w:rFonts w:asciiTheme="minorHAnsi" w:hAnsiTheme="minorHAnsi" w:cstheme="minorHAnsi"/>
          <w:b/>
          <w:lang w:val="fr-FR"/>
        </w:rPr>
        <w:t>A</w:t>
      </w:r>
      <w:r w:rsidR="00B67A56" w:rsidRPr="00C73365">
        <w:rPr>
          <w:rFonts w:asciiTheme="minorHAnsi" w:hAnsiTheme="minorHAnsi" w:cstheme="minorHAnsi"/>
          <w:b/>
          <w:lang w:val="fr-FR"/>
        </w:rPr>
        <w:t>dministration</w:t>
      </w:r>
      <w:r w:rsidRPr="00C73365">
        <w:rPr>
          <w:rFonts w:asciiTheme="minorHAnsi" w:hAnsiTheme="minorHAnsi" w:cstheme="minorHAnsi"/>
          <w:b/>
          <w:lang w:val="fr-FR"/>
        </w:rPr>
        <w:t xml:space="preserve"> : </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Dr. Philippe Pouletty</w:t>
      </w:r>
      <w:r w:rsidRPr="00C73365">
        <w:rPr>
          <w:rFonts w:asciiTheme="minorHAnsi" w:hAnsiTheme="minorHAnsi" w:cstheme="minorHAnsi"/>
          <w:szCs w:val="20"/>
          <w:lang w:val="fr-FR"/>
        </w:rPr>
        <w:t>, MD, PhD, Président du Conseil d’Administration d’</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Directeur Général - Truffle Capital</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Joy Amundson</w:t>
      </w:r>
      <w:r w:rsidRPr="00C73365">
        <w:rPr>
          <w:rFonts w:asciiTheme="minorHAnsi" w:hAnsiTheme="minorHAnsi" w:cstheme="minorHAnsi"/>
          <w:szCs w:val="20"/>
          <w:lang w:val="fr-FR"/>
        </w:rPr>
        <w:t>, Ancienne Présidente de Baxter BioScience</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Dr. Claude Bertrand</w:t>
      </w:r>
      <w:r w:rsidRPr="00C73365">
        <w:rPr>
          <w:rFonts w:asciiTheme="minorHAnsi" w:hAnsiTheme="minorHAnsi" w:cstheme="minorHAnsi"/>
          <w:szCs w:val="20"/>
          <w:lang w:val="fr-FR"/>
        </w:rPr>
        <w:t>, Pharm.D, PhD, Directeur Général R&amp;D de Servier</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Jean-Jacques Bertrand</w:t>
      </w:r>
      <w:r w:rsidRPr="00C73365">
        <w:rPr>
          <w:rFonts w:asciiTheme="minorHAnsi" w:hAnsiTheme="minorHAnsi" w:cstheme="minorHAnsi"/>
          <w:szCs w:val="20"/>
          <w:lang w:val="fr-FR"/>
        </w:rPr>
        <w:t>, Ancien Président du Conseil d’Administration de Pierre Fabre et Directeur Général d’Aventis Pasteur</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Dr. Dominique Costantini</w:t>
      </w:r>
      <w:r w:rsidRPr="00C73365">
        <w:rPr>
          <w:rFonts w:asciiTheme="minorHAnsi" w:hAnsiTheme="minorHAnsi" w:cstheme="minorHAnsi"/>
          <w:szCs w:val="20"/>
          <w:lang w:val="fr-FR"/>
        </w:rPr>
        <w:t>, MD, Directeur Général Ose Pharma, ancienne Dirigeante au sein d’Aventis Pharma</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Dr. Antonino Ligresti</w:t>
      </w:r>
      <w:r w:rsidRPr="00C73365">
        <w:rPr>
          <w:rFonts w:asciiTheme="minorHAnsi" w:hAnsiTheme="minorHAnsi" w:cstheme="minorHAnsi"/>
          <w:szCs w:val="20"/>
          <w:lang w:val="fr-FR"/>
        </w:rPr>
        <w:t>, MD, Ancien Président de Générale de Santé</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Dr. Carol Brosgart</w:t>
      </w:r>
      <w:r w:rsidRPr="00C73365">
        <w:rPr>
          <w:rFonts w:asciiTheme="minorHAnsi" w:hAnsiTheme="minorHAnsi" w:cstheme="minorHAnsi"/>
          <w:szCs w:val="20"/>
          <w:lang w:val="fr-FR"/>
        </w:rPr>
        <w:t>, MD, Professeur de Médecine, Epidémiologie et Biostatistiques au sein de l’Université de Californie à San Francisco, ancienne Vice-Présidente Recherche Clinique de Gilead Sciences,</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Christian Pierret</w:t>
      </w:r>
      <w:r w:rsidRPr="00C73365">
        <w:rPr>
          <w:rFonts w:asciiTheme="minorHAnsi" w:hAnsiTheme="minorHAnsi" w:cstheme="minorHAnsi"/>
          <w:szCs w:val="20"/>
          <w:lang w:val="fr-FR"/>
        </w:rPr>
        <w:t>, Avocat Associé August Debouzy, ancien Ministre français de l’Industrie</w:t>
      </w:r>
    </w:p>
    <w:p w:rsidR="00B67A56" w:rsidRPr="00C73365" w:rsidRDefault="00B67A56" w:rsidP="00B67A56">
      <w:pPr>
        <w:pStyle w:val="ListParagraph"/>
        <w:numPr>
          <w:ilvl w:val="0"/>
          <w:numId w:val="36"/>
        </w:numPr>
        <w:rPr>
          <w:rFonts w:asciiTheme="minorHAnsi" w:hAnsiTheme="minorHAnsi" w:cstheme="minorHAnsi"/>
          <w:szCs w:val="20"/>
          <w:lang w:val="fr-FR"/>
        </w:rPr>
      </w:pPr>
      <w:r w:rsidRPr="00C73365">
        <w:rPr>
          <w:rFonts w:asciiTheme="minorHAnsi" w:hAnsiTheme="minorHAnsi" w:cstheme="minorHAnsi"/>
          <w:b/>
          <w:szCs w:val="20"/>
          <w:lang w:val="fr-FR"/>
        </w:rPr>
        <w:t>Corinna Zur Bonsen-Thomas</w:t>
      </w:r>
      <w:r w:rsidRPr="00C73365">
        <w:rPr>
          <w:rFonts w:asciiTheme="minorHAnsi" w:hAnsiTheme="minorHAnsi" w:cstheme="minorHAnsi"/>
          <w:szCs w:val="20"/>
          <w:lang w:val="fr-FR"/>
        </w:rPr>
        <w:t>, Ancienne Directrice Juridique de Baxalta International</w:t>
      </w:r>
    </w:p>
    <w:p w:rsidR="00B67A56" w:rsidRPr="001B34DD" w:rsidRDefault="00B67A56" w:rsidP="004572A0">
      <w:pPr>
        <w:pStyle w:val="BodyText"/>
        <w:rPr>
          <w:rFonts w:asciiTheme="minorHAnsi" w:hAnsiTheme="minorHAnsi" w:cstheme="minorHAnsi"/>
          <w:b/>
          <w:lang w:val="fr-FR"/>
        </w:rPr>
      </w:pPr>
      <w:r w:rsidRPr="001B34DD">
        <w:rPr>
          <w:rFonts w:asciiTheme="minorHAnsi" w:hAnsiTheme="minorHAnsi" w:cstheme="minorHAnsi"/>
          <w:b/>
          <w:lang w:val="fr-FR"/>
        </w:rPr>
        <w:t xml:space="preserve">Comité scientifique : </w:t>
      </w:r>
    </w:p>
    <w:p w:rsidR="00B67A56" w:rsidRPr="001B34DD" w:rsidRDefault="00B67A56" w:rsidP="00B67A56">
      <w:pPr>
        <w:pStyle w:val="ListParagraph"/>
        <w:numPr>
          <w:ilvl w:val="0"/>
          <w:numId w:val="36"/>
        </w:numPr>
        <w:rPr>
          <w:rFonts w:asciiTheme="minorHAnsi" w:hAnsiTheme="minorHAnsi" w:cstheme="minorHAnsi"/>
          <w:b/>
          <w:szCs w:val="20"/>
          <w:lang w:val="fr-FR"/>
        </w:rPr>
      </w:pPr>
      <w:r w:rsidRPr="001B34DD">
        <w:rPr>
          <w:rFonts w:asciiTheme="minorHAnsi" w:hAnsiTheme="minorHAnsi" w:cstheme="minorHAnsi"/>
          <w:b/>
          <w:szCs w:val="20"/>
          <w:lang w:val="fr-FR"/>
        </w:rPr>
        <w:t>Prof. Luc Teyton M.D., Ph.D</w:t>
      </w:r>
      <w:r w:rsidRPr="001B34DD">
        <w:rPr>
          <w:rFonts w:asciiTheme="minorHAnsi" w:hAnsiTheme="minorHAnsi" w:cstheme="minorHAnsi"/>
          <w:szCs w:val="20"/>
          <w:lang w:val="fr-FR"/>
        </w:rPr>
        <w:t>., directeur du département d</w:t>
      </w:r>
      <w:r w:rsidR="004572A0" w:rsidRPr="001B34DD">
        <w:rPr>
          <w:rFonts w:asciiTheme="minorHAnsi" w:hAnsiTheme="minorHAnsi" w:cstheme="minorHAnsi"/>
          <w:szCs w:val="20"/>
          <w:lang w:val="fr-FR"/>
        </w:rPr>
        <w:t>’</w:t>
      </w:r>
      <w:r w:rsidRPr="001B34DD">
        <w:rPr>
          <w:rFonts w:asciiTheme="minorHAnsi" w:hAnsiTheme="minorHAnsi" w:cstheme="minorHAnsi"/>
          <w:szCs w:val="20"/>
          <w:lang w:val="fr-FR"/>
        </w:rPr>
        <w:t>immunologie du Scripps Research Institute, à La Jolla, États-Unis (président du comité scientifique)</w:t>
      </w:r>
    </w:p>
    <w:p w:rsidR="00B67A56" w:rsidRPr="001B34DD" w:rsidRDefault="00B67A56" w:rsidP="00B67A56">
      <w:pPr>
        <w:pStyle w:val="ListParagraph"/>
        <w:numPr>
          <w:ilvl w:val="0"/>
          <w:numId w:val="36"/>
        </w:numPr>
        <w:rPr>
          <w:rFonts w:asciiTheme="minorHAnsi" w:hAnsiTheme="minorHAnsi" w:cstheme="minorHAnsi"/>
          <w:szCs w:val="20"/>
          <w:lang w:val="fr-FR"/>
        </w:rPr>
      </w:pPr>
      <w:r w:rsidRPr="001B34DD">
        <w:rPr>
          <w:rFonts w:asciiTheme="minorHAnsi" w:hAnsiTheme="minorHAnsi" w:cstheme="minorHAnsi"/>
          <w:b/>
          <w:szCs w:val="20"/>
          <w:lang w:val="fr-FR"/>
        </w:rPr>
        <w:t xml:space="preserve">Prof. Christoph Huber, M.D., </w:t>
      </w:r>
      <w:r w:rsidRPr="001B34DD">
        <w:rPr>
          <w:rFonts w:asciiTheme="minorHAnsi" w:hAnsiTheme="minorHAnsi" w:cstheme="minorHAnsi"/>
          <w:szCs w:val="20"/>
          <w:lang w:val="fr-FR"/>
        </w:rPr>
        <w:t>ex-directeur, département d’hématologie-oncologie de l’Université de Mayence, co-fondateur et membre du conseil d’administration de BioNtech, Mayence, Allemagne</w:t>
      </w:r>
    </w:p>
    <w:p w:rsidR="00B67A56" w:rsidRPr="001B34DD" w:rsidRDefault="00B67A56" w:rsidP="00B67A56">
      <w:pPr>
        <w:pStyle w:val="ListParagraph"/>
        <w:numPr>
          <w:ilvl w:val="0"/>
          <w:numId w:val="36"/>
        </w:numPr>
        <w:rPr>
          <w:rFonts w:asciiTheme="minorHAnsi" w:hAnsiTheme="minorHAnsi" w:cstheme="minorHAnsi"/>
          <w:szCs w:val="20"/>
          <w:lang w:val="fr-FR"/>
        </w:rPr>
      </w:pPr>
      <w:r w:rsidRPr="001B34DD">
        <w:rPr>
          <w:rFonts w:asciiTheme="minorHAnsi" w:hAnsiTheme="minorHAnsi" w:cstheme="minorHAnsi"/>
          <w:b/>
          <w:szCs w:val="20"/>
          <w:lang w:val="fr-FR"/>
        </w:rPr>
        <w:t>Dr. Jean-Paul Prieels</w:t>
      </w:r>
      <w:r w:rsidRPr="001B34DD">
        <w:rPr>
          <w:rFonts w:asciiTheme="minorHAnsi" w:hAnsiTheme="minorHAnsi" w:cstheme="minorHAnsi"/>
          <w:szCs w:val="20"/>
          <w:lang w:val="fr-FR"/>
        </w:rPr>
        <w:t>, ancien vice-président de la R&amp;D de GSK Biologics, à Rixensart, Belgique</w:t>
      </w:r>
    </w:p>
    <w:p w:rsidR="00B67A56" w:rsidRPr="001B34DD" w:rsidRDefault="00B67A56" w:rsidP="00B67A56">
      <w:pPr>
        <w:pStyle w:val="ListParagraph"/>
        <w:numPr>
          <w:ilvl w:val="0"/>
          <w:numId w:val="36"/>
        </w:numPr>
        <w:rPr>
          <w:rFonts w:asciiTheme="minorHAnsi" w:hAnsiTheme="minorHAnsi" w:cstheme="minorHAnsi"/>
          <w:szCs w:val="20"/>
          <w:lang w:val="fr-FR"/>
        </w:rPr>
      </w:pPr>
      <w:r w:rsidRPr="001B34DD">
        <w:rPr>
          <w:rFonts w:asciiTheme="minorHAnsi" w:hAnsiTheme="minorHAnsi" w:cstheme="minorHAnsi"/>
          <w:b/>
          <w:szCs w:val="20"/>
          <w:lang w:val="fr-FR"/>
        </w:rPr>
        <w:t xml:space="preserve">Prof. Lawrence Stanberry, M.D., Ph.D., </w:t>
      </w:r>
      <w:r w:rsidRPr="001B34DD">
        <w:rPr>
          <w:rFonts w:asciiTheme="minorHAnsi" w:hAnsiTheme="minorHAnsi" w:cstheme="minorHAnsi"/>
          <w:szCs w:val="20"/>
          <w:lang w:val="fr-FR"/>
        </w:rPr>
        <w:t>directeur du département de pédiatrie du Collège des médecins et chirurgiens de l</w:t>
      </w:r>
      <w:r w:rsidR="004572A0" w:rsidRPr="001B34DD">
        <w:rPr>
          <w:rFonts w:asciiTheme="minorHAnsi" w:hAnsiTheme="minorHAnsi" w:cstheme="minorHAnsi"/>
          <w:szCs w:val="20"/>
          <w:lang w:val="fr-FR"/>
        </w:rPr>
        <w:t>’</w:t>
      </w:r>
      <w:r w:rsidRPr="001B34DD">
        <w:rPr>
          <w:rFonts w:asciiTheme="minorHAnsi" w:hAnsiTheme="minorHAnsi" w:cstheme="minorHAnsi"/>
          <w:szCs w:val="20"/>
          <w:lang w:val="fr-FR"/>
        </w:rPr>
        <w:t>Université Columbia, à New York, États-Unis</w:t>
      </w:r>
    </w:p>
    <w:p w:rsidR="00B67A56" w:rsidRPr="001B34DD" w:rsidRDefault="00B67A56" w:rsidP="00B67A56">
      <w:pPr>
        <w:pStyle w:val="ListParagraph"/>
        <w:numPr>
          <w:ilvl w:val="0"/>
          <w:numId w:val="36"/>
        </w:numPr>
        <w:rPr>
          <w:rFonts w:asciiTheme="minorHAnsi" w:hAnsiTheme="minorHAnsi" w:cstheme="minorHAnsi"/>
          <w:szCs w:val="20"/>
          <w:lang w:val="fr-FR"/>
        </w:rPr>
      </w:pPr>
      <w:r w:rsidRPr="001B34DD">
        <w:rPr>
          <w:rFonts w:asciiTheme="minorHAnsi" w:hAnsiTheme="minorHAnsi" w:cstheme="minorHAnsi"/>
          <w:b/>
          <w:szCs w:val="20"/>
          <w:lang w:val="fr-FR"/>
        </w:rPr>
        <w:t xml:space="preserve">Prof. Jamal Tazi, PhD, </w:t>
      </w:r>
      <w:r w:rsidRPr="001B34DD">
        <w:rPr>
          <w:rFonts w:asciiTheme="minorHAnsi" w:hAnsiTheme="minorHAnsi" w:cstheme="minorHAnsi"/>
          <w:szCs w:val="20"/>
          <w:lang w:val="fr-FR"/>
        </w:rPr>
        <w:t>directeur du département de génétique moléculaire, CNRS et Université de Montpellier, France</w:t>
      </w:r>
    </w:p>
    <w:p w:rsidR="00B67A56" w:rsidRPr="001B34DD" w:rsidRDefault="00B67A56" w:rsidP="00B67A56">
      <w:pPr>
        <w:pStyle w:val="ListParagraph"/>
        <w:numPr>
          <w:ilvl w:val="0"/>
          <w:numId w:val="36"/>
        </w:numPr>
        <w:rPr>
          <w:rFonts w:asciiTheme="minorHAnsi" w:hAnsiTheme="minorHAnsi" w:cstheme="minorHAnsi"/>
          <w:b/>
          <w:szCs w:val="20"/>
          <w:lang w:val="fr-FR"/>
        </w:rPr>
      </w:pPr>
      <w:r w:rsidRPr="001B34DD">
        <w:rPr>
          <w:rFonts w:asciiTheme="minorHAnsi" w:hAnsiTheme="minorHAnsi" w:cstheme="minorHAnsi"/>
          <w:b/>
          <w:szCs w:val="20"/>
          <w:lang w:val="fr-FR"/>
        </w:rPr>
        <w:t xml:space="preserve">Prof. Christian Trepo, M.D., Ph.D., </w:t>
      </w:r>
      <w:r w:rsidRPr="001B34DD">
        <w:rPr>
          <w:rFonts w:asciiTheme="minorHAnsi" w:hAnsiTheme="minorHAnsi" w:cstheme="minorHAnsi"/>
          <w:szCs w:val="20"/>
          <w:lang w:val="fr-FR"/>
        </w:rPr>
        <w:t>département d’hépato-gastroentérologie, à l’Hôpital universitaire de Lyon et ancien directeur de l’unité de recherche sur l’hépatite à l’INSERM, à Lyon, France</w:t>
      </w:r>
    </w:p>
    <w:p w:rsidR="00B67A56" w:rsidRPr="001B34DD" w:rsidRDefault="00B67A56" w:rsidP="00B67A56">
      <w:pPr>
        <w:pStyle w:val="ListParagraph"/>
        <w:numPr>
          <w:ilvl w:val="0"/>
          <w:numId w:val="36"/>
        </w:numPr>
        <w:rPr>
          <w:rFonts w:asciiTheme="minorHAnsi" w:hAnsiTheme="minorHAnsi" w:cstheme="minorHAnsi"/>
          <w:szCs w:val="20"/>
          <w:lang w:val="fr-FR"/>
        </w:rPr>
      </w:pPr>
      <w:r w:rsidRPr="001B34DD">
        <w:rPr>
          <w:rFonts w:asciiTheme="minorHAnsi" w:hAnsiTheme="minorHAnsi" w:cstheme="minorHAnsi"/>
          <w:b/>
          <w:szCs w:val="20"/>
          <w:lang w:val="fr-FR"/>
        </w:rPr>
        <w:t xml:space="preserve">Prof. Christian Bréchot, M.D., Ph.D., </w:t>
      </w:r>
      <w:r w:rsidRPr="001B34DD">
        <w:rPr>
          <w:rFonts w:asciiTheme="minorHAnsi" w:hAnsiTheme="minorHAnsi" w:cstheme="minorHAnsi"/>
          <w:szCs w:val="20"/>
          <w:lang w:val="fr-FR"/>
        </w:rPr>
        <w:t>ancien directeur général de l’Institut Pasteur, à Paris, France</w:t>
      </w:r>
    </w:p>
    <w:p w:rsidR="00B67A56" w:rsidRPr="001B34DD" w:rsidRDefault="00B67A56" w:rsidP="00B67A56">
      <w:pPr>
        <w:pStyle w:val="ListParagraph"/>
        <w:numPr>
          <w:ilvl w:val="0"/>
          <w:numId w:val="36"/>
        </w:numPr>
        <w:rPr>
          <w:rFonts w:asciiTheme="minorHAnsi" w:hAnsiTheme="minorHAnsi" w:cstheme="minorHAnsi"/>
          <w:szCs w:val="20"/>
          <w:lang w:val="fr-FR"/>
        </w:rPr>
      </w:pPr>
      <w:r w:rsidRPr="001B34DD">
        <w:rPr>
          <w:rFonts w:asciiTheme="minorHAnsi" w:hAnsiTheme="minorHAnsi" w:cstheme="minorHAnsi"/>
          <w:b/>
          <w:szCs w:val="20"/>
          <w:lang w:val="fr-FR"/>
        </w:rPr>
        <w:lastRenderedPageBreak/>
        <w:t xml:space="preserve">Prof. Ian McGowan, M.D., Ph.D., </w:t>
      </w:r>
      <w:r w:rsidRPr="001B34DD">
        <w:rPr>
          <w:rFonts w:asciiTheme="minorHAnsi" w:hAnsiTheme="minorHAnsi" w:cstheme="minorHAnsi"/>
          <w:szCs w:val="20"/>
          <w:lang w:val="fr-FR"/>
        </w:rPr>
        <w:t>département de gastroentérologie, hépatologie et nutrition à la faculté de médecine de l’Université de Pittsburg aux Etats-Unis et ancien président du comité consultatif de la FDA sur les médicaments antiviraux</w:t>
      </w:r>
    </w:p>
    <w:p w:rsidR="001E5FAB" w:rsidRPr="00C73365" w:rsidRDefault="001E5FAB" w:rsidP="007A1897">
      <w:pPr>
        <w:pStyle w:val="ConmainL2"/>
        <w:numPr>
          <w:ilvl w:val="1"/>
          <w:numId w:val="9"/>
        </w:numPr>
        <w:spacing w:after="120"/>
        <w:rPr>
          <w:rFonts w:asciiTheme="minorHAnsi" w:hAnsiTheme="minorHAnsi" w:cstheme="minorHAnsi"/>
          <w:sz w:val="22"/>
          <w:szCs w:val="22"/>
          <w:lang w:val="fr-FR"/>
        </w:rPr>
      </w:pPr>
      <w:bookmarkStart w:id="317" w:name="_Toc512863902"/>
      <w:r w:rsidRPr="00C73365">
        <w:rPr>
          <w:rFonts w:asciiTheme="minorHAnsi" w:hAnsiTheme="minorHAnsi" w:cstheme="minorHAnsi"/>
          <w:sz w:val="22"/>
          <w:szCs w:val="22"/>
          <w:lang w:val="fr-FR"/>
        </w:rPr>
        <w:t>Situation juridique de la Société durant l’exercice écoulé</w:t>
      </w:r>
      <w:bookmarkEnd w:id="317"/>
    </w:p>
    <w:p w:rsidR="000422F4" w:rsidRPr="00C73365" w:rsidRDefault="001E5FAB" w:rsidP="007A1897">
      <w:pPr>
        <w:pStyle w:val="ConmainL3"/>
        <w:numPr>
          <w:ilvl w:val="2"/>
          <w:numId w:val="9"/>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Contrat de liquidité</w:t>
      </w:r>
    </w:p>
    <w:p w:rsidR="001E5FAB" w:rsidRPr="00C73365" w:rsidRDefault="001E5FAB" w:rsidP="004572A0">
      <w:pPr>
        <w:pStyle w:val="BodyText"/>
        <w:rPr>
          <w:rFonts w:asciiTheme="minorHAnsi" w:hAnsiTheme="minorHAnsi" w:cstheme="minorHAnsi"/>
          <w:lang w:val="fr-FR"/>
        </w:rPr>
      </w:pPr>
      <w:r w:rsidRPr="00C73365">
        <w:rPr>
          <w:rFonts w:asciiTheme="minorHAnsi" w:hAnsiTheme="minorHAnsi" w:cstheme="minorHAnsi"/>
          <w:lang w:val="fr-FR"/>
        </w:rPr>
        <w:t>A partir du 26 juin 2015 et pour une durée d’un an renouvelable par tacite reconduction, la Société a confié la mise en œuvre d’un contrat de liquidité d’un montant de 1.000.000 euros à la société Tradition Securities and Futures.</w:t>
      </w:r>
    </w:p>
    <w:p w:rsidR="001E5FAB" w:rsidRPr="00C73365" w:rsidRDefault="001E5FAB" w:rsidP="004572A0">
      <w:pPr>
        <w:pStyle w:val="BodyText"/>
        <w:rPr>
          <w:rFonts w:asciiTheme="minorHAnsi" w:hAnsiTheme="minorHAnsi" w:cstheme="minorHAnsi"/>
          <w:lang w:val="fr-FR"/>
        </w:rPr>
      </w:pPr>
      <w:r w:rsidRPr="00C73365">
        <w:rPr>
          <w:rFonts w:asciiTheme="minorHAnsi" w:hAnsiTheme="minorHAnsi" w:cstheme="minorHAnsi"/>
          <w:lang w:val="fr-FR"/>
        </w:rPr>
        <w:t>Ce contrat de liquidité en date du 25 juin 2015 a été établi conformément aux dispositions prévues par le cadre juridique en vigueur et notamment les dispositions du règlement européen 2273/2003 du 22 décembre 2003, des dispositions des articles L225-209 et suivants du Code de commerce, les dispositions du Règlement Général de l’Autorité des Marchés Financiers, de la décision AMF du 21 mars 2011 et est également conforme à la Charte de déontologie modifiée par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Association des Marchés financiers le 8 mars 2011. </w:t>
      </w:r>
    </w:p>
    <w:p w:rsidR="001E5FAB" w:rsidRPr="00C73365" w:rsidRDefault="001E5FAB"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31 décembre </w:t>
      </w:r>
      <w:r w:rsidR="00ED01B4" w:rsidRPr="00C73365">
        <w:rPr>
          <w:rFonts w:asciiTheme="minorHAnsi" w:hAnsiTheme="minorHAnsi" w:cstheme="minorHAnsi"/>
          <w:lang w:val="fr-FR"/>
        </w:rPr>
        <w:t>2017</w:t>
      </w:r>
      <w:r w:rsidRPr="00C73365">
        <w:rPr>
          <w:rFonts w:asciiTheme="minorHAnsi" w:hAnsiTheme="minorHAnsi" w:cstheme="minorHAnsi"/>
          <w:lang w:val="fr-FR"/>
        </w:rPr>
        <w:t>, le nombre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actions propres détenues dans le cadre du contrat de liquidité était de </w:t>
      </w:r>
      <w:r w:rsidR="00ED01B4" w:rsidRPr="00C73365">
        <w:rPr>
          <w:rFonts w:asciiTheme="minorHAnsi" w:hAnsiTheme="minorHAnsi" w:cstheme="minorHAnsi"/>
          <w:lang w:val="fr-FR"/>
        </w:rPr>
        <w:t>34</w:t>
      </w:r>
      <w:r w:rsidRPr="00C73365">
        <w:rPr>
          <w:rFonts w:asciiTheme="minorHAnsi" w:hAnsiTheme="minorHAnsi" w:cstheme="minorHAnsi"/>
          <w:lang w:val="fr-FR"/>
        </w:rPr>
        <w:t>.</w:t>
      </w:r>
      <w:r w:rsidR="00ED01B4" w:rsidRPr="00C73365">
        <w:rPr>
          <w:rFonts w:asciiTheme="minorHAnsi" w:hAnsiTheme="minorHAnsi" w:cstheme="minorHAnsi"/>
          <w:lang w:val="fr-FR"/>
        </w:rPr>
        <w:t xml:space="preserve">050 </w:t>
      </w:r>
      <w:r w:rsidRPr="00C73365">
        <w:rPr>
          <w:rFonts w:asciiTheme="minorHAnsi" w:hAnsiTheme="minorHAnsi" w:cstheme="minorHAnsi"/>
          <w:lang w:val="fr-FR"/>
        </w:rPr>
        <w:t xml:space="preserve">actions acquises pour une valeur de </w:t>
      </w:r>
      <w:r w:rsidR="00AD2C40" w:rsidRPr="00C73365">
        <w:rPr>
          <w:rFonts w:asciiTheme="minorHAnsi" w:hAnsiTheme="minorHAnsi" w:cstheme="minorHAnsi"/>
          <w:lang w:val="fr-FR"/>
        </w:rPr>
        <w:t>384 992</w:t>
      </w:r>
      <w:r w:rsidRPr="00C73365">
        <w:rPr>
          <w:rFonts w:asciiTheme="minorHAnsi" w:hAnsiTheme="minorHAnsi" w:cstheme="minorHAnsi"/>
          <w:lang w:val="fr-FR"/>
        </w:rPr>
        <w:t>€.</w:t>
      </w:r>
      <w:r w:rsidR="001E4164" w:rsidRPr="00C73365">
        <w:rPr>
          <w:rFonts w:asciiTheme="minorHAnsi" w:hAnsiTheme="minorHAnsi" w:cstheme="minorHAnsi"/>
          <w:lang w:val="fr-FR"/>
        </w:rPr>
        <w:t xml:space="preserve"> </w:t>
      </w:r>
      <w:r w:rsidRPr="00C73365">
        <w:rPr>
          <w:rFonts w:asciiTheme="minorHAnsi" w:hAnsiTheme="minorHAnsi" w:cstheme="minorHAnsi"/>
          <w:lang w:val="fr-FR"/>
        </w:rPr>
        <w:t xml:space="preserve">Aucune dépréciation n’a été constatée au 31 </w:t>
      </w:r>
      <w:r w:rsidR="008C1A4A">
        <w:rPr>
          <w:rFonts w:asciiTheme="minorHAnsi" w:hAnsiTheme="minorHAnsi" w:cstheme="minorHAnsi"/>
          <w:lang w:val="fr-FR"/>
        </w:rPr>
        <w:t>d</w:t>
      </w:r>
      <w:r w:rsidRPr="00C73365">
        <w:rPr>
          <w:rFonts w:asciiTheme="minorHAnsi" w:hAnsiTheme="minorHAnsi" w:cstheme="minorHAnsi"/>
          <w:lang w:val="fr-FR"/>
        </w:rPr>
        <w:t xml:space="preserve">écembre </w:t>
      </w:r>
      <w:r w:rsidR="00ED01B4" w:rsidRPr="00C73365">
        <w:rPr>
          <w:rFonts w:asciiTheme="minorHAnsi" w:hAnsiTheme="minorHAnsi" w:cstheme="minorHAnsi"/>
          <w:lang w:val="fr-FR"/>
        </w:rPr>
        <w:t xml:space="preserve">2017 </w:t>
      </w:r>
      <w:r w:rsidRPr="00C73365">
        <w:rPr>
          <w:rFonts w:asciiTheme="minorHAnsi" w:hAnsiTheme="minorHAnsi" w:cstheme="minorHAnsi"/>
          <w:lang w:val="fr-FR"/>
        </w:rPr>
        <w:t>concernant les titres auto-détenus. Le solde du contrat de liquidité s’élevait au 31/12/</w:t>
      </w:r>
      <w:r w:rsidR="00ED01B4" w:rsidRPr="00C73365">
        <w:rPr>
          <w:rFonts w:asciiTheme="minorHAnsi" w:hAnsiTheme="minorHAnsi" w:cstheme="minorHAnsi"/>
          <w:lang w:val="fr-FR"/>
        </w:rPr>
        <w:t xml:space="preserve">2017 </w:t>
      </w:r>
      <w:r w:rsidRPr="00C73365">
        <w:rPr>
          <w:rFonts w:asciiTheme="minorHAnsi" w:hAnsiTheme="minorHAnsi" w:cstheme="minorHAnsi"/>
          <w:lang w:val="fr-FR"/>
        </w:rPr>
        <w:t xml:space="preserve">à </w:t>
      </w:r>
      <w:r w:rsidR="00ED01B4" w:rsidRPr="00C73365">
        <w:rPr>
          <w:rFonts w:asciiTheme="minorHAnsi" w:hAnsiTheme="minorHAnsi" w:cstheme="minorHAnsi"/>
          <w:lang w:val="fr-FR"/>
        </w:rPr>
        <w:t>336 617,93</w:t>
      </w:r>
      <w:r w:rsidR="00AD2C40" w:rsidRPr="00C73365">
        <w:rPr>
          <w:rFonts w:asciiTheme="minorHAnsi" w:hAnsiTheme="minorHAnsi" w:cstheme="minorHAnsi"/>
          <w:lang w:val="fr-FR"/>
        </w:rPr>
        <w:t xml:space="preserve"> </w:t>
      </w:r>
      <w:r w:rsidR="001E4164" w:rsidRPr="00C73365">
        <w:rPr>
          <w:rFonts w:asciiTheme="minorHAnsi" w:hAnsiTheme="minorHAnsi" w:cstheme="minorHAnsi"/>
          <w:lang w:val="fr-FR"/>
        </w:rPr>
        <w:t>€.</w:t>
      </w:r>
    </w:p>
    <w:p w:rsidR="001E5FAB" w:rsidRPr="00C73365" w:rsidRDefault="001E5FAB" w:rsidP="007A1897">
      <w:pPr>
        <w:pStyle w:val="ConmainL3"/>
        <w:numPr>
          <w:ilvl w:val="2"/>
          <w:numId w:val="9"/>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Augmentation du capital social</w:t>
      </w:r>
    </w:p>
    <w:p w:rsidR="001E5FAB" w:rsidRPr="00C73365" w:rsidRDefault="00277D7C" w:rsidP="004572A0">
      <w:pPr>
        <w:pStyle w:val="BodyText"/>
        <w:rPr>
          <w:rFonts w:asciiTheme="minorHAnsi" w:hAnsiTheme="minorHAnsi" w:cstheme="minorHAnsi"/>
          <w:lang w:val="fr-FR"/>
        </w:rPr>
      </w:pPr>
      <w:r w:rsidRPr="00C73365">
        <w:rPr>
          <w:rFonts w:asciiTheme="minorHAnsi" w:hAnsiTheme="minorHAnsi" w:cstheme="minorHAnsi"/>
          <w:lang w:val="fr-FR"/>
        </w:rPr>
        <w:t>Se référer au paragraphe 21.1</w:t>
      </w:r>
      <w:r w:rsidR="005C789C" w:rsidRPr="00C73365">
        <w:rPr>
          <w:rFonts w:asciiTheme="minorHAnsi" w:hAnsiTheme="minorHAnsi" w:cstheme="minorHAnsi"/>
          <w:lang w:val="fr-FR"/>
        </w:rPr>
        <w:t xml:space="preserve">.7 </w:t>
      </w:r>
      <w:r w:rsidRPr="00C73365">
        <w:rPr>
          <w:rFonts w:asciiTheme="minorHAnsi" w:hAnsiTheme="minorHAnsi" w:cstheme="minorHAnsi"/>
          <w:lang w:val="fr-FR"/>
        </w:rPr>
        <w:t>du présent document de référence.</w:t>
      </w:r>
    </w:p>
    <w:p w:rsidR="001E5FAB" w:rsidRPr="00C73365" w:rsidRDefault="001E5FAB" w:rsidP="007A1897">
      <w:pPr>
        <w:pStyle w:val="ConmainL3"/>
        <w:numPr>
          <w:ilvl w:val="2"/>
          <w:numId w:val="9"/>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Emission d</w:t>
      </w:r>
      <w:r w:rsidR="004572A0" w:rsidRPr="00C73365">
        <w:rPr>
          <w:rFonts w:asciiTheme="minorHAnsi" w:hAnsiTheme="minorHAnsi" w:cstheme="minorHAnsi"/>
          <w:b/>
          <w:color w:val="7030A0"/>
          <w:lang w:val="fr-FR"/>
        </w:rPr>
        <w:t>’</w:t>
      </w:r>
      <w:r w:rsidRPr="00C73365">
        <w:rPr>
          <w:rFonts w:asciiTheme="minorHAnsi" w:hAnsiTheme="minorHAnsi" w:cstheme="minorHAnsi"/>
          <w:b/>
          <w:color w:val="7030A0"/>
          <w:lang w:val="fr-FR"/>
        </w:rPr>
        <w:t xml:space="preserve">instruments financiers dilutifs </w:t>
      </w:r>
    </w:p>
    <w:p w:rsidR="00277D7C" w:rsidRPr="00C73365" w:rsidRDefault="00277D7C" w:rsidP="004572A0">
      <w:pPr>
        <w:pStyle w:val="BodyText"/>
        <w:rPr>
          <w:rFonts w:asciiTheme="minorHAnsi" w:hAnsiTheme="minorHAnsi" w:cstheme="minorHAnsi"/>
          <w:lang w:val="fr-FR"/>
        </w:rPr>
      </w:pPr>
      <w:r w:rsidRPr="00C73365">
        <w:rPr>
          <w:rFonts w:asciiTheme="minorHAnsi" w:hAnsiTheme="minorHAnsi" w:cstheme="minorHAnsi"/>
          <w:lang w:val="fr-FR"/>
        </w:rPr>
        <w:t>Se référer au paragraphe 21.1.5 du présent document de référence.</w:t>
      </w:r>
    </w:p>
    <w:p w:rsidR="001E5FAB" w:rsidRPr="00C73365" w:rsidRDefault="001E5FAB" w:rsidP="00A96CCA">
      <w:pPr>
        <w:rPr>
          <w:rFonts w:asciiTheme="minorHAnsi" w:hAnsiTheme="minorHAnsi" w:cstheme="minorHAnsi"/>
          <w:szCs w:val="20"/>
          <w:highlight w:val="yellow"/>
          <w:lang w:val="fr-FR"/>
        </w:rPr>
      </w:pPr>
    </w:p>
    <w:p w:rsidR="00136669" w:rsidRPr="00C73365" w:rsidRDefault="00136669">
      <w:pPr>
        <w:spacing w:after="160" w:line="259" w:lineRule="auto"/>
        <w:rPr>
          <w:rFonts w:asciiTheme="minorHAnsi" w:hAnsiTheme="minorHAnsi" w:cstheme="minorHAnsi"/>
          <w:szCs w:val="20"/>
          <w:lang w:val="fr-FR"/>
        </w:rPr>
      </w:pPr>
      <w:r w:rsidRPr="00C73365">
        <w:rPr>
          <w:rFonts w:asciiTheme="minorHAnsi" w:hAnsiTheme="minorHAnsi" w:cstheme="minorHAnsi"/>
          <w:szCs w:val="20"/>
          <w:lang w:val="fr-FR"/>
        </w:rPr>
        <w:br w:type="page"/>
      </w:r>
    </w:p>
    <w:p w:rsidR="00136669" w:rsidRPr="00C73365" w:rsidRDefault="00136669" w:rsidP="00136669">
      <w:pPr>
        <w:pStyle w:val="ConmainL2"/>
        <w:numPr>
          <w:ilvl w:val="1"/>
          <w:numId w:val="9"/>
        </w:numPr>
        <w:spacing w:after="120"/>
        <w:rPr>
          <w:rFonts w:asciiTheme="minorHAnsi" w:hAnsiTheme="minorHAnsi" w:cstheme="minorHAnsi"/>
          <w:lang w:val="fr-FR"/>
        </w:rPr>
      </w:pPr>
      <w:bookmarkStart w:id="318" w:name="_Toc475457013"/>
      <w:bookmarkStart w:id="319" w:name="_Toc508786496"/>
      <w:bookmarkStart w:id="320" w:name="_Toc512863903"/>
      <w:r w:rsidRPr="00C73365">
        <w:rPr>
          <w:rFonts w:asciiTheme="minorHAnsi" w:hAnsiTheme="minorHAnsi" w:cstheme="minorHAnsi"/>
          <w:lang w:val="fr-FR"/>
        </w:rPr>
        <w:lastRenderedPageBreak/>
        <w:t>Politique de la Société en matière de responsabilité environnementale, sociale et sociétale</w:t>
      </w:r>
      <w:bookmarkEnd w:id="318"/>
      <w:bookmarkEnd w:id="319"/>
      <w:bookmarkEnd w:id="320"/>
      <w:r w:rsidRPr="00C73365">
        <w:rPr>
          <w:rFonts w:asciiTheme="minorHAnsi" w:hAnsiTheme="minorHAnsi" w:cstheme="minorHAnsi"/>
          <w:lang w:val="fr-FR"/>
        </w:rPr>
        <w:t xml:space="preserve"> </w:t>
      </w:r>
    </w:p>
    <w:p w:rsidR="00136669" w:rsidRPr="00C73365" w:rsidRDefault="00136669" w:rsidP="00136669">
      <w:pPr>
        <w:pStyle w:val="ListParagraph"/>
        <w:numPr>
          <w:ilvl w:val="2"/>
          <w:numId w:val="9"/>
        </w:numPr>
        <w:outlineLvl w:val="2"/>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Politique générale en matière d’environnement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activités de la Société se déroulent dans des bureaux et des laboratoires dont les propriétaires et opérateurs (Sogelym - Dixence pour le siège situé au 5, rue de la Baume 75008, au CNRS-Campus Languedoc Roussillon pour le laboratoire de recherche et développement de Montpellier) sont rigoureux sur les impacts environnementaux des activités qui se déroulent sur les sites qu’ils gèrent.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activités de Recherche et Développement sont encadrées par une réglementation stricte qui vise entre autres à éviter des contaminations environnementales et la Société applique cette réglementation.</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Compte tenu de la nature des activités et de la taille de la Société, il n’existe toutefois pas de service interne de gestion de l’environnement. La Société n’est pas soumise à des procédures de certification spécifiquement environnementales. Il n’existe pas de provisions et garanties pour risques en matière d’environnement. La Société n’a pas versé d’indemnité au cours de l’exercice en exécution d’une décision judiciaire en matière d</w:t>
      </w:r>
      <w:r w:rsidR="004572A0" w:rsidRPr="00C73365">
        <w:rPr>
          <w:rFonts w:asciiTheme="minorHAnsi" w:hAnsiTheme="minorHAnsi" w:cstheme="minorHAnsi"/>
          <w:lang w:val="fr-FR"/>
        </w:rPr>
        <w:t>’</w:t>
      </w:r>
      <w:r w:rsidRPr="00C73365">
        <w:rPr>
          <w:rFonts w:asciiTheme="minorHAnsi" w:hAnsiTheme="minorHAnsi" w:cstheme="minorHAnsi"/>
          <w:lang w:val="fr-FR"/>
        </w:rPr>
        <w:t>environnement.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 xml:space="preserve">Toute personne localisée sur le site de Montpellier, reçoit à son arrivée une formation par le CNRS afin de les sensibiliser sur une problématique environnementale.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mettra en œuvre en fonction des besoins tous les moyens nécessaires à la prévention des risques environnementaux et des pollutions. Au cours de l’année 2017, la Société n’a pas eu besoin de déployer des moyens au vue de la prévention des risques environnementaux et des pollutions.</w:t>
      </w:r>
    </w:p>
    <w:p w:rsidR="00136669" w:rsidRPr="00C73365" w:rsidRDefault="00136669" w:rsidP="00136669">
      <w:pPr>
        <w:pStyle w:val="ConmainL3"/>
        <w:numPr>
          <w:ilvl w:val="3"/>
          <w:numId w:val="9"/>
        </w:numPr>
        <w:spacing w:after="120"/>
        <w:rPr>
          <w:rFonts w:asciiTheme="minorHAnsi" w:hAnsiTheme="minorHAnsi" w:cstheme="minorHAnsi"/>
          <w:szCs w:val="20"/>
          <w:lang w:val="fr-FR"/>
        </w:rPr>
      </w:pPr>
      <w:r w:rsidRPr="00C73365">
        <w:rPr>
          <w:rFonts w:asciiTheme="minorHAnsi" w:hAnsiTheme="minorHAnsi" w:cstheme="minorHAnsi"/>
          <w:szCs w:val="20"/>
          <w:lang w:val="fr-FR"/>
        </w:rPr>
        <w:t xml:space="preserve">Pollution et gestion des déchets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activités de recherche et développement sous-traitées ou réalisées par la Société peuvent impliquer le stockage, l</w:t>
      </w:r>
      <w:r w:rsidR="004572A0" w:rsidRPr="00C73365">
        <w:rPr>
          <w:rFonts w:asciiTheme="minorHAnsi" w:hAnsiTheme="minorHAnsi" w:cstheme="minorHAnsi"/>
          <w:lang w:val="fr-FR"/>
        </w:rPr>
        <w:t>’</w:t>
      </w:r>
      <w:r w:rsidRPr="00C73365">
        <w:rPr>
          <w:rFonts w:asciiTheme="minorHAnsi" w:hAnsiTheme="minorHAnsi" w:cstheme="minorHAnsi"/>
          <w:lang w:val="fr-FR"/>
        </w:rPr>
        <w:t>utilisation et l</w:t>
      </w:r>
      <w:r w:rsidR="004572A0" w:rsidRPr="00C73365">
        <w:rPr>
          <w:rFonts w:asciiTheme="minorHAnsi" w:hAnsiTheme="minorHAnsi" w:cstheme="minorHAnsi"/>
          <w:lang w:val="fr-FR"/>
        </w:rPr>
        <w:t>’</w:t>
      </w:r>
      <w:r w:rsidRPr="00C73365">
        <w:rPr>
          <w:rFonts w:asciiTheme="minorHAnsi" w:hAnsiTheme="minorHAnsi" w:cstheme="minorHAnsi"/>
          <w:lang w:val="fr-FR"/>
        </w:rPr>
        <w:t>élimination de produits dangereux et biologiques et se traduise par des émissions de gaz à effet de serre et d’agents chimiques notamment concourant à l</w:t>
      </w:r>
      <w:r w:rsidR="004572A0" w:rsidRPr="00C73365">
        <w:rPr>
          <w:rFonts w:asciiTheme="minorHAnsi" w:hAnsiTheme="minorHAnsi" w:cstheme="minorHAnsi"/>
          <w:lang w:val="fr-FR"/>
        </w:rPr>
        <w:t>’</w:t>
      </w:r>
      <w:r w:rsidRPr="00C73365">
        <w:rPr>
          <w:rFonts w:asciiTheme="minorHAnsi" w:hAnsiTheme="minorHAnsi" w:cstheme="minorHAnsi"/>
          <w:lang w:val="fr-FR"/>
        </w:rPr>
        <w:t>acidification de l’eau, de l</w:t>
      </w:r>
      <w:r w:rsidR="004572A0" w:rsidRPr="00C73365">
        <w:rPr>
          <w:rFonts w:asciiTheme="minorHAnsi" w:hAnsiTheme="minorHAnsi" w:cstheme="minorHAnsi"/>
          <w:lang w:val="fr-FR"/>
        </w:rPr>
        <w:t>’</w:t>
      </w:r>
      <w:r w:rsidRPr="00C73365">
        <w:rPr>
          <w:rFonts w:asciiTheme="minorHAnsi" w:hAnsiTheme="minorHAnsi" w:cstheme="minorHAnsi"/>
          <w:lang w:val="fr-FR"/>
        </w:rPr>
        <w:t>air et des sols. Ces impacts restent dans les limites autorisées par la règlementation applicable.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Etant entendu que le laboratoire de Montpellier est réservé à la manipulation de produits biologiques et chimiques dans le cadre des activités de Recherche et Développement de la Société, des précautions de manipulation et recyclage de déchets ont été mises en œuvre de manière à ce qu’aucun rejet significatif dans l</w:t>
      </w:r>
      <w:r w:rsidR="004572A0" w:rsidRPr="00C73365">
        <w:rPr>
          <w:rFonts w:asciiTheme="minorHAnsi" w:hAnsiTheme="minorHAnsi" w:cstheme="minorHAnsi"/>
          <w:lang w:val="fr-FR"/>
        </w:rPr>
        <w:t>’</w:t>
      </w:r>
      <w:r w:rsidRPr="00C73365">
        <w:rPr>
          <w:rFonts w:asciiTheme="minorHAnsi" w:hAnsiTheme="minorHAnsi" w:cstheme="minorHAnsi"/>
          <w:lang w:val="fr-FR"/>
        </w:rPr>
        <w:t>air, dans l’eau ou dans les sols ne soit susceptible d’affecter gravement l’environnement.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De même, il n</w:t>
      </w:r>
      <w:r w:rsidR="004572A0" w:rsidRPr="00C73365">
        <w:rPr>
          <w:rFonts w:asciiTheme="minorHAnsi" w:hAnsiTheme="minorHAnsi" w:cstheme="minorHAnsi"/>
          <w:lang w:val="fr-FR"/>
        </w:rPr>
        <w:t>’</w:t>
      </w:r>
      <w:r w:rsidRPr="00C73365">
        <w:rPr>
          <w:rFonts w:asciiTheme="minorHAnsi" w:hAnsiTheme="minorHAnsi" w:cstheme="minorHAnsi"/>
          <w:lang w:val="fr-FR"/>
        </w:rPr>
        <w:t>y a pas de stockage de produits dangereux pour l’environnement, y compris hydrocarbures, le chauffage des locaux étant électrique.</w:t>
      </w:r>
    </w:p>
    <w:p w:rsidR="00136669" w:rsidRPr="00C73365" w:rsidRDefault="00136669" w:rsidP="00136669">
      <w:pPr>
        <w:pStyle w:val="ConmainL3"/>
        <w:numPr>
          <w:ilvl w:val="3"/>
          <w:numId w:val="9"/>
        </w:numPr>
        <w:spacing w:after="120"/>
        <w:rPr>
          <w:rFonts w:asciiTheme="minorHAnsi" w:hAnsiTheme="minorHAnsi" w:cstheme="minorHAnsi"/>
          <w:szCs w:val="20"/>
          <w:lang w:val="fr-FR"/>
        </w:rPr>
      </w:pPr>
      <w:r w:rsidRPr="00C73365">
        <w:rPr>
          <w:rFonts w:asciiTheme="minorHAnsi" w:hAnsiTheme="minorHAnsi" w:cstheme="minorHAnsi"/>
          <w:szCs w:val="20"/>
          <w:lang w:val="fr-FR"/>
        </w:rPr>
        <w:t>Les mesures de prévention, de recyclage et d’élimination des déchets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Concernant le laboratoire de Montpellier, étant donné qu</w:t>
      </w:r>
      <w:r w:rsidR="004572A0" w:rsidRPr="00C73365">
        <w:rPr>
          <w:rFonts w:asciiTheme="minorHAnsi" w:hAnsiTheme="minorHAnsi" w:cstheme="minorHAnsi"/>
          <w:lang w:val="fr-FR"/>
        </w:rPr>
        <w:t>’</w:t>
      </w:r>
      <w:r w:rsidRPr="00C73365">
        <w:rPr>
          <w:rFonts w:asciiTheme="minorHAnsi" w:hAnsiTheme="minorHAnsi" w:cstheme="minorHAnsi"/>
          <w:lang w:val="fr-FR"/>
        </w:rPr>
        <w:t>il est directement hébergé dans les locaux du CNRS, nos activités bénéficient des actions mises en place par le CNRS pour le recyclage des déchets.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autres déchets sont évacués par les services de collectes de la ville. Ils se limitent à des déchets non dangereux.</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Compte-tenu de la mutualisation de notre laboratoire de Montpellier avec le CNRS, aucune information quantitative n’est disponible à ce jour.</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 site de Paris sous-traite le recyclage des appareils informatiques ainsi que les cartouches d’encre des imprimantes.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Compte tenu des activités de la Société, aucune nuisance sonore ou toute autre forme de pollution spécifiques autres que celles déjà abordées ci-dessus, n</w:t>
      </w:r>
      <w:r w:rsidR="004572A0" w:rsidRPr="00C73365">
        <w:rPr>
          <w:rFonts w:asciiTheme="minorHAnsi" w:hAnsiTheme="minorHAnsi" w:cstheme="minorHAnsi"/>
          <w:lang w:val="fr-FR"/>
        </w:rPr>
        <w:t>’</w:t>
      </w:r>
      <w:r w:rsidRPr="00C73365">
        <w:rPr>
          <w:rFonts w:asciiTheme="minorHAnsi" w:hAnsiTheme="minorHAnsi" w:cstheme="minorHAnsi"/>
          <w:lang w:val="fr-FR"/>
        </w:rPr>
        <w:t>est à déplorée.</w:t>
      </w:r>
    </w:p>
    <w:p w:rsidR="00136669" w:rsidRPr="00C73365" w:rsidRDefault="00136669" w:rsidP="00136669">
      <w:pPr>
        <w:pStyle w:val="ConmainL3"/>
        <w:numPr>
          <w:ilvl w:val="3"/>
          <w:numId w:val="9"/>
        </w:numPr>
        <w:spacing w:after="120"/>
        <w:rPr>
          <w:rFonts w:asciiTheme="minorHAnsi" w:hAnsiTheme="minorHAnsi" w:cstheme="minorHAnsi"/>
          <w:szCs w:val="20"/>
          <w:lang w:val="fr-FR"/>
        </w:rPr>
      </w:pPr>
      <w:r w:rsidRPr="00C73365">
        <w:rPr>
          <w:rFonts w:asciiTheme="minorHAnsi" w:hAnsiTheme="minorHAnsi" w:cstheme="minorHAnsi"/>
          <w:szCs w:val="20"/>
          <w:lang w:val="fr-FR"/>
        </w:rPr>
        <w:t>Utilisation durable des ressources (eau - énergie)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activités non sous-traitées de la Société génèrent une consommation en eau, matières premières et énergie standard dans la mesure où elles sont conduites dans des bureaux et laboratoire. Elles ne génèrent pas d’impact significatif en matière d’utilisation du sol.</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Etant donné que la Société n</w:t>
      </w:r>
      <w:r w:rsidR="004572A0" w:rsidRPr="00C73365">
        <w:rPr>
          <w:rFonts w:asciiTheme="minorHAnsi" w:hAnsiTheme="minorHAnsi" w:cstheme="minorHAnsi"/>
          <w:lang w:val="fr-FR"/>
        </w:rPr>
        <w:t>’</w:t>
      </w:r>
      <w:r w:rsidRPr="00C73365">
        <w:rPr>
          <w:rFonts w:asciiTheme="minorHAnsi" w:hAnsiTheme="minorHAnsi" w:cstheme="minorHAnsi"/>
          <w:lang w:val="fr-FR"/>
        </w:rPr>
        <w:t>a aucune activité industrielle, les consommations de matières premières associées ne sont pas significatives. Dès lors le consommable majeur de l</w:t>
      </w:r>
      <w:r w:rsidR="004572A0" w:rsidRPr="00C73365">
        <w:rPr>
          <w:rFonts w:asciiTheme="minorHAnsi" w:hAnsiTheme="minorHAnsi" w:cstheme="minorHAnsi"/>
          <w:lang w:val="fr-FR"/>
        </w:rPr>
        <w:t>’</w:t>
      </w:r>
      <w:r w:rsidRPr="00C73365">
        <w:rPr>
          <w:rFonts w:asciiTheme="minorHAnsi" w:hAnsiTheme="minorHAnsi" w:cstheme="minorHAnsi"/>
          <w:lang w:val="fr-FR"/>
        </w:rPr>
        <w:t>entreprise est le papier.</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collaborateurs sont sensibilisés aux économies de papier et, les photocopieurs étant d’ailleurs paramétrés pour des impressions recto-verso.</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estime que sa consommation d’eau pour son site de Paris pour l’année 2017 s’est élevée à 104 m3 d</w:t>
      </w:r>
      <w:r w:rsidR="004572A0" w:rsidRPr="00C73365">
        <w:rPr>
          <w:rFonts w:asciiTheme="minorHAnsi" w:hAnsiTheme="minorHAnsi" w:cstheme="minorHAnsi"/>
          <w:lang w:val="fr-FR"/>
        </w:rPr>
        <w:t>’</w:t>
      </w:r>
      <w:r w:rsidRPr="00C73365">
        <w:rPr>
          <w:rFonts w:asciiTheme="minorHAnsi" w:hAnsiTheme="minorHAnsi" w:cstheme="minorHAnsi"/>
          <w:lang w:val="fr-FR"/>
        </w:rPr>
        <w:t>eau*. L</w:t>
      </w:r>
      <w:r w:rsidR="004572A0" w:rsidRPr="00C73365">
        <w:rPr>
          <w:rFonts w:asciiTheme="minorHAnsi" w:hAnsiTheme="minorHAnsi" w:cstheme="minorHAnsi"/>
          <w:lang w:val="fr-FR"/>
        </w:rPr>
        <w:t>’</w:t>
      </w:r>
      <w:r w:rsidRPr="00C73365">
        <w:rPr>
          <w:rFonts w:asciiTheme="minorHAnsi" w:hAnsiTheme="minorHAnsi" w:cstheme="minorHAnsi"/>
          <w:lang w:val="fr-FR"/>
        </w:rPr>
        <w:t>approvisionnement en eau de la Société étant assuré sur chaque site par le réseau général d</w:t>
      </w:r>
      <w:r w:rsidR="004572A0" w:rsidRPr="00C73365">
        <w:rPr>
          <w:rFonts w:asciiTheme="minorHAnsi" w:hAnsiTheme="minorHAnsi" w:cstheme="minorHAnsi"/>
          <w:lang w:val="fr-FR"/>
        </w:rPr>
        <w:t>’</w:t>
      </w:r>
      <w:r w:rsidRPr="00C73365">
        <w:rPr>
          <w:rFonts w:asciiTheme="minorHAnsi" w:hAnsiTheme="minorHAnsi" w:cstheme="minorHAnsi"/>
          <w:lang w:val="fr-FR"/>
        </w:rPr>
        <w:t>alimentation en eau potable, il n</w:t>
      </w:r>
      <w:r w:rsidR="004572A0" w:rsidRPr="00C73365">
        <w:rPr>
          <w:rFonts w:asciiTheme="minorHAnsi" w:hAnsiTheme="minorHAnsi" w:cstheme="minorHAnsi"/>
          <w:lang w:val="fr-FR"/>
        </w:rPr>
        <w:t>’</w:t>
      </w:r>
      <w:r w:rsidRPr="00C73365">
        <w:rPr>
          <w:rFonts w:asciiTheme="minorHAnsi" w:hAnsiTheme="minorHAnsi" w:cstheme="minorHAnsi"/>
          <w:lang w:val="fr-FR"/>
        </w:rPr>
        <w:t>existe aucune contrainte particulière d</w:t>
      </w:r>
      <w:r w:rsidR="004572A0" w:rsidRPr="00C73365">
        <w:rPr>
          <w:rFonts w:asciiTheme="minorHAnsi" w:hAnsiTheme="minorHAnsi" w:cstheme="minorHAnsi"/>
          <w:lang w:val="fr-FR"/>
        </w:rPr>
        <w:t>’</w:t>
      </w:r>
      <w:r w:rsidRPr="00C73365">
        <w:rPr>
          <w:rFonts w:asciiTheme="minorHAnsi" w:hAnsiTheme="minorHAnsi" w:cstheme="minorHAnsi"/>
          <w:lang w:val="fr-FR"/>
        </w:rPr>
        <w:t>approvisionnement.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estime que sa consommation d’électricité pour son site de Paris pour l’année 2017 s’est élevée à 28 984 kWh.</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Aucune mesure n’a été mise en œuvre pour améliorer l</w:t>
      </w:r>
      <w:r w:rsidR="004572A0" w:rsidRPr="00C73365">
        <w:rPr>
          <w:rFonts w:asciiTheme="minorHAnsi" w:hAnsiTheme="minorHAnsi" w:cstheme="minorHAnsi"/>
          <w:lang w:val="fr-FR"/>
        </w:rPr>
        <w:t>’</w:t>
      </w:r>
      <w:r w:rsidRPr="00C73365">
        <w:rPr>
          <w:rFonts w:asciiTheme="minorHAnsi" w:hAnsiTheme="minorHAnsi" w:cstheme="minorHAnsi"/>
          <w:lang w:val="fr-FR"/>
        </w:rPr>
        <w:t>efficacité énergétique, par-delà la sensibilisation des collaborateurs aux économies d</w:t>
      </w:r>
      <w:r w:rsidR="004572A0" w:rsidRPr="00C73365">
        <w:rPr>
          <w:rFonts w:asciiTheme="minorHAnsi" w:hAnsiTheme="minorHAnsi" w:cstheme="minorHAnsi"/>
          <w:lang w:val="fr-FR"/>
        </w:rPr>
        <w:t>’</w:t>
      </w:r>
      <w:r w:rsidRPr="00C73365">
        <w:rPr>
          <w:rFonts w:asciiTheme="minorHAnsi" w:hAnsiTheme="minorHAnsi" w:cstheme="minorHAnsi"/>
          <w:lang w:val="fr-FR"/>
        </w:rPr>
        <w:t>énergie.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Nous veillons tout particulièrement à éteindre systématique tout éclairage inutile.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nature des activités de la Société n’entraîne donc pas de risque significatif pour l</w:t>
      </w:r>
      <w:r w:rsidR="004572A0" w:rsidRPr="00C73365">
        <w:rPr>
          <w:rFonts w:asciiTheme="minorHAnsi" w:hAnsiTheme="minorHAnsi" w:cstheme="minorHAnsi"/>
          <w:lang w:val="fr-FR"/>
        </w:rPr>
        <w:t>’</w:t>
      </w:r>
      <w:r w:rsidRPr="00C73365">
        <w:rPr>
          <w:rFonts w:asciiTheme="minorHAnsi" w:hAnsiTheme="minorHAnsi" w:cstheme="minorHAnsi"/>
          <w:lang w:val="fr-FR"/>
        </w:rPr>
        <w:t>environnement ou l’utilisation durable des ressources.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consommations d’eau et d’électricité pour le site de Montpellier dépendent du CNRS et ne sont pas connues par la Société à ce jour.</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méthodologie de calcul a été changée grâce à l’obtention de données plus fiables</w:t>
      </w:r>
    </w:p>
    <w:p w:rsidR="00136669" w:rsidRPr="00C73365" w:rsidRDefault="00136669" w:rsidP="00136669">
      <w:pPr>
        <w:pStyle w:val="ConmainL3"/>
        <w:numPr>
          <w:ilvl w:val="3"/>
          <w:numId w:val="9"/>
        </w:numPr>
        <w:spacing w:after="120"/>
        <w:rPr>
          <w:rFonts w:asciiTheme="minorHAnsi" w:hAnsiTheme="minorHAnsi" w:cstheme="minorHAnsi"/>
          <w:szCs w:val="20"/>
          <w:lang w:val="fr-FR"/>
        </w:rPr>
      </w:pPr>
      <w:r w:rsidRPr="00C73365">
        <w:rPr>
          <w:rFonts w:asciiTheme="minorHAnsi" w:hAnsiTheme="minorHAnsi" w:cstheme="minorHAnsi"/>
          <w:szCs w:val="20"/>
          <w:lang w:val="fr-FR"/>
        </w:rPr>
        <w:t>Contribution à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adaptation et à la lutte contre le réchauffement climatique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estime qu</w:t>
      </w:r>
      <w:r w:rsidR="004572A0" w:rsidRPr="00C73365">
        <w:rPr>
          <w:rFonts w:asciiTheme="minorHAnsi" w:hAnsiTheme="minorHAnsi" w:cstheme="minorHAnsi"/>
          <w:lang w:val="fr-FR"/>
        </w:rPr>
        <w:t>’</w:t>
      </w:r>
      <w:r w:rsidRPr="00C73365">
        <w:rPr>
          <w:rFonts w:asciiTheme="minorHAnsi" w:hAnsiTheme="minorHAnsi" w:cstheme="minorHAnsi"/>
          <w:lang w:val="fr-FR"/>
        </w:rPr>
        <w:t>un réchauffement climatique n’aurait pas d’impact significatif sur ses activités.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rejets de gaz à effet de serre de la Société proviennent essentiellement de ses consommations d’énergie et des transports de ses collaborateurs.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De ce fait, les rejets en C02 de la Société ne sont pas significatifs et donc actuellement non quantifiées.</w:t>
      </w:r>
    </w:p>
    <w:p w:rsidR="00136669" w:rsidRPr="00C73365" w:rsidRDefault="00136669" w:rsidP="00136669">
      <w:pPr>
        <w:pStyle w:val="ListParagraph"/>
        <w:numPr>
          <w:ilvl w:val="3"/>
          <w:numId w:val="9"/>
        </w:numPr>
        <w:rPr>
          <w:rFonts w:asciiTheme="minorHAnsi" w:hAnsiTheme="minorHAnsi" w:cstheme="minorHAnsi"/>
          <w:szCs w:val="20"/>
          <w:lang w:val="fr-FR"/>
        </w:rPr>
      </w:pPr>
      <w:r w:rsidRPr="00C73365">
        <w:rPr>
          <w:rFonts w:asciiTheme="minorHAnsi" w:hAnsiTheme="minorHAnsi" w:cstheme="minorHAnsi"/>
          <w:szCs w:val="20"/>
          <w:lang w:val="fr-FR"/>
        </w:rPr>
        <w:t>Lutte contre le gaspillage alimentaire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ne dispose pas d’installation de repas en propre au sein de ses locaux. Elle propose à ses collaborateurs de se rendre à la cantine de la FNSEA pour son site de Paris et à celle du CNRS pour son site de Montpellier. Au vu des effectifs et de la configuration géographique de la Société, la politique de la Société ne peut donc entrainer un impact significatif sur la lutte contre le gaspillage alimentaire.</w:t>
      </w:r>
    </w:p>
    <w:p w:rsidR="00136669" w:rsidRPr="00C73365" w:rsidRDefault="00136669" w:rsidP="00136669">
      <w:pPr>
        <w:pStyle w:val="ConmainL3"/>
        <w:numPr>
          <w:ilvl w:val="3"/>
          <w:numId w:val="9"/>
        </w:numPr>
        <w:spacing w:after="120"/>
        <w:rPr>
          <w:rFonts w:asciiTheme="minorHAnsi" w:hAnsiTheme="minorHAnsi" w:cstheme="minorHAnsi"/>
          <w:szCs w:val="20"/>
          <w:lang w:val="fr-FR"/>
        </w:rPr>
      </w:pPr>
      <w:r w:rsidRPr="00C73365">
        <w:rPr>
          <w:rFonts w:asciiTheme="minorHAnsi" w:hAnsiTheme="minorHAnsi" w:cstheme="minorHAnsi"/>
          <w:szCs w:val="20"/>
          <w:lang w:val="fr-FR"/>
        </w:rPr>
        <w:t>Biodiversité</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Etant donné les moyens limités dont elle dispose, mais malgré l’intérêt qu</w:t>
      </w:r>
      <w:r w:rsidR="004572A0" w:rsidRPr="00C73365">
        <w:rPr>
          <w:rFonts w:asciiTheme="minorHAnsi" w:hAnsiTheme="minorHAnsi" w:cstheme="minorHAnsi"/>
          <w:lang w:val="fr-FR"/>
        </w:rPr>
        <w:t>’</w:t>
      </w:r>
      <w:r w:rsidRPr="00C73365">
        <w:rPr>
          <w:rFonts w:asciiTheme="minorHAnsi" w:hAnsiTheme="minorHAnsi" w:cstheme="minorHAnsi"/>
          <w:lang w:val="fr-FR"/>
        </w:rPr>
        <w:t>elle y porte, la Société n’a engagé aucune action relative à la préservation de la biodiversité.</w:t>
      </w:r>
    </w:p>
    <w:tbl>
      <w:tblPr>
        <w:tblW w:w="5460" w:type="dxa"/>
        <w:tblCellMar>
          <w:left w:w="70" w:type="dxa"/>
          <w:right w:w="70" w:type="dxa"/>
        </w:tblCellMar>
        <w:tblLook w:val="04A0" w:firstRow="1" w:lastRow="0" w:firstColumn="1" w:lastColumn="0" w:noHBand="0" w:noVBand="1"/>
      </w:tblPr>
      <w:tblGrid>
        <w:gridCol w:w="2100"/>
        <w:gridCol w:w="1060"/>
        <w:gridCol w:w="1060"/>
        <w:gridCol w:w="1240"/>
      </w:tblGrid>
      <w:tr w:rsidR="00136669" w:rsidRPr="00C73365" w:rsidTr="009C5D68">
        <w:trPr>
          <w:trHeight w:hRule="exact" w:val="300"/>
        </w:trPr>
        <w:tc>
          <w:tcPr>
            <w:tcW w:w="2100" w:type="dxa"/>
            <w:tcBorders>
              <w:top w:val="single" w:sz="12" w:space="0" w:color="7030A0"/>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Tranche</w:t>
            </w:r>
          </w:p>
        </w:tc>
        <w:tc>
          <w:tcPr>
            <w:tcW w:w="1060" w:type="dxa"/>
            <w:vMerge w:val="restart"/>
            <w:tcBorders>
              <w:top w:val="single" w:sz="12" w:space="0" w:color="7030A0"/>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H</w:t>
            </w:r>
          </w:p>
        </w:tc>
        <w:tc>
          <w:tcPr>
            <w:tcW w:w="1060" w:type="dxa"/>
            <w:vMerge w:val="restart"/>
            <w:tcBorders>
              <w:top w:val="single" w:sz="12" w:space="0" w:color="7030A0"/>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w:t>
            </w:r>
          </w:p>
        </w:tc>
        <w:tc>
          <w:tcPr>
            <w:tcW w:w="1240" w:type="dxa"/>
            <w:vMerge w:val="restart"/>
            <w:tcBorders>
              <w:top w:val="single" w:sz="12" w:space="0" w:color="7030A0"/>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TOTAL</w:t>
            </w:r>
          </w:p>
        </w:tc>
      </w:tr>
      <w:tr w:rsidR="00136669" w:rsidRPr="00C73365" w:rsidTr="009C5D68">
        <w:trPr>
          <w:trHeight w:val="300"/>
        </w:trPr>
        <w:tc>
          <w:tcPr>
            <w:tcW w:w="210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âge</w:t>
            </w:r>
          </w:p>
        </w:tc>
        <w:tc>
          <w:tcPr>
            <w:tcW w:w="1060" w:type="dxa"/>
            <w:vMerge/>
            <w:tcBorders>
              <w:top w:val="single" w:sz="12" w:space="0" w:color="7030A0"/>
              <w:left w:val="nil"/>
              <w:bottom w:val="single" w:sz="8" w:space="0" w:color="7030A0"/>
              <w:right w:val="nil"/>
            </w:tcBorders>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c>
          <w:tcPr>
            <w:tcW w:w="1060" w:type="dxa"/>
            <w:vMerge/>
            <w:tcBorders>
              <w:top w:val="single" w:sz="12" w:space="0" w:color="7030A0"/>
              <w:left w:val="nil"/>
              <w:bottom w:val="single" w:sz="8" w:space="0" w:color="7030A0"/>
              <w:right w:val="nil"/>
            </w:tcBorders>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c>
          <w:tcPr>
            <w:tcW w:w="1240" w:type="dxa"/>
            <w:vMerge/>
            <w:tcBorders>
              <w:top w:val="single" w:sz="12" w:space="0" w:color="7030A0"/>
              <w:left w:val="nil"/>
              <w:bottom w:val="single" w:sz="8" w:space="0" w:color="7030A0"/>
              <w:right w:val="nil"/>
            </w:tcBorders>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r>
      <w:tr w:rsidR="00136669" w:rsidRPr="00C73365" w:rsidTr="009C5D68">
        <w:trPr>
          <w:trHeight w:hRule="exac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&lt; 21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 </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 </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 </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21 à 25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 </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 </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 </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26 à 30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31 à 35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36 à 40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41 à 45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46 à 50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51 à 55 ans</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06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c>
          <w:tcPr>
            <w:tcW w:w="12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r>
      <w:tr w:rsidR="00136669" w:rsidRPr="00C73365" w:rsidTr="009C5D68">
        <w:trPr>
          <w:trHeight w:hRule="exact" w:val="300"/>
        </w:trPr>
        <w:tc>
          <w:tcPr>
            <w:tcW w:w="210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56 ans et plus</w:t>
            </w:r>
          </w:p>
        </w:tc>
        <w:tc>
          <w:tcPr>
            <w:tcW w:w="106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c>
          <w:tcPr>
            <w:tcW w:w="106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24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w:t>
            </w:r>
          </w:p>
        </w:tc>
      </w:tr>
      <w:tr w:rsidR="00136669" w:rsidRPr="00C73365" w:rsidTr="009C5D68">
        <w:trPr>
          <w:trHeight w:hRule="exact" w:val="300"/>
        </w:trPr>
        <w:tc>
          <w:tcPr>
            <w:tcW w:w="210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Total</w:t>
            </w:r>
          </w:p>
        </w:tc>
        <w:tc>
          <w:tcPr>
            <w:tcW w:w="106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w:t>
            </w:r>
          </w:p>
        </w:tc>
        <w:tc>
          <w:tcPr>
            <w:tcW w:w="106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14</w:t>
            </w:r>
          </w:p>
        </w:tc>
        <w:tc>
          <w:tcPr>
            <w:tcW w:w="124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24</w:t>
            </w:r>
          </w:p>
        </w:tc>
      </w:tr>
    </w:tbl>
    <w:p w:rsidR="00136669" w:rsidRPr="00C73365" w:rsidRDefault="00136669" w:rsidP="00136669">
      <w:pPr>
        <w:rPr>
          <w:rFonts w:asciiTheme="minorHAnsi" w:hAnsiTheme="minorHAnsi" w:cstheme="minorHAnsi"/>
          <w:bCs/>
          <w:szCs w:val="22"/>
          <w:lang w:val="fr-FR"/>
        </w:rPr>
      </w:pP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moyenne d</w:t>
      </w:r>
      <w:r w:rsidR="004572A0" w:rsidRPr="00C73365">
        <w:rPr>
          <w:rFonts w:asciiTheme="minorHAnsi" w:hAnsiTheme="minorHAnsi" w:cstheme="minorHAnsi"/>
          <w:lang w:val="fr-FR"/>
        </w:rPr>
        <w:t>’</w:t>
      </w:r>
      <w:r w:rsidRPr="00C73365">
        <w:rPr>
          <w:rFonts w:asciiTheme="minorHAnsi" w:hAnsiTheme="minorHAnsi" w:cstheme="minorHAnsi"/>
          <w:lang w:val="fr-FR"/>
        </w:rPr>
        <w:t>âge est de 43, 6 ans en décembre 2017, elle était de 43,5 ans au 31 décembre 2016.</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Enfin, l</w:t>
      </w:r>
      <w:r w:rsidR="004572A0" w:rsidRPr="00C73365">
        <w:rPr>
          <w:rFonts w:asciiTheme="minorHAnsi" w:hAnsiTheme="minorHAnsi" w:cstheme="minorHAnsi"/>
          <w:lang w:val="fr-FR"/>
        </w:rPr>
        <w:t>’</w:t>
      </w:r>
      <w:r w:rsidRPr="00C73365">
        <w:rPr>
          <w:rFonts w:asciiTheme="minorHAnsi" w:hAnsiTheme="minorHAnsi" w:cstheme="minorHAnsi"/>
          <w:lang w:val="fr-FR"/>
        </w:rPr>
        <w:t>âge minimum est de 28 ans et l</w:t>
      </w:r>
      <w:r w:rsidR="004572A0" w:rsidRPr="00C73365">
        <w:rPr>
          <w:rFonts w:asciiTheme="minorHAnsi" w:hAnsiTheme="minorHAnsi" w:cstheme="minorHAnsi"/>
          <w:lang w:val="fr-FR"/>
        </w:rPr>
        <w:t>’</w:t>
      </w:r>
      <w:r w:rsidRPr="00C73365">
        <w:rPr>
          <w:rFonts w:asciiTheme="minorHAnsi" w:hAnsiTheme="minorHAnsi" w:cstheme="minorHAnsi"/>
          <w:lang w:val="fr-FR"/>
        </w:rPr>
        <w:t>âge maximum de 73 ans au 31 décembre 2017</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Effectif par site</w:t>
      </w:r>
    </w:p>
    <w:tbl>
      <w:tblPr>
        <w:tblW w:w="3240" w:type="dxa"/>
        <w:tblCellMar>
          <w:left w:w="70" w:type="dxa"/>
          <w:right w:w="70" w:type="dxa"/>
        </w:tblCellMar>
        <w:tblLook w:val="04A0" w:firstRow="1" w:lastRow="0" w:firstColumn="1" w:lastColumn="0" w:noHBand="0" w:noVBand="1"/>
      </w:tblPr>
      <w:tblGrid>
        <w:gridCol w:w="2100"/>
        <w:gridCol w:w="1140"/>
      </w:tblGrid>
      <w:tr w:rsidR="00136669" w:rsidRPr="00C73365" w:rsidTr="009C5D68">
        <w:trPr>
          <w:trHeight w:val="300"/>
        </w:trPr>
        <w:tc>
          <w:tcPr>
            <w:tcW w:w="2100" w:type="dxa"/>
            <w:tcBorders>
              <w:top w:val="single" w:sz="12" w:space="0" w:color="7030A0"/>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Paris</w:t>
            </w:r>
          </w:p>
        </w:tc>
        <w:tc>
          <w:tcPr>
            <w:tcW w:w="1140" w:type="dxa"/>
            <w:tcBorders>
              <w:top w:val="single" w:sz="12" w:space="0" w:color="7030A0"/>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13</w:t>
            </w:r>
          </w:p>
        </w:tc>
      </w:tr>
      <w:tr w:rsidR="00136669" w:rsidRPr="00C73365" w:rsidTr="009C5D68">
        <w:trPr>
          <w:trHeight w:val="288"/>
        </w:trPr>
        <w:tc>
          <w:tcPr>
            <w:tcW w:w="2100"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Montpellier</w:t>
            </w:r>
          </w:p>
        </w:tc>
        <w:tc>
          <w:tcPr>
            <w:tcW w:w="1140"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w:t>
            </w:r>
          </w:p>
        </w:tc>
      </w:tr>
      <w:tr w:rsidR="00136669" w:rsidRPr="00C73365" w:rsidTr="009C5D68">
        <w:trPr>
          <w:trHeight w:val="300"/>
        </w:trPr>
        <w:tc>
          <w:tcPr>
            <w:tcW w:w="210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w:t>
            </w:r>
          </w:p>
        </w:tc>
        <w:tc>
          <w:tcPr>
            <w:tcW w:w="1140"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24</w:t>
            </w:r>
          </w:p>
        </w:tc>
      </w:tr>
    </w:tbl>
    <w:p w:rsidR="00136669" w:rsidRPr="00C73365" w:rsidRDefault="00136669" w:rsidP="00136669">
      <w:pPr>
        <w:rPr>
          <w:rFonts w:asciiTheme="minorHAnsi" w:hAnsiTheme="minorHAnsi" w:cstheme="minorHAnsi"/>
          <w:bCs/>
          <w:szCs w:val="22"/>
          <w:lang w:val="fr-FR"/>
        </w:rPr>
      </w:pP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 xml:space="preserve">Evolution des effectifs </w:t>
      </w:r>
    </w:p>
    <w:p w:rsidR="00136669" w:rsidRPr="00C73365" w:rsidRDefault="00136669" w:rsidP="00136669">
      <w:pPr>
        <w:rPr>
          <w:rFonts w:asciiTheme="minorHAnsi" w:hAnsiTheme="minorHAnsi" w:cstheme="minorHAnsi"/>
          <w:bCs/>
          <w:szCs w:val="22"/>
          <w:lang w:val="fr-FR"/>
        </w:rPr>
      </w:pPr>
    </w:p>
    <w:tbl>
      <w:tblPr>
        <w:tblW w:w="4660" w:type="dxa"/>
        <w:tblCellMar>
          <w:left w:w="70" w:type="dxa"/>
          <w:right w:w="70" w:type="dxa"/>
        </w:tblCellMar>
        <w:tblLook w:val="04A0" w:firstRow="1" w:lastRow="0" w:firstColumn="1" w:lastColumn="0" w:noHBand="0" w:noVBand="1"/>
      </w:tblPr>
      <w:tblGrid>
        <w:gridCol w:w="1638"/>
        <w:gridCol w:w="1511"/>
        <w:gridCol w:w="1511"/>
      </w:tblGrid>
      <w:tr w:rsidR="00136669" w:rsidRPr="00C73365" w:rsidTr="00BF5902">
        <w:trPr>
          <w:trHeight w:val="315"/>
        </w:trPr>
        <w:tc>
          <w:tcPr>
            <w:tcW w:w="1638" w:type="dxa"/>
            <w:tcBorders>
              <w:top w:val="single" w:sz="12" w:space="0" w:color="7030A0"/>
              <w:left w:val="nil"/>
              <w:bottom w:val="nil"/>
              <w:right w:val="nil"/>
            </w:tcBorders>
            <w:shd w:val="clear" w:color="auto" w:fill="auto"/>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11" w:type="dxa"/>
            <w:vMerge w:val="restart"/>
            <w:tcBorders>
              <w:top w:val="single" w:sz="12" w:space="0" w:color="7030A0"/>
              <w:left w:val="nil"/>
              <w:bottom w:val="single" w:sz="8" w:space="0" w:color="7030A0"/>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31/12/2016</w:t>
            </w:r>
          </w:p>
        </w:tc>
        <w:tc>
          <w:tcPr>
            <w:tcW w:w="1511" w:type="dxa"/>
            <w:vMerge w:val="restart"/>
            <w:tcBorders>
              <w:top w:val="single" w:sz="12" w:space="0" w:color="7030A0"/>
              <w:left w:val="nil"/>
              <w:bottom w:val="single" w:sz="8" w:space="0" w:color="7030A0"/>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31/12/2017</w:t>
            </w:r>
          </w:p>
        </w:tc>
      </w:tr>
      <w:tr w:rsidR="00136669" w:rsidRPr="00C73365" w:rsidTr="00BF5902">
        <w:trPr>
          <w:trHeight w:val="300"/>
        </w:trPr>
        <w:tc>
          <w:tcPr>
            <w:tcW w:w="1638" w:type="dxa"/>
            <w:tcBorders>
              <w:top w:val="nil"/>
              <w:left w:val="nil"/>
              <w:bottom w:val="single" w:sz="8" w:space="0" w:color="7030A0"/>
              <w:right w:val="nil"/>
            </w:tcBorders>
            <w:shd w:val="clear" w:color="auto" w:fill="auto"/>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11" w:type="dxa"/>
            <w:vMerge/>
            <w:tcBorders>
              <w:top w:val="single" w:sz="12" w:space="0" w:color="7030A0"/>
              <w:left w:val="nil"/>
              <w:bottom w:val="single" w:sz="8" w:space="0" w:color="7030A0"/>
              <w:right w:val="nil"/>
            </w:tcBorders>
            <w:shd w:val="clear" w:color="auto" w:fill="auto"/>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c>
          <w:tcPr>
            <w:tcW w:w="1511" w:type="dxa"/>
            <w:vMerge/>
            <w:tcBorders>
              <w:top w:val="single" w:sz="12" w:space="0" w:color="7030A0"/>
              <w:left w:val="nil"/>
              <w:bottom w:val="single" w:sz="8" w:space="0" w:color="7030A0"/>
              <w:right w:val="nil"/>
            </w:tcBorders>
            <w:shd w:val="clear" w:color="auto" w:fill="auto"/>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r>
      <w:tr w:rsidR="00136669" w:rsidRPr="00C73365" w:rsidTr="00BF5902">
        <w:trPr>
          <w:trHeight w:val="288"/>
        </w:trPr>
        <w:tc>
          <w:tcPr>
            <w:tcW w:w="1638" w:type="dxa"/>
            <w:tcBorders>
              <w:top w:val="nil"/>
              <w:left w:val="nil"/>
              <w:bottom w:val="nil"/>
              <w:right w:val="nil"/>
            </w:tcBorders>
            <w:shd w:val="clear" w:color="auto" w:fill="auto"/>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Cadres</w:t>
            </w:r>
          </w:p>
        </w:tc>
        <w:tc>
          <w:tcPr>
            <w:tcW w:w="1511" w:type="dxa"/>
            <w:tcBorders>
              <w:top w:val="nil"/>
              <w:left w:val="nil"/>
              <w:bottom w:val="nil"/>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w:t>
            </w:r>
          </w:p>
        </w:tc>
        <w:tc>
          <w:tcPr>
            <w:tcW w:w="1511" w:type="dxa"/>
            <w:tcBorders>
              <w:top w:val="nil"/>
              <w:left w:val="nil"/>
              <w:bottom w:val="nil"/>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w:t>
            </w:r>
            <w:r w:rsidR="00BF5902" w:rsidRPr="00C73365">
              <w:rPr>
                <w:rFonts w:asciiTheme="minorHAnsi" w:hAnsiTheme="minorHAnsi" w:cstheme="minorHAnsi"/>
                <w:color w:val="000000"/>
                <w:szCs w:val="20"/>
                <w:lang w:val="fr-FR" w:eastAsia="fr-FR"/>
              </w:rPr>
              <w:t>1</w:t>
            </w:r>
          </w:p>
        </w:tc>
      </w:tr>
      <w:tr w:rsidR="00136669" w:rsidRPr="00C73365" w:rsidTr="00BF5902">
        <w:trPr>
          <w:trHeight w:val="288"/>
        </w:trPr>
        <w:tc>
          <w:tcPr>
            <w:tcW w:w="1638" w:type="dxa"/>
            <w:tcBorders>
              <w:top w:val="nil"/>
              <w:left w:val="nil"/>
              <w:bottom w:val="nil"/>
              <w:right w:val="nil"/>
            </w:tcBorders>
            <w:shd w:val="clear" w:color="auto" w:fill="auto"/>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 Cadres</w:t>
            </w:r>
          </w:p>
        </w:tc>
        <w:tc>
          <w:tcPr>
            <w:tcW w:w="1511" w:type="dxa"/>
            <w:tcBorders>
              <w:top w:val="nil"/>
              <w:left w:val="nil"/>
              <w:bottom w:val="nil"/>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w:t>
            </w:r>
          </w:p>
        </w:tc>
        <w:tc>
          <w:tcPr>
            <w:tcW w:w="1511" w:type="dxa"/>
            <w:tcBorders>
              <w:top w:val="nil"/>
              <w:left w:val="nil"/>
              <w:bottom w:val="nil"/>
              <w:right w:val="nil"/>
            </w:tcBorders>
            <w:shd w:val="clear" w:color="auto" w:fill="auto"/>
            <w:vAlign w:val="center"/>
            <w:hideMark/>
          </w:tcPr>
          <w:p w:rsidR="00136669" w:rsidRPr="00C73365" w:rsidRDefault="00BF5902"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w:t>
            </w:r>
          </w:p>
        </w:tc>
      </w:tr>
      <w:tr w:rsidR="00136669" w:rsidRPr="00C73365" w:rsidTr="00BF5902">
        <w:trPr>
          <w:trHeight w:val="300"/>
        </w:trPr>
        <w:tc>
          <w:tcPr>
            <w:tcW w:w="1638" w:type="dxa"/>
            <w:tcBorders>
              <w:top w:val="nil"/>
              <w:left w:val="nil"/>
              <w:bottom w:val="single" w:sz="8" w:space="0" w:color="7030A0"/>
              <w:right w:val="nil"/>
            </w:tcBorders>
            <w:shd w:val="clear" w:color="auto" w:fill="auto"/>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Mandataire Social</w:t>
            </w:r>
          </w:p>
        </w:tc>
        <w:tc>
          <w:tcPr>
            <w:tcW w:w="1511" w:type="dxa"/>
            <w:tcBorders>
              <w:top w:val="nil"/>
              <w:left w:val="nil"/>
              <w:bottom w:val="single" w:sz="8" w:space="0" w:color="7030A0"/>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p>
        </w:tc>
        <w:tc>
          <w:tcPr>
            <w:tcW w:w="1511" w:type="dxa"/>
            <w:tcBorders>
              <w:top w:val="nil"/>
              <w:left w:val="nil"/>
              <w:bottom w:val="single" w:sz="8" w:space="0" w:color="7030A0"/>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p>
        </w:tc>
      </w:tr>
      <w:tr w:rsidR="00136669" w:rsidRPr="00C73365" w:rsidTr="00BF5902">
        <w:trPr>
          <w:trHeight w:val="300"/>
        </w:trPr>
        <w:tc>
          <w:tcPr>
            <w:tcW w:w="1638" w:type="dxa"/>
            <w:tcBorders>
              <w:top w:val="nil"/>
              <w:left w:val="nil"/>
              <w:bottom w:val="single" w:sz="8" w:space="0" w:color="7030A0"/>
              <w:right w:val="nil"/>
            </w:tcBorders>
            <w:shd w:val="clear" w:color="auto" w:fill="auto"/>
            <w:vAlign w:val="center"/>
            <w:hideMark/>
          </w:tcPr>
          <w:p w:rsidR="00136669" w:rsidRPr="00C73365" w:rsidRDefault="00136669" w:rsidP="009C5D68">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w:t>
            </w:r>
          </w:p>
        </w:tc>
        <w:tc>
          <w:tcPr>
            <w:tcW w:w="1511" w:type="dxa"/>
            <w:tcBorders>
              <w:top w:val="nil"/>
              <w:left w:val="nil"/>
              <w:bottom w:val="single" w:sz="8" w:space="0" w:color="7030A0"/>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24</w:t>
            </w:r>
          </w:p>
        </w:tc>
        <w:tc>
          <w:tcPr>
            <w:tcW w:w="1511" w:type="dxa"/>
            <w:tcBorders>
              <w:top w:val="nil"/>
              <w:left w:val="nil"/>
              <w:bottom w:val="single" w:sz="8" w:space="0" w:color="7030A0"/>
              <w:right w:val="nil"/>
            </w:tcBorders>
            <w:shd w:val="clear" w:color="auto" w:fill="auto"/>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24</w:t>
            </w:r>
          </w:p>
        </w:tc>
      </w:tr>
    </w:tbl>
    <w:p w:rsidR="00136669" w:rsidRPr="00C73365" w:rsidRDefault="00136669" w:rsidP="00136669">
      <w:pPr>
        <w:rPr>
          <w:rFonts w:asciiTheme="minorHAnsi" w:hAnsiTheme="minorHAnsi" w:cstheme="minorHAnsi"/>
          <w:bCs/>
          <w:szCs w:val="22"/>
          <w:lang w:val="fr-FR"/>
        </w:rPr>
      </w:pP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 xml:space="preserve">Répartition par sexe </w:t>
      </w:r>
    </w:p>
    <w:p w:rsidR="00136669" w:rsidRPr="00C73365" w:rsidRDefault="00136669" w:rsidP="00136669">
      <w:pPr>
        <w:rPr>
          <w:rFonts w:asciiTheme="minorHAnsi" w:hAnsiTheme="minorHAnsi" w:cstheme="minorHAnsi"/>
          <w:bCs/>
          <w:szCs w:val="22"/>
          <w:lang w:val="fr-FR"/>
        </w:rPr>
      </w:pPr>
    </w:p>
    <w:tbl>
      <w:tblPr>
        <w:tblW w:w="4660" w:type="dxa"/>
        <w:tblCellMar>
          <w:left w:w="70" w:type="dxa"/>
          <w:right w:w="70" w:type="dxa"/>
        </w:tblCellMar>
        <w:tblLook w:val="04A0" w:firstRow="1" w:lastRow="0" w:firstColumn="1" w:lastColumn="0" w:noHBand="0" w:noVBand="1"/>
      </w:tblPr>
      <w:tblGrid>
        <w:gridCol w:w="1638"/>
        <w:gridCol w:w="1511"/>
        <w:gridCol w:w="1511"/>
      </w:tblGrid>
      <w:tr w:rsidR="00136669" w:rsidRPr="00C73365" w:rsidTr="009C5D68">
        <w:trPr>
          <w:trHeight w:val="315"/>
        </w:trPr>
        <w:tc>
          <w:tcPr>
            <w:tcW w:w="1638" w:type="dxa"/>
            <w:tcBorders>
              <w:top w:val="single" w:sz="12" w:space="0" w:color="7030A0"/>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p>
        </w:tc>
        <w:tc>
          <w:tcPr>
            <w:tcW w:w="1511" w:type="dxa"/>
            <w:vMerge w:val="restart"/>
            <w:tcBorders>
              <w:top w:val="single" w:sz="12" w:space="0" w:color="7030A0"/>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31/12/2016</w:t>
            </w:r>
          </w:p>
        </w:tc>
        <w:tc>
          <w:tcPr>
            <w:tcW w:w="1511" w:type="dxa"/>
            <w:vMerge w:val="restart"/>
            <w:tcBorders>
              <w:top w:val="single" w:sz="12" w:space="0" w:color="7030A0"/>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31/12/2017</w:t>
            </w:r>
          </w:p>
        </w:tc>
      </w:tr>
      <w:tr w:rsidR="00136669" w:rsidRPr="00C73365" w:rsidTr="009C5D68">
        <w:trPr>
          <w:trHeight w:val="300"/>
        </w:trPr>
        <w:tc>
          <w:tcPr>
            <w:tcW w:w="1638"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11" w:type="dxa"/>
            <w:vMerge/>
            <w:tcBorders>
              <w:top w:val="single" w:sz="12" w:space="0" w:color="7030A0"/>
              <w:left w:val="nil"/>
              <w:bottom w:val="single" w:sz="8" w:space="0" w:color="7030A0"/>
              <w:right w:val="nil"/>
            </w:tcBorders>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c>
          <w:tcPr>
            <w:tcW w:w="1511" w:type="dxa"/>
            <w:vMerge/>
            <w:tcBorders>
              <w:top w:val="single" w:sz="12" w:space="0" w:color="7030A0"/>
              <w:left w:val="nil"/>
              <w:bottom w:val="single" w:sz="8" w:space="0" w:color="7030A0"/>
              <w:right w:val="nil"/>
            </w:tcBorders>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r>
      <w:tr w:rsidR="00136669" w:rsidRPr="00C73365" w:rsidTr="009C5D68">
        <w:trPr>
          <w:trHeight w:val="288"/>
        </w:trPr>
        <w:tc>
          <w:tcPr>
            <w:tcW w:w="1638"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Hommes</w:t>
            </w:r>
          </w:p>
        </w:tc>
        <w:tc>
          <w:tcPr>
            <w:tcW w:w="1511"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w:t>
            </w:r>
          </w:p>
        </w:tc>
        <w:tc>
          <w:tcPr>
            <w:tcW w:w="1511" w:type="dxa"/>
            <w:tcBorders>
              <w:top w:val="nil"/>
              <w:left w:val="nil"/>
              <w:bottom w:val="nil"/>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w:t>
            </w:r>
          </w:p>
        </w:tc>
      </w:tr>
      <w:tr w:rsidR="00136669" w:rsidRPr="00C73365" w:rsidTr="009C5D68">
        <w:trPr>
          <w:trHeight w:val="300"/>
        </w:trPr>
        <w:tc>
          <w:tcPr>
            <w:tcW w:w="1638"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Femmes</w:t>
            </w:r>
          </w:p>
        </w:tc>
        <w:tc>
          <w:tcPr>
            <w:tcW w:w="1511"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14</w:t>
            </w:r>
          </w:p>
        </w:tc>
        <w:tc>
          <w:tcPr>
            <w:tcW w:w="1511"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14</w:t>
            </w:r>
          </w:p>
        </w:tc>
      </w:tr>
      <w:tr w:rsidR="00136669" w:rsidRPr="00C73365" w:rsidTr="009C5D68">
        <w:trPr>
          <w:trHeight w:val="300"/>
        </w:trPr>
        <w:tc>
          <w:tcPr>
            <w:tcW w:w="1638"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w:t>
            </w:r>
          </w:p>
        </w:tc>
        <w:tc>
          <w:tcPr>
            <w:tcW w:w="1511"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24</w:t>
            </w:r>
          </w:p>
        </w:tc>
        <w:tc>
          <w:tcPr>
            <w:tcW w:w="1511"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24</w:t>
            </w:r>
          </w:p>
        </w:tc>
      </w:tr>
    </w:tbl>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Au 31 décembre 2017, 58,3 % des collaborateurs sont des femmes et 41.7 % sont des hommes, stable par rapport au 31 décembre 2016.</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 xml:space="preserve">Embauches, départs et licenciements :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Entre le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janvier et le 31 décembre 2017 :</w:t>
      </w:r>
    </w:p>
    <w:p w:rsidR="00136669" w:rsidRPr="00C73365" w:rsidRDefault="00136669" w:rsidP="00434C49">
      <w:pPr>
        <w:pStyle w:val="ListParagraph"/>
        <w:widowControl w:val="0"/>
        <w:numPr>
          <w:ilvl w:val="0"/>
          <w:numId w:val="86"/>
        </w:numPr>
        <w:rPr>
          <w:rFonts w:asciiTheme="minorHAnsi" w:hAnsiTheme="minorHAnsi" w:cstheme="minorHAnsi"/>
          <w:bCs/>
          <w:szCs w:val="22"/>
          <w:lang w:val="fr-FR"/>
        </w:rPr>
      </w:pPr>
      <w:r w:rsidRPr="00C73365">
        <w:rPr>
          <w:rFonts w:asciiTheme="minorHAnsi" w:hAnsiTheme="minorHAnsi" w:cstheme="minorHAnsi"/>
          <w:bCs/>
          <w:szCs w:val="22"/>
          <w:lang w:val="fr-FR"/>
        </w:rPr>
        <w:t>1 salarié CDI a quitté l’entreprise (démission), 1 salarié CDI a été embauché en Janvier 2017</w:t>
      </w:r>
    </w:p>
    <w:p w:rsidR="00136669" w:rsidRPr="00C73365" w:rsidRDefault="00136669" w:rsidP="00434C49">
      <w:pPr>
        <w:pStyle w:val="ListParagraph"/>
        <w:widowControl w:val="0"/>
        <w:numPr>
          <w:ilvl w:val="0"/>
          <w:numId w:val="86"/>
        </w:numPr>
        <w:rPr>
          <w:rFonts w:asciiTheme="minorHAnsi" w:hAnsiTheme="minorHAnsi" w:cstheme="minorHAnsi"/>
          <w:bCs/>
          <w:szCs w:val="22"/>
          <w:lang w:val="fr-FR"/>
        </w:rPr>
      </w:pPr>
      <w:r w:rsidRPr="00C73365">
        <w:rPr>
          <w:rFonts w:asciiTheme="minorHAnsi" w:hAnsiTheme="minorHAnsi" w:cstheme="minorHAnsi"/>
          <w:bCs/>
          <w:szCs w:val="22"/>
          <w:lang w:val="fr-FR"/>
        </w:rPr>
        <w:t>1 salariée dont le CDD s’achevait en janvier, a été réembauchée en CDI en mai</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Organisation du travail</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L’organisation du temps de travail est régie par un accord signé en 2016. Tous les salariés sont employés sous contrat de travail à durée Indéterminée, à temps plein, à l</w:t>
      </w:r>
      <w:r w:rsidR="004572A0" w:rsidRPr="00C73365">
        <w:rPr>
          <w:rFonts w:asciiTheme="minorHAnsi" w:hAnsiTheme="minorHAnsi" w:cstheme="minorHAnsi"/>
          <w:lang w:val="fr-FR"/>
        </w:rPr>
        <w:t>’</w:t>
      </w:r>
      <w:r w:rsidRPr="00C73365">
        <w:rPr>
          <w:rFonts w:asciiTheme="minorHAnsi" w:hAnsiTheme="minorHAnsi" w:cstheme="minorHAnsi"/>
          <w:lang w:val="fr-FR"/>
        </w:rPr>
        <w:t>exception d</w:t>
      </w:r>
      <w:r w:rsidR="004572A0" w:rsidRPr="00C73365">
        <w:rPr>
          <w:rFonts w:asciiTheme="minorHAnsi" w:hAnsiTheme="minorHAnsi" w:cstheme="minorHAnsi"/>
          <w:lang w:val="fr-FR"/>
        </w:rPr>
        <w:t>’</w:t>
      </w:r>
      <w:r w:rsidRPr="00C73365">
        <w:rPr>
          <w:rFonts w:asciiTheme="minorHAnsi" w:hAnsiTheme="minorHAnsi" w:cstheme="minorHAnsi"/>
          <w:lang w:val="fr-FR"/>
        </w:rPr>
        <w:t>un salarié, employé à temps partiel :</w:t>
      </w:r>
    </w:p>
    <w:p w:rsidR="00136669" w:rsidRPr="00C73365" w:rsidRDefault="002A30AE" w:rsidP="00434C49">
      <w:pPr>
        <w:pStyle w:val="ListParagraph"/>
        <w:numPr>
          <w:ilvl w:val="0"/>
          <w:numId w:val="86"/>
        </w:numPr>
        <w:rPr>
          <w:rFonts w:asciiTheme="minorHAnsi" w:hAnsiTheme="minorHAnsi" w:cstheme="minorHAnsi"/>
          <w:bCs/>
          <w:lang w:val="fr-FR"/>
        </w:rPr>
      </w:pPr>
      <w:r w:rsidRPr="00C73365">
        <w:rPr>
          <w:rFonts w:asciiTheme="minorHAnsi" w:hAnsiTheme="minorHAnsi" w:cstheme="minorHAnsi"/>
          <w:bCs/>
          <w:lang w:val="fr-FR"/>
        </w:rPr>
        <w:t>6</w:t>
      </w:r>
      <w:r w:rsidR="00136669" w:rsidRPr="00C73365">
        <w:rPr>
          <w:rFonts w:asciiTheme="minorHAnsi" w:hAnsiTheme="minorHAnsi" w:cstheme="minorHAnsi"/>
          <w:bCs/>
          <w:lang w:val="fr-FR"/>
        </w:rPr>
        <w:t xml:space="preserve"> salariés</w:t>
      </w:r>
      <w:r w:rsidRPr="00C73365">
        <w:rPr>
          <w:rFonts w:asciiTheme="minorHAnsi" w:hAnsiTheme="minorHAnsi" w:cstheme="minorHAnsi"/>
          <w:bCs/>
          <w:lang w:val="fr-FR"/>
        </w:rPr>
        <w:t xml:space="preserve"> </w:t>
      </w:r>
      <w:r w:rsidR="00136669" w:rsidRPr="00C73365">
        <w:rPr>
          <w:rFonts w:asciiTheme="minorHAnsi" w:hAnsiTheme="minorHAnsi" w:cstheme="minorHAnsi"/>
          <w:bCs/>
          <w:lang w:val="fr-FR"/>
        </w:rPr>
        <w:t>ont un statut de cadre dirigeant</w:t>
      </w:r>
    </w:p>
    <w:p w:rsidR="00136669" w:rsidRPr="00C73365" w:rsidRDefault="00136669" w:rsidP="00434C49">
      <w:pPr>
        <w:pStyle w:val="ListParagraph"/>
        <w:numPr>
          <w:ilvl w:val="0"/>
          <w:numId w:val="86"/>
        </w:numPr>
        <w:rPr>
          <w:rFonts w:asciiTheme="minorHAnsi" w:hAnsiTheme="minorHAnsi" w:cstheme="minorHAnsi"/>
          <w:bCs/>
          <w:lang w:val="fr-FR"/>
        </w:rPr>
      </w:pPr>
      <w:r w:rsidRPr="00C73365">
        <w:rPr>
          <w:rFonts w:asciiTheme="minorHAnsi" w:hAnsiTheme="minorHAnsi" w:cstheme="minorHAnsi"/>
          <w:bCs/>
          <w:lang w:val="fr-FR"/>
        </w:rPr>
        <w:t>15 salariés ont un statut cadre travaillent sous le régime du forfait jours</w:t>
      </w:r>
    </w:p>
    <w:p w:rsidR="00136669" w:rsidRPr="00C73365" w:rsidRDefault="00136669" w:rsidP="00434C49">
      <w:pPr>
        <w:pStyle w:val="ListParagraph"/>
        <w:numPr>
          <w:ilvl w:val="0"/>
          <w:numId w:val="86"/>
        </w:numPr>
        <w:rPr>
          <w:rFonts w:asciiTheme="minorHAnsi" w:hAnsiTheme="minorHAnsi" w:cstheme="minorHAnsi"/>
          <w:bCs/>
          <w:lang w:val="fr-FR"/>
        </w:rPr>
      </w:pPr>
      <w:r w:rsidRPr="00C73365">
        <w:rPr>
          <w:rFonts w:asciiTheme="minorHAnsi" w:hAnsiTheme="minorHAnsi" w:cstheme="minorHAnsi"/>
          <w:bCs/>
          <w:lang w:val="fr-FR"/>
        </w:rPr>
        <w:t>1 salariée travaille 35 heures par semaine</w:t>
      </w:r>
    </w:p>
    <w:p w:rsidR="00136669" w:rsidRPr="00C73365" w:rsidRDefault="00136669" w:rsidP="00434C49">
      <w:pPr>
        <w:pStyle w:val="ListParagraph"/>
        <w:numPr>
          <w:ilvl w:val="0"/>
          <w:numId w:val="86"/>
        </w:numPr>
        <w:rPr>
          <w:rFonts w:asciiTheme="minorHAnsi" w:hAnsiTheme="minorHAnsi" w:cstheme="minorHAnsi"/>
          <w:bCs/>
          <w:lang w:val="fr-FR"/>
        </w:rPr>
      </w:pPr>
      <w:r w:rsidRPr="00C73365">
        <w:rPr>
          <w:rFonts w:asciiTheme="minorHAnsi" w:hAnsiTheme="minorHAnsi" w:cstheme="minorHAnsi"/>
          <w:bCs/>
          <w:lang w:val="fr-FR"/>
        </w:rPr>
        <w:t xml:space="preserve">1 salariée travaille sur la base d’un forfait horaire annualisé </w:t>
      </w:r>
    </w:p>
    <w:p w:rsidR="00136669" w:rsidRPr="00C73365" w:rsidRDefault="00136669" w:rsidP="00136669">
      <w:pPr>
        <w:rPr>
          <w:rFonts w:asciiTheme="minorHAnsi" w:hAnsiTheme="minorHAnsi" w:cstheme="minorHAnsi"/>
          <w:bCs/>
          <w:szCs w:val="22"/>
          <w:lang w:val="fr-FR"/>
        </w:rPr>
      </w:pP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lastRenderedPageBreak/>
        <w:t>Bilan des accords collectifs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L’entreprise applique la convention collective de l’industrie pharmaceutique. Un accord d’entreprise sur l’organisation du temps de travail a été signé le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w:t>
      </w:r>
      <w:r w:rsidR="00E73A7C">
        <w:rPr>
          <w:rFonts w:asciiTheme="minorHAnsi" w:hAnsiTheme="minorHAnsi" w:cstheme="minorHAnsi"/>
          <w:lang w:val="fr-FR"/>
        </w:rPr>
        <w:t>septembre</w:t>
      </w:r>
      <w:r w:rsidRPr="00C73365">
        <w:rPr>
          <w:rFonts w:asciiTheme="minorHAnsi" w:hAnsiTheme="minorHAnsi" w:cstheme="minorHAnsi"/>
          <w:lang w:val="fr-FR"/>
        </w:rPr>
        <w:t xml:space="preserve"> 2016.</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Ainsi, l’année 2017 a été la première année d’application de l’accord sur le temps de travail, avec un bilan très positif, tant du point de vue des salariés que de la Direction de l’entreprise.</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Absentéisme, accidents du travail et maladies professionnelles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En 2017, l’entreprise totalise 264 jours d’absentéisme, dont 238 jours concernent un arrêt prolongé suite à un accident de trajet. Les autres absences sont de faible durée.</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Rémunérations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rémunérations mensuelles moyennes brutes par niveau en 2017 sont indiquées dans les tableaux ci-dessous. Cette rémunération moyenne mensuelle (salaire de base brut) s</w:t>
      </w:r>
      <w:r w:rsidR="004572A0" w:rsidRPr="00C73365">
        <w:rPr>
          <w:rFonts w:asciiTheme="minorHAnsi" w:hAnsiTheme="minorHAnsi" w:cstheme="minorHAnsi"/>
          <w:lang w:val="fr-FR"/>
        </w:rPr>
        <w:t>’</w:t>
      </w:r>
      <w:r w:rsidRPr="00C73365">
        <w:rPr>
          <w:rFonts w:asciiTheme="minorHAnsi" w:hAnsiTheme="minorHAnsi" w:cstheme="minorHAnsi"/>
          <w:lang w:val="fr-FR"/>
        </w:rPr>
        <w:t>entend hors primes, avantages en nature et paiements en action pour les salariés présents au 31 décembre 2017 (hors mandataire social).</w:t>
      </w:r>
    </w:p>
    <w:tbl>
      <w:tblPr>
        <w:tblW w:w="4660" w:type="dxa"/>
        <w:tblCellMar>
          <w:left w:w="70" w:type="dxa"/>
          <w:right w:w="70" w:type="dxa"/>
        </w:tblCellMar>
        <w:tblLook w:val="04A0" w:firstRow="1" w:lastRow="0" w:firstColumn="1" w:lastColumn="0" w:noHBand="0" w:noVBand="1"/>
      </w:tblPr>
      <w:tblGrid>
        <w:gridCol w:w="1622"/>
        <w:gridCol w:w="1789"/>
        <w:gridCol w:w="1249"/>
      </w:tblGrid>
      <w:tr w:rsidR="00136669" w:rsidRPr="00C73365" w:rsidTr="009C5D68">
        <w:trPr>
          <w:trHeight w:val="315"/>
        </w:trPr>
        <w:tc>
          <w:tcPr>
            <w:tcW w:w="1622" w:type="dxa"/>
            <w:tcBorders>
              <w:top w:val="single" w:sz="12" w:space="0" w:color="7030A0"/>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789" w:type="dxa"/>
            <w:vMerge w:val="restart"/>
            <w:tcBorders>
              <w:top w:val="single" w:sz="12" w:space="0" w:color="7030A0"/>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Moyenne 2016/mois</w:t>
            </w:r>
          </w:p>
        </w:tc>
        <w:tc>
          <w:tcPr>
            <w:tcW w:w="1249" w:type="dxa"/>
            <w:vMerge w:val="restart"/>
            <w:tcBorders>
              <w:top w:val="single" w:sz="12" w:space="0" w:color="7030A0"/>
              <w:left w:val="nil"/>
              <w:bottom w:val="single" w:sz="8" w:space="0" w:color="7030A0"/>
              <w:right w:val="nil"/>
            </w:tcBorders>
            <w:shd w:val="clear" w:color="000000" w:fill="FFFFFF"/>
            <w:vAlign w:val="center"/>
            <w:hideMark/>
          </w:tcPr>
          <w:p w:rsidR="00136669" w:rsidRPr="00C73365" w:rsidRDefault="00136669" w:rsidP="009C5D68">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Moyenne 2017/mois</w:t>
            </w:r>
          </w:p>
        </w:tc>
      </w:tr>
      <w:tr w:rsidR="00136669" w:rsidRPr="00C73365" w:rsidTr="009C5D68">
        <w:trPr>
          <w:trHeight w:val="300"/>
        </w:trPr>
        <w:tc>
          <w:tcPr>
            <w:tcW w:w="1622"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789" w:type="dxa"/>
            <w:vMerge/>
            <w:tcBorders>
              <w:top w:val="single" w:sz="12" w:space="0" w:color="7030A0"/>
              <w:left w:val="nil"/>
              <w:bottom w:val="single" w:sz="8" w:space="0" w:color="7030A0"/>
              <w:right w:val="nil"/>
            </w:tcBorders>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c>
          <w:tcPr>
            <w:tcW w:w="1249" w:type="dxa"/>
            <w:vMerge/>
            <w:tcBorders>
              <w:top w:val="single" w:sz="12" w:space="0" w:color="7030A0"/>
              <w:left w:val="nil"/>
              <w:bottom w:val="single" w:sz="8" w:space="0" w:color="7030A0"/>
              <w:right w:val="nil"/>
            </w:tcBorders>
            <w:vAlign w:val="center"/>
            <w:hideMark/>
          </w:tcPr>
          <w:p w:rsidR="00136669" w:rsidRPr="00C73365" w:rsidRDefault="00136669" w:rsidP="009C5D68">
            <w:pPr>
              <w:spacing w:after="0"/>
              <w:rPr>
                <w:rFonts w:asciiTheme="minorHAnsi" w:hAnsiTheme="minorHAnsi" w:cstheme="minorHAnsi"/>
                <w:color w:val="000000"/>
                <w:szCs w:val="20"/>
                <w:lang w:val="fr-FR" w:eastAsia="fr-FR"/>
              </w:rPr>
            </w:pPr>
          </w:p>
        </w:tc>
      </w:tr>
      <w:tr w:rsidR="00136669" w:rsidRPr="00C73365" w:rsidTr="009C5D68">
        <w:trPr>
          <w:trHeight w:val="288"/>
        </w:trPr>
        <w:tc>
          <w:tcPr>
            <w:tcW w:w="1622"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Cadres Dirigeants</w:t>
            </w:r>
          </w:p>
        </w:tc>
        <w:tc>
          <w:tcPr>
            <w:tcW w:w="1789" w:type="dxa"/>
            <w:tcBorders>
              <w:top w:val="nil"/>
              <w:left w:val="nil"/>
              <w:bottom w:val="nil"/>
              <w:right w:val="nil"/>
            </w:tcBorders>
            <w:shd w:val="clear" w:color="000000" w:fill="FFFFFF"/>
            <w:hideMark/>
          </w:tcPr>
          <w:p w:rsidR="00136669" w:rsidRPr="00C73365" w:rsidRDefault="00136669" w:rsidP="009C5D68">
            <w:pPr>
              <w:spacing w:after="0"/>
              <w:jc w:val="center"/>
              <w:rPr>
                <w:rFonts w:asciiTheme="minorHAnsi" w:hAnsiTheme="minorHAnsi" w:cstheme="minorHAnsi"/>
                <w:color w:val="000000"/>
                <w:szCs w:val="22"/>
                <w:lang w:val="fr-FR" w:eastAsia="fr-FR"/>
              </w:rPr>
            </w:pPr>
            <w:r w:rsidRPr="00C73365">
              <w:rPr>
                <w:rFonts w:asciiTheme="minorHAnsi" w:hAnsiTheme="minorHAnsi" w:cstheme="minorHAnsi"/>
                <w:szCs w:val="22"/>
              </w:rPr>
              <w:t>13 746 €</w:t>
            </w:r>
          </w:p>
        </w:tc>
        <w:tc>
          <w:tcPr>
            <w:tcW w:w="1249" w:type="dxa"/>
            <w:tcBorders>
              <w:top w:val="nil"/>
              <w:left w:val="nil"/>
              <w:bottom w:val="nil"/>
              <w:right w:val="nil"/>
            </w:tcBorders>
            <w:shd w:val="clear" w:color="000000" w:fill="FFFFFF"/>
            <w:vAlign w:val="bottom"/>
            <w:hideMark/>
          </w:tcPr>
          <w:p w:rsidR="00136669" w:rsidRPr="00C73365" w:rsidRDefault="00136669" w:rsidP="009C5D68">
            <w:pPr>
              <w:spacing w:after="0"/>
              <w:jc w:val="center"/>
              <w:rPr>
                <w:rFonts w:asciiTheme="minorHAnsi" w:hAnsiTheme="minorHAnsi" w:cstheme="minorHAnsi"/>
                <w:color w:val="000000"/>
                <w:szCs w:val="22"/>
                <w:lang w:val="fr-FR" w:eastAsia="fr-FR"/>
              </w:rPr>
            </w:pPr>
            <w:r w:rsidRPr="00C73365">
              <w:rPr>
                <w:rFonts w:asciiTheme="minorHAnsi" w:hAnsiTheme="minorHAnsi" w:cstheme="minorHAnsi"/>
                <w:bCs/>
                <w:color w:val="000000"/>
                <w:szCs w:val="22"/>
              </w:rPr>
              <w:t>14 534 €</w:t>
            </w:r>
          </w:p>
        </w:tc>
      </w:tr>
      <w:tr w:rsidR="00136669" w:rsidRPr="00C73365" w:rsidTr="009C5D68">
        <w:trPr>
          <w:trHeight w:val="288"/>
        </w:trPr>
        <w:tc>
          <w:tcPr>
            <w:tcW w:w="1622" w:type="dxa"/>
            <w:tcBorders>
              <w:top w:val="nil"/>
              <w:left w:val="nil"/>
              <w:bottom w:val="nil"/>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Cadres</w:t>
            </w:r>
          </w:p>
        </w:tc>
        <w:tc>
          <w:tcPr>
            <w:tcW w:w="1789" w:type="dxa"/>
            <w:tcBorders>
              <w:top w:val="nil"/>
              <w:left w:val="nil"/>
              <w:bottom w:val="nil"/>
              <w:right w:val="nil"/>
            </w:tcBorders>
            <w:shd w:val="clear" w:color="000000" w:fill="FFFFFF"/>
            <w:hideMark/>
          </w:tcPr>
          <w:p w:rsidR="00136669" w:rsidRPr="00C73365" w:rsidRDefault="00136669" w:rsidP="009C5D68">
            <w:pPr>
              <w:spacing w:after="0"/>
              <w:jc w:val="center"/>
              <w:rPr>
                <w:rFonts w:asciiTheme="minorHAnsi" w:hAnsiTheme="minorHAnsi" w:cstheme="minorHAnsi"/>
                <w:color w:val="000000"/>
                <w:szCs w:val="22"/>
                <w:lang w:val="fr-FR" w:eastAsia="fr-FR"/>
              </w:rPr>
            </w:pPr>
            <w:r w:rsidRPr="00C73365">
              <w:rPr>
                <w:rFonts w:asciiTheme="minorHAnsi" w:hAnsiTheme="minorHAnsi" w:cstheme="minorHAnsi"/>
                <w:szCs w:val="22"/>
              </w:rPr>
              <w:t>4 855 €</w:t>
            </w:r>
          </w:p>
        </w:tc>
        <w:tc>
          <w:tcPr>
            <w:tcW w:w="1249" w:type="dxa"/>
            <w:tcBorders>
              <w:top w:val="nil"/>
              <w:left w:val="nil"/>
              <w:bottom w:val="nil"/>
              <w:right w:val="nil"/>
            </w:tcBorders>
            <w:shd w:val="clear" w:color="000000" w:fill="FFFFFF"/>
            <w:vAlign w:val="bottom"/>
            <w:hideMark/>
          </w:tcPr>
          <w:p w:rsidR="00136669" w:rsidRPr="00C73365" w:rsidRDefault="00136669" w:rsidP="009C5D68">
            <w:pPr>
              <w:spacing w:after="0"/>
              <w:jc w:val="center"/>
              <w:rPr>
                <w:rFonts w:asciiTheme="minorHAnsi" w:hAnsiTheme="minorHAnsi" w:cstheme="minorHAnsi"/>
                <w:color w:val="000000"/>
                <w:szCs w:val="22"/>
                <w:lang w:val="fr-FR" w:eastAsia="fr-FR"/>
              </w:rPr>
            </w:pPr>
            <w:r w:rsidRPr="00C73365">
              <w:rPr>
                <w:rFonts w:asciiTheme="minorHAnsi" w:hAnsiTheme="minorHAnsi" w:cstheme="minorHAnsi"/>
                <w:bCs/>
                <w:color w:val="000000"/>
                <w:szCs w:val="22"/>
              </w:rPr>
              <w:t>5 201 €</w:t>
            </w:r>
          </w:p>
        </w:tc>
      </w:tr>
      <w:tr w:rsidR="00136669" w:rsidRPr="00C73365" w:rsidTr="009C5D68">
        <w:trPr>
          <w:trHeight w:val="300"/>
        </w:trPr>
        <w:tc>
          <w:tcPr>
            <w:tcW w:w="1622" w:type="dxa"/>
            <w:tcBorders>
              <w:top w:val="nil"/>
              <w:left w:val="nil"/>
              <w:bottom w:val="single" w:sz="8" w:space="0" w:color="7030A0"/>
              <w:right w:val="nil"/>
            </w:tcBorders>
            <w:shd w:val="clear" w:color="000000" w:fill="FFFFFF"/>
            <w:vAlign w:val="center"/>
            <w:hideMark/>
          </w:tcPr>
          <w:p w:rsidR="00136669" w:rsidRPr="00C73365" w:rsidRDefault="00136669" w:rsidP="009C5D68">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 Cadres</w:t>
            </w:r>
          </w:p>
        </w:tc>
        <w:tc>
          <w:tcPr>
            <w:tcW w:w="1789" w:type="dxa"/>
            <w:tcBorders>
              <w:top w:val="nil"/>
              <w:left w:val="nil"/>
              <w:bottom w:val="single" w:sz="8" w:space="0" w:color="7030A0"/>
              <w:right w:val="nil"/>
            </w:tcBorders>
            <w:shd w:val="clear" w:color="000000" w:fill="FFFFFF"/>
            <w:hideMark/>
          </w:tcPr>
          <w:p w:rsidR="00136669" w:rsidRPr="00C73365" w:rsidRDefault="00136669" w:rsidP="009C5D68">
            <w:pPr>
              <w:spacing w:after="0"/>
              <w:jc w:val="center"/>
              <w:rPr>
                <w:rFonts w:asciiTheme="minorHAnsi" w:hAnsiTheme="minorHAnsi" w:cstheme="minorHAnsi"/>
                <w:color w:val="000000"/>
                <w:szCs w:val="22"/>
                <w:lang w:val="fr-FR" w:eastAsia="fr-FR"/>
              </w:rPr>
            </w:pPr>
            <w:r w:rsidRPr="00C73365">
              <w:rPr>
                <w:rFonts w:asciiTheme="minorHAnsi" w:hAnsiTheme="minorHAnsi" w:cstheme="minorHAnsi"/>
                <w:szCs w:val="22"/>
              </w:rPr>
              <w:t>2 282 €</w:t>
            </w:r>
          </w:p>
        </w:tc>
        <w:tc>
          <w:tcPr>
            <w:tcW w:w="1249" w:type="dxa"/>
            <w:tcBorders>
              <w:top w:val="nil"/>
              <w:left w:val="nil"/>
              <w:bottom w:val="single" w:sz="8" w:space="0" w:color="7030A0"/>
              <w:right w:val="nil"/>
            </w:tcBorders>
            <w:shd w:val="clear" w:color="000000" w:fill="FFFFFF"/>
            <w:vAlign w:val="bottom"/>
            <w:hideMark/>
          </w:tcPr>
          <w:p w:rsidR="00136669" w:rsidRPr="00C73365" w:rsidRDefault="00136669" w:rsidP="009C5D68">
            <w:pPr>
              <w:spacing w:after="0"/>
              <w:jc w:val="center"/>
              <w:rPr>
                <w:rFonts w:asciiTheme="minorHAnsi" w:hAnsiTheme="minorHAnsi" w:cstheme="minorHAnsi"/>
                <w:color w:val="000000"/>
                <w:szCs w:val="22"/>
                <w:lang w:val="fr-FR" w:eastAsia="fr-FR"/>
              </w:rPr>
            </w:pPr>
            <w:r w:rsidRPr="00C73365">
              <w:rPr>
                <w:rFonts w:asciiTheme="minorHAnsi" w:hAnsiTheme="minorHAnsi" w:cstheme="minorHAnsi"/>
                <w:bCs/>
                <w:color w:val="000000"/>
                <w:szCs w:val="22"/>
              </w:rPr>
              <w:t>2 411 €</w:t>
            </w:r>
          </w:p>
        </w:tc>
      </w:tr>
    </w:tbl>
    <w:p w:rsidR="00136669" w:rsidRPr="00C73365" w:rsidRDefault="00136669" w:rsidP="00136669">
      <w:pPr>
        <w:rPr>
          <w:rFonts w:asciiTheme="minorHAnsi" w:hAnsiTheme="minorHAnsi" w:cstheme="minorHAnsi"/>
          <w:bCs/>
          <w:szCs w:val="22"/>
          <w:highlight w:val="yellow"/>
          <w:lang w:val="fr-FR"/>
        </w:rPr>
      </w:pP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enveloppe utilisée en 2017 pour les augmentations salariales a été de 2.5 % de la masse salariale brute. Cette enveloppe a été distribuée sous forme d’augmentations individuelles et de primes exceptionnelles.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salariés cadres bénéficient tous d</w:t>
      </w:r>
      <w:r w:rsidR="004572A0" w:rsidRPr="00C73365">
        <w:rPr>
          <w:rFonts w:asciiTheme="minorHAnsi" w:hAnsiTheme="minorHAnsi" w:cstheme="minorHAnsi"/>
          <w:lang w:val="fr-FR"/>
        </w:rPr>
        <w:t>’</w:t>
      </w:r>
      <w:r w:rsidRPr="00C73365">
        <w:rPr>
          <w:rFonts w:asciiTheme="minorHAnsi" w:hAnsiTheme="minorHAnsi" w:cstheme="minorHAnsi"/>
          <w:lang w:val="fr-FR"/>
        </w:rPr>
        <w:t>une rémunération fixe et variable. La rémunération variable est calculée sur la base d’un pourcentage allant de 10 à 40 % de la part fixe annuelle brute. Elle est versée en une seule fois, son montant dépend de l’atteinte d’objectifs annuels préalablement fixés par la Direction et communiqués à chaque salarié.</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Tou</w:t>
      </w:r>
      <w:r w:rsidR="001306B6" w:rsidRPr="00C73365">
        <w:rPr>
          <w:rFonts w:asciiTheme="minorHAnsi" w:hAnsiTheme="minorHAnsi" w:cstheme="minorHAnsi"/>
          <w:lang w:val="fr-FR"/>
        </w:rPr>
        <w:t xml:space="preserve">t </w:t>
      </w:r>
      <w:r w:rsidRPr="00C73365">
        <w:rPr>
          <w:rFonts w:asciiTheme="minorHAnsi" w:hAnsiTheme="minorHAnsi" w:cstheme="minorHAnsi"/>
          <w:lang w:val="fr-FR"/>
        </w:rPr>
        <w:t>salarié CDI bén</w:t>
      </w:r>
      <w:r w:rsidR="003F5249" w:rsidRPr="00C73365">
        <w:rPr>
          <w:rFonts w:asciiTheme="minorHAnsi" w:hAnsiTheme="minorHAnsi" w:cstheme="minorHAnsi"/>
          <w:lang w:val="fr-FR"/>
        </w:rPr>
        <w:t>é</w:t>
      </w:r>
      <w:r w:rsidRPr="00C73365">
        <w:rPr>
          <w:rFonts w:asciiTheme="minorHAnsi" w:hAnsiTheme="minorHAnsi" w:cstheme="minorHAnsi"/>
          <w:lang w:val="fr-FR"/>
        </w:rPr>
        <w:t>ficie en outre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attribution de </w:t>
      </w:r>
      <w:r w:rsidR="00656913">
        <w:rPr>
          <w:rFonts w:asciiTheme="minorHAnsi" w:hAnsiTheme="minorHAnsi" w:cstheme="minorHAnsi"/>
          <w:lang w:val="fr-FR"/>
        </w:rPr>
        <w:t>BCE</w:t>
      </w:r>
      <w:r w:rsidRPr="00C73365">
        <w:rPr>
          <w:rFonts w:asciiTheme="minorHAnsi" w:hAnsiTheme="minorHAnsi" w:cstheme="minorHAnsi"/>
          <w:lang w:val="fr-FR"/>
        </w:rPr>
        <w:t xml:space="preserve"> </w:t>
      </w:r>
      <w:r w:rsidR="003F5249" w:rsidRPr="00C73365">
        <w:rPr>
          <w:rFonts w:asciiTheme="minorHAnsi" w:hAnsiTheme="minorHAnsi" w:cstheme="minorHAnsi"/>
          <w:lang w:val="fr-FR"/>
        </w:rPr>
        <w:t xml:space="preserve">au plus tard </w:t>
      </w:r>
      <w:r w:rsidRPr="00C73365">
        <w:rPr>
          <w:rFonts w:asciiTheme="minorHAnsi" w:hAnsiTheme="minorHAnsi" w:cstheme="minorHAnsi"/>
          <w:lang w:val="fr-FR"/>
        </w:rPr>
        <w:t>après un an d’ancienneté dans la société.</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 Directeur Général bénéficie d</w:t>
      </w:r>
      <w:r w:rsidR="004572A0" w:rsidRPr="00C73365">
        <w:rPr>
          <w:rFonts w:asciiTheme="minorHAnsi" w:hAnsiTheme="minorHAnsi" w:cstheme="minorHAnsi"/>
          <w:lang w:val="fr-FR"/>
        </w:rPr>
        <w:t>’</w:t>
      </w:r>
      <w:r w:rsidRPr="00C73365">
        <w:rPr>
          <w:rFonts w:asciiTheme="minorHAnsi" w:hAnsiTheme="minorHAnsi" w:cstheme="minorHAnsi"/>
          <w:lang w:val="fr-FR"/>
        </w:rPr>
        <w:t>un avantage en nature (véhicule).</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Relations professionnelles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élections des Délégués du Personnel ont été organisées en 2015. Depuis l</w:t>
      </w:r>
      <w:r w:rsidR="004572A0" w:rsidRPr="00C73365">
        <w:rPr>
          <w:rFonts w:asciiTheme="minorHAnsi" w:hAnsiTheme="minorHAnsi" w:cstheme="minorHAnsi"/>
          <w:lang w:val="fr-FR"/>
        </w:rPr>
        <w:t>’</w:t>
      </w:r>
      <w:r w:rsidRPr="00C73365">
        <w:rPr>
          <w:rFonts w:asciiTheme="minorHAnsi" w:hAnsiTheme="minorHAnsi" w:cstheme="minorHAnsi"/>
          <w:lang w:val="fr-FR"/>
        </w:rPr>
        <w:t>élection, des réunions de délégués du personnel ont lieu tous les mois.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n</w:t>
      </w:r>
      <w:r w:rsidR="004572A0" w:rsidRPr="00C73365">
        <w:rPr>
          <w:rFonts w:asciiTheme="minorHAnsi" w:hAnsiTheme="minorHAnsi" w:cstheme="minorHAnsi"/>
          <w:lang w:val="fr-FR"/>
        </w:rPr>
        <w:t>’</w:t>
      </w:r>
      <w:r w:rsidRPr="00C73365">
        <w:rPr>
          <w:rFonts w:asciiTheme="minorHAnsi" w:hAnsiTheme="minorHAnsi" w:cstheme="minorHAnsi"/>
          <w:lang w:val="fr-FR"/>
        </w:rPr>
        <w:t>a pas de représentation syndicale.</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Conditions d</w:t>
      </w:r>
      <w:r w:rsidR="004572A0" w:rsidRPr="00C73365">
        <w:rPr>
          <w:rFonts w:asciiTheme="minorHAnsi" w:hAnsiTheme="minorHAnsi" w:cstheme="minorHAnsi"/>
          <w:lang w:val="fr-FR"/>
        </w:rPr>
        <w:t>’</w:t>
      </w:r>
      <w:r w:rsidRPr="00C73365">
        <w:rPr>
          <w:rFonts w:asciiTheme="minorHAnsi" w:hAnsiTheme="minorHAnsi" w:cstheme="minorHAnsi"/>
          <w:lang w:val="fr-FR"/>
        </w:rPr>
        <w:t>hygiène et de sécurité</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pour objet la recherche et le développement de nouveaux médicaments destinés au traitement de certaines maladies infectieuses. Les activités de recherche sont regroupées autour du centre de recherche situé à Montpellier à l’intérieur du campus CNRS Languedoc Roussillon. Les services généraux et les activités liées au développement clinique et au réglementaire sont gérés à partir du siège social parisien.</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 noter que l’ensemble des opérations liées au développement clinique, incluant les activités de fabrication des médicaments expérimentaux, sont sous-traitées à des prestataires de service dûment audités par notre service de qualité conformément aux bonnes pratiques de qualité en vigueur dans l</w:t>
      </w:r>
      <w:r w:rsidR="004572A0" w:rsidRPr="00C73365">
        <w:rPr>
          <w:rFonts w:asciiTheme="minorHAnsi" w:hAnsiTheme="minorHAnsi" w:cstheme="minorHAnsi"/>
          <w:lang w:val="fr-FR"/>
        </w:rPr>
        <w:t>’</w:t>
      </w:r>
      <w:r w:rsidRPr="00C73365">
        <w:rPr>
          <w:rFonts w:asciiTheme="minorHAnsi" w:hAnsiTheme="minorHAnsi" w:cstheme="minorHAnsi"/>
          <w:lang w:val="fr-FR"/>
        </w:rPr>
        <w:t>industrie pharmaceutique.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En conséquence, la Société ne considère pas qu</w:t>
      </w:r>
      <w:r w:rsidR="004572A0" w:rsidRPr="00C73365">
        <w:rPr>
          <w:rFonts w:asciiTheme="minorHAnsi" w:hAnsiTheme="minorHAnsi" w:cstheme="minorHAnsi"/>
          <w:lang w:val="fr-FR"/>
        </w:rPr>
        <w:t>’</w:t>
      </w:r>
      <w:r w:rsidRPr="00C73365">
        <w:rPr>
          <w:rFonts w:asciiTheme="minorHAnsi" w:hAnsiTheme="minorHAnsi" w:cstheme="minorHAnsi"/>
          <w:lang w:val="fr-FR"/>
        </w:rPr>
        <w:t>elle expose ses employés à des risques particuliers. Par ailleurs, la Société forme certains de ses ingénieurs aux différentes normes spécifiquement relatives aux BPC (bonnes pratiques cliniques) et BPL (bonnes pratiques de laboratoires). Enfin, une analyse de la pénibilité individuelle a été réalisée en 2017 au titre de 2016 conformément à la législation en vigueur. Cette pénibilité a été réalisée sur Paris, Orsay et Montpellier. Le site d’Orsay est rattaché administrativement au site de Montpellier.</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Les effectifs s</w:t>
      </w:r>
      <w:r w:rsidR="004572A0" w:rsidRPr="00C73365">
        <w:rPr>
          <w:rFonts w:asciiTheme="minorHAnsi" w:hAnsiTheme="minorHAnsi" w:cstheme="minorHAnsi"/>
          <w:lang w:val="fr-FR"/>
        </w:rPr>
        <w:t>’</w:t>
      </w:r>
      <w:r w:rsidRPr="00C73365">
        <w:rPr>
          <w:rFonts w:asciiTheme="minorHAnsi" w:hAnsiTheme="minorHAnsi" w:cstheme="minorHAnsi"/>
          <w:lang w:val="fr-FR"/>
        </w:rPr>
        <w:t>élevant à 24 personnes au 31 décembre 2017, la Société n</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 pas de Comité d’hygiène, de sécurité et des conditions de travail (CHSCT).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Au cours de l’année 2017, aucun accord n’a été signé en matière de santé et de sécurité au travail.</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Aucune maladie professionnelle n</w:t>
      </w:r>
      <w:r w:rsidR="004572A0" w:rsidRPr="00C73365">
        <w:rPr>
          <w:rFonts w:asciiTheme="minorHAnsi" w:hAnsiTheme="minorHAnsi" w:cstheme="minorHAnsi"/>
          <w:lang w:val="fr-FR"/>
        </w:rPr>
        <w:t>’</w:t>
      </w:r>
      <w:r w:rsidRPr="00C73365">
        <w:rPr>
          <w:rFonts w:asciiTheme="minorHAnsi" w:hAnsiTheme="minorHAnsi" w:cstheme="minorHAnsi"/>
          <w:lang w:val="fr-FR"/>
        </w:rPr>
        <w:t>est intervenue au cours de l</w:t>
      </w:r>
      <w:r w:rsidR="004572A0" w:rsidRPr="00C73365">
        <w:rPr>
          <w:rFonts w:asciiTheme="minorHAnsi" w:hAnsiTheme="minorHAnsi" w:cstheme="minorHAnsi"/>
          <w:lang w:val="fr-FR"/>
        </w:rPr>
        <w:t>’</w:t>
      </w:r>
      <w:r w:rsidRPr="00C73365">
        <w:rPr>
          <w:rFonts w:asciiTheme="minorHAnsi" w:hAnsiTheme="minorHAnsi" w:cstheme="minorHAnsi"/>
          <w:lang w:val="fr-FR"/>
        </w:rPr>
        <w:t>année 2017. Un accident de trajet a été constaté au cours de l’année 2017.</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Formation</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est sensible au développement de ses collaborateurs en facilitant l</w:t>
      </w:r>
      <w:r w:rsidR="004572A0" w:rsidRPr="00C73365">
        <w:rPr>
          <w:rFonts w:asciiTheme="minorHAnsi" w:hAnsiTheme="minorHAnsi" w:cstheme="minorHAnsi"/>
          <w:lang w:val="fr-FR"/>
        </w:rPr>
        <w:t>’</w:t>
      </w:r>
      <w:r w:rsidRPr="00C73365">
        <w:rPr>
          <w:rFonts w:asciiTheme="minorHAnsi" w:hAnsiTheme="minorHAnsi" w:cstheme="minorHAnsi"/>
          <w:lang w:val="fr-FR"/>
        </w:rPr>
        <w:t>accès à la formation tout au long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année. Les besoins en formation sont définis dans le cadre de décisions d’entreprise, le stage de formation ayant pour objectif de développer les compétences du collaborateur pour le rendre plus performant et/ou plus préparé (changement de logiciel, etc.) aux évolutions de l’organisation.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En 2016, la dépense de formation s’est élevée à 19314</w:t>
      </w:r>
      <w:r w:rsidR="001306B6" w:rsidRPr="00C73365">
        <w:rPr>
          <w:rFonts w:asciiTheme="minorHAnsi" w:hAnsiTheme="minorHAnsi" w:cstheme="minorHAnsi"/>
          <w:lang w:val="fr-FR"/>
        </w:rPr>
        <w:t xml:space="preserve"> </w:t>
      </w:r>
      <w:r w:rsidRPr="00C73365">
        <w:rPr>
          <w:rFonts w:asciiTheme="minorHAnsi" w:hAnsiTheme="minorHAnsi" w:cstheme="minorHAnsi"/>
          <w:lang w:val="fr-FR"/>
        </w:rPr>
        <w:t>€, correspondant à 329 heures de formation</w:t>
      </w:r>
      <w:r w:rsidR="001306B6" w:rsidRPr="00C73365">
        <w:rPr>
          <w:rFonts w:asciiTheme="minorHAnsi" w:hAnsiTheme="minorHAnsi" w:cstheme="minorHAnsi"/>
          <w:lang w:val="fr-FR"/>
        </w:rPr>
        <w:t xml:space="preserve">, </w:t>
      </w:r>
      <w:r w:rsidRPr="00C73365">
        <w:rPr>
          <w:rFonts w:asciiTheme="minorHAnsi" w:hAnsiTheme="minorHAnsi" w:cstheme="minorHAnsi"/>
          <w:lang w:val="fr-FR"/>
        </w:rPr>
        <w:t xml:space="preserve">réalisées par les salariés, en progression par rapport à l’année 2015.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En 2017, l’engagement formation de l’entreprise représente 20162</w:t>
      </w:r>
      <w:r w:rsidR="001306B6" w:rsidRPr="00C73365">
        <w:rPr>
          <w:rFonts w:asciiTheme="minorHAnsi" w:hAnsiTheme="minorHAnsi" w:cstheme="minorHAnsi"/>
          <w:lang w:val="fr-FR"/>
        </w:rPr>
        <w:t xml:space="preserve"> </w:t>
      </w:r>
      <w:r w:rsidRPr="00C73365">
        <w:rPr>
          <w:rFonts w:asciiTheme="minorHAnsi" w:hAnsiTheme="minorHAnsi" w:cstheme="minorHAnsi"/>
          <w:lang w:val="fr-FR"/>
        </w:rPr>
        <w:t xml:space="preserve">€ correspondant à 544 heures de formation. L’accent a été mis en particulier sur les formations en langue, avec mobilisation de 275 heures sur le compte personnel de formation.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Au total 8 personnes ont suivi une formation sur l’année 2017, soit 1/3 de l’effectif de la société.</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Egalité hommes-femmes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s</w:t>
      </w:r>
      <w:r w:rsidR="004572A0" w:rsidRPr="00C73365">
        <w:rPr>
          <w:rFonts w:asciiTheme="minorHAnsi" w:hAnsiTheme="minorHAnsi" w:cstheme="minorHAnsi"/>
          <w:lang w:val="fr-FR"/>
        </w:rPr>
        <w:t>’</w:t>
      </w:r>
      <w:r w:rsidRPr="00C73365">
        <w:rPr>
          <w:rFonts w:asciiTheme="minorHAnsi" w:hAnsiTheme="minorHAnsi" w:cstheme="minorHAnsi"/>
          <w:lang w:val="fr-FR"/>
        </w:rPr>
        <w:t>attache à respecter les conditions relatives à la représentativité équilibrée entre les hommes et les femmes au sein du conseil d’administration, en conformité avec la loi n°2011-103 du 27 janvier 2011.</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a engagé de longue date une action de recrutement d’administratrices femmes. A ce jour 4 administratrices sont nommées.</w:t>
      </w:r>
    </w:p>
    <w:p w:rsidR="00136669" w:rsidRPr="00C73365" w:rsidRDefault="00136669" w:rsidP="00136669">
      <w:pPr>
        <w:pStyle w:val="ListParagraph"/>
        <w:numPr>
          <w:ilvl w:val="3"/>
          <w:numId w:val="9"/>
        </w:numPr>
        <w:outlineLvl w:val="2"/>
        <w:rPr>
          <w:rFonts w:asciiTheme="minorHAnsi" w:hAnsiTheme="minorHAnsi" w:cstheme="minorHAnsi"/>
          <w:bCs/>
          <w:szCs w:val="22"/>
          <w:lang w:val="fr-FR"/>
        </w:rPr>
      </w:pPr>
      <w:r w:rsidRPr="00C73365">
        <w:rPr>
          <w:rFonts w:asciiTheme="minorHAnsi" w:hAnsiTheme="minorHAnsi" w:cstheme="minorHAnsi"/>
          <w:bCs/>
          <w:szCs w:val="22"/>
          <w:lang w:val="fr-FR"/>
        </w:rPr>
        <w:t>Emploi et insertion des travailleurs handicapés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 xml:space="preserve">Bien que sensible à cette question, l’entreprise n’emploie pas de travailleur reconnu handicapé.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Elle reste très ouverte aux opportunités permettant l’emploi ou l’insertion de personnes handicapées, malgré les contraintes liées à la spécificité de son activité et à son faible effectif.</w:t>
      </w:r>
    </w:p>
    <w:p w:rsidR="00136669" w:rsidRPr="00C73365" w:rsidRDefault="00136669" w:rsidP="00136669">
      <w:pPr>
        <w:pStyle w:val="ConmainL3"/>
        <w:numPr>
          <w:ilvl w:val="3"/>
          <w:numId w:val="9"/>
        </w:numPr>
        <w:spacing w:after="120"/>
        <w:rPr>
          <w:rFonts w:asciiTheme="minorHAnsi" w:hAnsiTheme="minorHAnsi" w:cstheme="minorHAnsi"/>
          <w:lang w:val="fr-FR"/>
        </w:rPr>
      </w:pPr>
      <w:r w:rsidRPr="00C73365">
        <w:rPr>
          <w:rFonts w:asciiTheme="minorHAnsi" w:hAnsiTheme="minorHAnsi" w:cstheme="minorHAnsi"/>
          <w:lang w:val="fr-FR"/>
        </w:rPr>
        <w:t>Lutte contre les discriminations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n’a pas encore mis en place de mesures spécifiques pour lutter contre la discrimination. Aucun cas n’a été à ce jour signalé. Cependant si un cas de discrimination se présentait, la Société engagerait des mesures adéquates.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Promotion et respect des stipulations des conventions OIT relatives au respect de la liberté d’association et du droit de négociation collective, à l</w:t>
      </w:r>
      <w:r w:rsidR="004572A0" w:rsidRPr="00C73365">
        <w:rPr>
          <w:rFonts w:asciiTheme="minorHAnsi" w:hAnsiTheme="minorHAnsi" w:cstheme="minorHAnsi"/>
          <w:lang w:val="fr-FR"/>
        </w:rPr>
        <w:t>’</w:t>
      </w:r>
      <w:r w:rsidRPr="00C73365">
        <w:rPr>
          <w:rFonts w:asciiTheme="minorHAnsi" w:hAnsiTheme="minorHAnsi" w:cstheme="minorHAnsi"/>
          <w:lang w:val="fr-FR"/>
        </w:rPr>
        <w:t>élimination des discriminations en matière d</w:t>
      </w:r>
      <w:r w:rsidR="004572A0" w:rsidRPr="00C73365">
        <w:rPr>
          <w:rFonts w:asciiTheme="minorHAnsi" w:hAnsiTheme="minorHAnsi" w:cstheme="minorHAnsi"/>
          <w:lang w:val="fr-FR"/>
        </w:rPr>
        <w:t>’</w:t>
      </w:r>
      <w:r w:rsidRPr="00C73365">
        <w:rPr>
          <w:rFonts w:asciiTheme="minorHAnsi" w:hAnsiTheme="minorHAnsi" w:cstheme="minorHAnsi"/>
          <w:lang w:val="fr-FR"/>
        </w:rPr>
        <w:t>emploi et de profession, à l</w:t>
      </w:r>
      <w:r w:rsidR="004572A0" w:rsidRPr="00C73365">
        <w:rPr>
          <w:rFonts w:asciiTheme="minorHAnsi" w:hAnsiTheme="minorHAnsi" w:cstheme="minorHAnsi"/>
          <w:lang w:val="fr-FR"/>
        </w:rPr>
        <w:t>’</w:t>
      </w:r>
      <w:r w:rsidRPr="00C73365">
        <w:rPr>
          <w:rFonts w:asciiTheme="minorHAnsi" w:hAnsiTheme="minorHAnsi" w:cstheme="minorHAnsi"/>
          <w:lang w:val="fr-FR"/>
        </w:rPr>
        <w:t>élimination du travail forcé ou obligatoire, à l</w:t>
      </w:r>
      <w:r w:rsidR="004572A0" w:rsidRPr="00C73365">
        <w:rPr>
          <w:rFonts w:asciiTheme="minorHAnsi" w:hAnsiTheme="minorHAnsi" w:cstheme="minorHAnsi"/>
          <w:lang w:val="fr-FR"/>
        </w:rPr>
        <w:t>’</w:t>
      </w:r>
      <w:r w:rsidRPr="00C73365">
        <w:rPr>
          <w:rFonts w:asciiTheme="minorHAnsi" w:hAnsiTheme="minorHAnsi" w:cstheme="minorHAnsi"/>
          <w:lang w:val="fr-FR"/>
        </w:rPr>
        <w:t>abolition effective du travail des enfants</w:t>
      </w:r>
      <w:r w:rsidR="001306B6" w:rsidRPr="00C73365">
        <w:rPr>
          <w:rFonts w:asciiTheme="minorHAnsi" w:hAnsiTheme="minorHAnsi" w:cstheme="minorHAnsi"/>
          <w:lang w:val="fr-FR"/>
        </w:rPr>
        <w:t xml:space="preserve"> </w:t>
      </w:r>
      <w:r w:rsidRPr="00C73365">
        <w:rPr>
          <w:rFonts w:asciiTheme="minorHAnsi" w:hAnsiTheme="minorHAnsi" w:cstheme="minorHAnsi"/>
          <w:lang w:val="fr-FR"/>
        </w:rPr>
        <w: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 xml:space="preserve">Etant entendu que les sites de la Société sont implantés en France,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soumise à la loi française et l’applique. Les stipulations des conventions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OIT ne représentent pas d’enjeu particulier pour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rsidR="00136669" w:rsidRPr="00C73365" w:rsidRDefault="00136669" w:rsidP="00136669">
      <w:pPr>
        <w:pStyle w:val="ListParagraph"/>
        <w:numPr>
          <w:ilvl w:val="2"/>
          <w:numId w:val="9"/>
        </w:numPr>
        <w:outlineLvl w:val="2"/>
        <w:rPr>
          <w:rFonts w:asciiTheme="minorHAnsi" w:hAnsiTheme="minorHAnsi" w:cstheme="minorHAnsi"/>
          <w:b/>
          <w:color w:val="7030A0"/>
          <w:sz w:val="22"/>
          <w:szCs w:val="22"/>
          <w:lang w:val="fr-FR"/>
        </w:rPr>
      </w:pPr>
      <w:r w:rsidRPr="00C73365">
        <w:rPr>
          <w:rFonts w:asciiTheme="minorHAnsi" w:hAnsiTheme="minorHAnsi" w:cstheme="minorHAnsi"/>
          <w:b/>
          <w:color w:val="7030A0"/>
          <w:sz w:val="22"/>
          <w:szCs w:val="22"/>
          <w:lang w:val="fr-FR"/>
        </w:rPr>
        <w:t xml:space="preserve">Informations Sociétales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respecte la règlementation en faveur de la lutte contre les discriminations et la promotion des diversités.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Impact territorial, économique et social de l’activité</w:t>
      </w:r>
      <w:r w:rsidR="0045240E" w:rsidRPr="00C73365">
        <w:rPr>
          <w:rFonts w:asciiTheme="minorHAnsi" w:hAnsiTheme="minorHAnsi" w:cstheme="minorHAnsi"/>
          <w:lang w:val="fr-FR"/>
        </w:rPr>
        <w:t xml:space="preserve"> :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La Société emploie 24 personnes. Ces emplois constituent sa contribution directe à l’emploi local, à laquelle s’ajoute l</w:t>
      </w:r>
      <w:r w:rsidR="004572A0" w:rsidRPr="00C73365">
        <w:rPr>
          <w:rFonts w:asciiTheme="minorHAnsi" w:hAnsiTheme="minorHAnsi" w:cstheme="minorHAnsi"/>
          <w:lang w:val="fr-FR"/>
        </w:rPr>
        <w:t>’</w:t>
      </w:r>
      <w:r w:rsidRPr="00C73365">
        <w:rPr>
          <w:rFonts w:asciiTheme="minorHAnsi" w:hAnsiTheme="minorHAnsi" w:cstheme="minorHAnsi"/>
          <w:lang w:val="fr-FR"/>
        </w:rPr>
        <w:t>impact de leur famille, et les retombées indirectes en matière d’emplois et d’activité économique chez ses prestataires et fournisseurs.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Cependant, compte-tenu de sa taille et de son implantation en zones urbaines, la Société évalue que son impact en matière d</w:t>
      </w:r>
      <w:r w:rsidR="004572A0" w:rsidRPr="00C73365">
        <w:rPr>
          <w:rFonts w:asciiTheme="minorHAnsi" w:hAnsiTheme="minorHAnsi" w:cstheme="minorHAnsi"/>
          <w:lang w:val="fr-FR"/>
        </w:rPr>
        <w:t>’</w:t>
      </w:r>
      <w:r w:rsidRPr="00C73365">
        <w:rPr>
          <w:rFonts w:asciiTheme="minorHAnsi" w:hAnsiTheme="minorHAnsi" w:cstheme="minorHAnsi"/>
          <w:lang w:val="fr-FR"/>
        </w:rPr>
        <w:t>emploi et de développement régional ainsi que sur les populations riveraines et locales, n’est pas significatif pour la zone concernée et n’a pas identifié d</w:t>
      </w:r>
      <w:r w:rsidR="004572A0" w:rsidRPr="00C73365">
        <w:rPr>
          <w:rFonts w:asciiTheme="minorHAnsi" w:hAnsiTheme="minorHAnsi" w:cstheme="minorHAnsi"/>
          <w:lang w:val="fr-FR"/>
        </w:rPr>
        <w:t>’</w:t>
      </w:r>
      <w:r w:rsidRPr="00C73365">
        <w:rPr>
          <w:rFonts w:asciiTheme="minorHAnsi" w:hAnsiTheme="minorHAnsi" w:cstheme="minorHAnsi"/>
          <w:lang w:val="fr-FR"/>
        </w:rPr>
        <w:t>enjeu spécifique sur le sujet.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Relations avec les personnes ou organisations intéressées par l’activité de la Société (associations d’insertion, établissements d’enseignement, association de défense de l’environnement, association de consommateurs et populations riveraines)</w:t>
      </w:r>
      <w:r w:rsidR="00F77970" w:rsidRPr="00C73365">
        <w:rPr>
          <w:rFonts w:asciiTheme="minorHAnsi" w:hAnsiTheme="minorHAnsi" w:cstheme="minorHAnsi"/>
          <w:lang w:val="fr-FR"/>
        </w:rPr>
        <w:t xml:space="preserve"> : </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Les conditions du dialogue avec ces personnes ou organisations</w:t>
      </w:r>
      <w:r w:rsidR="00F77970" w:rsidRPr="00C73365">
        <w:rPr>
          <w:rFonts w:asciiTheme="minorHAnsi" w:hAnsiTheme="minorHAnsi" w:cstheme="minorHAnsi"/>
          <w:lang w:val="fr-FR"/>
        </w:rPr>
        <w:t> : c</w:t>
      </w:r>
      <w:r w:rsidRPr="00C73365">
        <w:rPr>
          <w:rFonts w:asciiTheme="minorHAnsi" w:hAnsiTheme="minorHAnsi" w:cstheme="minorHAnsi"/>
          <w:lang w:val="fr-FR"/>
        </w:rPr>
        <w:t>ompte tenu de la taille de la Société, et du nombre limité de ses collaborateurs, aucune relation particulière n’a été établie avec les parties prenantes de la Société. Pour autant les dirigeants sont à l’écoute des attentes que certaines de ses parties prenantes pourraient formulées, telles que les universités, les écoles ou encore les collectivités locales</w:t>
      </w:r>
    </w:p>
    <w:p w:rsidR="00136669" w:rsidRPr="00C73365" w:rsidRDefault="00136669" w:rsidP="004572A0">
      <w:pPr>
        <w:pStyle w:val="BodyText"/>
        <w:rPr>
          <w:rFonts w:asciiTheme="minorHAnsi" w:hAnsiTheme="minorHAnsi" w:cstheme="minorHAnsi"/>
          <w:b/>
          <w:lang w:val="fr-FR"/>
        </w:rPr>
      </w:pPr>
      <w:r w:rsidRPr="00C73365">
        <w:rPr>
          <w:rFonts w:asciiTheme="minorHAnsi" w:hAnsiTheme="minorHAnsi" w:cstheme="minorHAnsi"/>
          <w:lang w:val="fr-FR"/>
        </w:rPr>
        <w:t>Les actions de partenariat ou de mécénat</w:t>
      </w:r>
      <w:r w:rsidR="00F77970" w:rsidRPr="00C73365">
        <w:rPr>
          <w:rFonts w:asciiTheme="minorHAnsi" w:hAnsiTheme="minorHAnsi" w:cstheme="minorHAnsi"/>
          <w:lang w:val="fr-FR"/>
        </w:rPr>
        <w:t> : l</w:t>
      </w:r>
      <w:r w:rsidRPr="00C73365">
        <w:rPr>
          <w:rFonts w:asciiTheme="minorHAnsi" w:hAnsiTheme="minorHAnsi" w:cstheme="minorHAnsi"/>
          <w:lang w:val="fr-FR"/>
        </w:rPr>
        <w:t xml:space="preserve">a Société </w:t>
      </w:r>
      <w:r w:rsidR="004170D5" w:rsidRPr="00C73365">
        <w:rPr>
          <w:rFonts w:asciiTheme="minorHAnsi" w:hAnsiTheme="minorHAnsi" w:cstheme="minorHAnsi"/>
          <w:lang w:val="fr-FR"/>
        </w:rPr>
        <w:t>n’</w:t>
      </w:r>
      <w:r w:rsidRPr="00C73365">
        <w:rPr>
          <w:rFonts w:asciiTheme="minorHAnsi" w:hAnsiTheme="minorHAnsi" w:cstheme="minorHAnsi"/>
          <w:lang w:val="fr-FR"/>
        </w:rPr>
        <w:t>a</w:t>
      </w:r>
      <w:r w:rsidR="004170D5" w:rsidRPr="00C73365">
        <w:rPr>
          <w:rFonts w:asciiTheme="minorHAnsi" w:hAnsiTheme="minorHAnsi" w:cstheme="minorHAnsi"/>
          <w:lang w:val="fr-FR"/>
        </w:rPr>
        <w:t xml:space="preserve"> pas</w:t>
      </w:r>
      <w:r w:rsidRPr="00C73365">
        <w:rPr>
          <w:rFonts w:asciiTheme="minorHAnsi" w:hAnsiTheme="minorHAnsi" w:cstheme="minorHAnsi"/>
          <w:lang w:val="fr-FR"/>
        </w:rPr>
        <w:t xml:space="preserve"> versé </w:t>
      </w:r>
      <w:r w:rsidR="004170D5" w:rsidRPr="00C73365">
        <w:rPr>
          <w:rFonts w:asciiTheme="minorHAnsi" w:hAnsiTheme="minorHAnsi" w:cstheme="minorHAnsi"/>
          <w:lang w:val="fr-FR"/>
        </w:rPr>
        <w:t>d’argent</w:t>
      </w:r>
      <w:r w:rsidRPr="00C73365">
        <w:rPr>
          <w:rFonts w:asciiTheme="minorHAnsi" w:hAnsiTheme="minorHAnsi" w:cstheme="minorHAnsi"/>
          <w:lang w:val="fr-FR"/>
        </w:rPr>
        <w:t xml:space="preserve"> aux œuvres sociales</w:t>
      </w:r>
      <w:r w:rsidR="004170D5" w:rsidRPr="00C73365">
        <w:rPr>
          <w:rFonts w:asciiTheme="minorHAnsi" w:hAnsiTheme="minorHAnsi" w:cstheme="minorHAnsi"/>
          <w:lang w:val="fr-FR"/>
        </w:rPr>
        <w:t xml:space="preserve"> en 2017</w:t>
      </w:r>
      <w:r w:rsidRPr="00C73365">
        <w:rPr>
          <w:rFonts w:asciiTheme="minorHAnsi" w:hAnsiTheme="minorHAnsi" w:cstheme="minorHAnsi"/>
          <w:lang w:val="fr-FR"/>
        </w:rPr>
        <w:t>.</w:t>
      </w:r>
    </w:p>
    <w:p w:rsidR="00136669" w:rsidRPr="00C73365" w:rsidRDefault="00136669" w:rsidP="004572A0">
      <w:pPr>
        <w:pStyle w:val="BodyText"/>
        <w:rPr>
          <w:rFonts w:asciiTheme="minorHAnsi" w:hAnsiTheme="minorHAnsi" w:cstheme="minorHAnsi"/>
          <w:b/>
          <w:lang w:val="fr-FR"/>
        </w:rPr>
      </w:pPr>
      <w:r w:rsidRPr="00C73365">
        <w:rPr>
          <w:rFonts w:asciiTheme="minorHAnsi" w:hAnsiTheme="minorHAnsi" w:cstheme="minorHAnsi"/>
          <w:lang w:val="fr-FR"/>
        </w:rPr>
        <w:t>Sous-traitance et fournisseurs</w:t>
      </w:r>
      <w:r w:rsidR="00F77970" w:rsidRPr="00C73365">
        <w:rPr>
          <w:rFonts w:asciiTheme="minorHAnsi" w:hAnsiTheme="minorHAnsi" w:cstheme="minorHAnsi"/>
          <w:lang w:val="fr-FR"/>
        </w:rPr>
        <w:t xml:space="preserve"> :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dépend de consultants externes et de sous-traitants (tels que des chercheurs universitaires, des médecins spécialistes et des organismes de recherche clinique et préclinique) pour le développement de ses études. De plus, la Société dépend de tiers pour la fabrication et la fourniture de tout produit.</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Lors de la sélection de nouveaux partenaires, les dirigeants de la Société vérifient les états financiers, la solvabilité, et la réputation de ceux-ci, sans pour autant s</w:t>
      </w:r>
      <w:r w:rsidR="004572A0" w:rsidRPr="00C73365">
        <w:rPr>
          <w:rFonts w:asciiTheme="minorHAnsi" w:hAnsiTheme="minorHAnsi" w:cstheme="minorHAnsi"/>
          <w:lang w:val="fr-FR"/>
        </w:rPr>
        <w:t>’</w:t>
      </w:r>
      <w:r w:rsidRPr="00C73365">
        <w:rPr>
          <w:rFonts w:asciiTheme="minorHAnsi" w:hAnsiTheme="minorHAnsi" w:cstheme="minorHAnsi"/>
          <w:lang w:val="fr-FR"/>
        </w:rPr>
        <w:t>appesantir sur leurs enjeux sociaux et environnementaux. Ainsi, la politique achat n</w:t>
      </w:r>
      <w:r w:rsidR="004572A0" w:rsidRPr="00C73365">
        <w:rPr>
          <w:rFonts w:asciiTheme="minorHAnsi" w:hAnsiTheme="minorHAnsi" w:cstheme="minorHAnsi"/>
          <w:lang w:val="fr-FR"/>
        </w:rPr>
        <w:t>’</w:t>
      </w:r>
      <w:r w:rsidRPr="00C73365">
        <w:rPr>
          <w:rFonts w:asciiTheme="minorHAnsi" w:hAnsiTheme="minorHAnsi" w:cstheme="minorHAnsi"/>
          <w:lang w:val="fr-FR"/>
        </w:rPr>
        <w:t>intègre pas explicitement à ce jour la prise en compte des enjeux sociaux et environnementaux.</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contrats liant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à ses cocontractants ne comportent pas de dispositions relatives aux pratiques éthiques, environnementales et sociales au-delà des exigences règlementaires applicables.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Cependant, aucune problématique d</w:t>
      </w:r>
      <w:r w:rsidR="004572A0" w:rsidRPr="00C73365">
        <w:rPr>
          <w:rFonts w:asciiTheme="minorHAnsi" w:hAnsiTheme="minorHAnsi" w:cstheme="minorHAnsi"/>
          <w:lang w:val="fr-FR"/>
        </w:rPr>
        <w:t>’</w:t>
      </w:r>
      <w:r w:rsidRPr="00C73365">
        <w:rPr>
          <w:rFonts w:asciiTheme="minorHAnsi" w:hAnsiTheme="minorHAnsi" w:cstheme="minorHAnsi"/>
          <w:lang w:val="fr-FR"/>
        </w:rPr>
        <w:t>ordre éthique liée aux pratiques de ses cocontractants n</w:t>
      </w:r>
      <w:r w:rsidR="004572A0" w:rsidRPr="00C73365">
        <w:rPr>
          <w:rFonts w:asciiTheme="minorHAnsi" w:hAnsiTheme="minorHAnsi" w:cstheme="minorHAnsi"/>
          <w:lang w:val="fr-FR"/>
        </w:rPr>
        <w:t>’</w:t>
      </w:r>
      <w:r w:rsidRPr="00C73365">
        <w:rPr>
          <w:rFonts w:asciiTheme="minorHAnsi" w:hAnsiTheme="minorHAnsi" w:cstheme="minorHAnsi"/>
          <w:lang w:val="fr-FR"/>
        </w:rPr>
        <w:t>a été révélée en 201</w:t>
      </w:r>
      <w:r w:rsidR="004170D5" w:rsidRPr="00C73365">
        <w:rPr>
          <w:rFonts w:asciiTheme="minorHAnsi" w:hAnsiTheme="minorHAnsi" w:cstheme="minorHAnsi"/>
          <w:lang w:val="fr-FR"/>
        </w:rPr>
        <w:t>7</w:t>
      </w:r>
      <w:r w:rsidRPr="00C73365">
        <w:rPr>
          <w:rFonts w:asciiTheme="minorHAnsi" w:hAnsiTheme="minorHAnsi" w:cstheme="minorHAnsi"/>
          <w:lang w:val="fr-FR"/>
        </w:rPr>
        <w:t>.</w:t>
      </w:r>
    </w:p>
    <w:p w:rsidR="00136669" w:rsidRPr="00C73365" w:rsidRDefault="00136669" w:rsidP="004572A0">
      <w:pPr>
        <w:pStyle w:val="BodyText"/>
        <w:rPr>
          <w:rFonts w:asciiTheme="minorHAnsi" w:hAnsiTheme="minorHAnsi" w:cstheme="minorHAnsi"/>
          <w:b/>
          <w:lang w:val="fr-FR"/>
        </w:rPr>
      </w:pPr>
      <w:r w:rsidRPr="00C73365">
        <w:rPr>
          <w:rFonts w:asciiTheme="minorHAnsi" w:hAnsiTheme="minorHAnsi" w:cstheme="minorHAnsi"/>
          <w:lang w:val="fr-FR"/>
        </w:rPr>
        <w:t>Sous-traitance de certaines activités Ressources Humaines</w:t>
      </w:r>
      <w:r w:rsidR="00F77970" w:rsidRPr="00C73365">
        <w:rPr>
          <w:rFonts w:asciiTheme="minorHAnsi" w:hAnsiTheme="minorHAnsi" w:cstheme="minorHAnsi"/>
          <w:lang w:val="fr-FR"/>
        </w:rPr>
        <w:t xml:space="preserve"> : </w:t>
      </w:r>
      <w:r w:rsidRPr="00C73365">
        <w:rPr>
          <w:rFonts w:asciiTheme="minorHAnsi" w:hAnsiTheme="minorHAnsi" w:cstheme="minorHAnsi"/>
          <w:lang w:val="fr-FR"/>
        </w:rPr>
        <w:t>Les activités RH sont aujourd</w:t>
      </w:r>
      <w:r w:rsidR="004572A0" w:rsidRPr="00C73365">
        <w:rPr>
          <w:rFonts w:asciiTheme="minorHAnsi" w:hAnsiTheme="minorHAnsi" w:cstheme="minorHAnsi"/>
          <w:lang w:val="fr-FR"/>
        </w:rPr>
        <w:t>’</w:t>
      </w:r>
      <w:r w:rsidRPr="00C73365">
        <w:rPr>
          <w:rFonts w:asciiTheme="minorHAnsi" w:hAnsiTheme="minorHAnsi" w:cstheme="minorHAnsi"/>
          <w:lang w:val="fr-FR"/>
        </w:rPr>
        <w:t>hui centralisées dans la Société. La Société travaille néanmoins avec des prestataires spécialisés (la gestion des paies et déclarations sociales).</w:t>
      </w:r>
    </w:p>
    <w:p w:rsidR="00136669" w:rsidRPr="00C73365" w:rsidRDefault="00136669" w:rsidP="004572A0">
      <w:pPr>
        <w:pStyle w:val="BodyText"/>
        <w:rPr>
          <w:rFonts w:asciiTheme="minorHAnsi" w:hAnsiTheme="minorHAnsi" w:cstheme="minorHAnsi"/>
          <w:b/>
          <w:lang w:val="fr-FR"/>
        </w:rPr>
      </w:pPr>
      <w:r w:rsidRPr="00C73365">
        <w:rPr>
          <w:rFonts w:asciiTheme="minorHAnsi" w:hAnsiTheme="minorHAnsi" w:cstheme="minorHAnsi"/>
          <w:lang w:val="fr-FR"/>
        </w:rPr>
        <w:t>Loyauté des pratiques - Attention portée à la sécurité des patients et des consommateurs</w:t>
      </w:r>
      <w:r w:rsidR="00F77970" w:rsidRPr="00C73365">
        <w:rPr>
          <w:rFonts w:asciiTheme="minorHAnsi" w:hAnsiTheme="minorHAnsi" w:cstheme="minorHAnsi"/>
          <w:lang w:val="fr-FR"/>
        </w:rPr>
        <w:t xml:space="preserve"> : </w:t>
      </w:r>
      <w:r w:rsidRPr="00C73365">
        <w:rPr>
          <w:rFonts w:asciiTheme="minorHAnsi" w:hAnsiTheme="minorHAnsi" w:cstheme="minorHAnsi"/>
          <w:lang w:val="fr-FR"/>
        </w:rPr>
        <w:t>Conformément à la réglementation et au référentiel (« bonnes pratiques ») en vigueur qui régissent les activités de développement clinique, la responsabilité d</w:t>
      </w:r>
      <w:r w:rsidR="004572A0" w:rsidRPr="00C73365">
        <w:rPr>
          <w:rFonts w:asciiTheme="minorHAnsi" w:hAnsiTheme="minorHAnsi" w:cstheme="minorHAnsi"/>
          <w:lang w:val="fr-FR"/>
        </w:rPr>
        <w:t>’</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engagée vis-à-vis des volontaires sains ou patients qui librement consentent à participer aux essais cliniques initiés par la société. Cette responsabilité couvre les aspects pharmaceutiques liés au produit mais aussi ceux liés au statut de promoteur d</w:t>
      </w:r>
      <w:r w:rsidR="004572A0" w:rsidRPr="00C73365">
        <w:rPr>
          <w:rFonts w:asciiTheme="minorHAnsi" w:hAnsiTheme="minorHAnsi" w:cstheme="minorHAnsi"/>
          <w:lang w:val="fr-FR"/>
        </w:rPr>
        <w:t>’</w:t>
      </w:r>
      <w:r w:rsidRPr="00C73365">
        <w:rPr>
          <w:rFonts w:asciiTheme="minorHAnsi" w:hAnsiTheme="minorHAnsi" w:cstheme="minorHAnsi"/>
          <w:lang w:val="fr-FR"/>
        </w:rPr>
        <w:t>essais cliniques. Elle concerne plus particulièrement la survenue d</w:t>
      </w:r>
      <w:r w:rsidR="004572A0" w:rsidRPr="00C73365">
        <w:rPr>
          <w:rFonts w:asciiTheme="minorHAnsi" w:hAnsiTheme="minorHAnsi" w:cstheme="minorHAnsi"/>
          <w:lang w:val="fr-FR"/>
        </w:rPr>
        <w:t>’</w:t>
      </w:r>
      <w:r w:rsidRPr="00C73365">
        <w:rPr>
          <w:rFonts w:asciiTheme="minorHAnsi" w:hAnsiTheme="minorHAnsi" w:cstheme="minorHAnsi"/>
          <w:lang w:val="fr-FR"/>
        </w:rPr>
        <w:t>effets indésirables alors même que les prescriptions et procédure prévues par le protocole ont été respectées. Cette responsabilité s</w:t>
      </w:r>
      <w:r w:rsidR="004572A0" w:rsidRPr="00C73365">
        <w:rPr>
          <w:rFonts w:asciiTheme="minorHAnsi" w:hAnsiTheme="minorHAnsi" w:cstheme="minorHAnsi"/>
          <w:lang w:val="fr-FR"/>
        </w:rPr>
        <w:t>’</w:t>
      </w:r>
      <w:r w:rsidRPr="00C73365">
        <w:rPr>
          <w:rFonts w:asciiTheme="minorHAnsi" w:hAnsiTheme="minorHAnsi" w:cstheme="minorHAnsi"/>
          <w:lang w:val="fr-FR"/>
        </w:rPr>
        <w:t>applique notamment en cas d</w:t>
      </w:r>
      <w:r w:rsidR="004572A0" w:rsidRPr="00C73365">
        <w:rPr>
          <w:rFonts w:asciiTheme="minorHAnsi" w:hAnsiTheme="minorHAnsi" w:cstheme="minorHAnsi"/>
          <w:lang w:val="fr-FR"/>
        </w:rPr>
        <w:t>’</w:t>
      </w:r>
      <w:r w:rsidRPr="00C73365">
        <w:rPr>
          <w:rFonts w:asciiTheme="minorHAnsi" w:hAnsiTheme="minorHAnsi" w:cstheme="minorHAnsi"/>
          <w:lang w:val="fr-FR"/>
        </w:rPr>
        <w:t>effets indésirables survenant tardivement après l</w:t>
      </w:r>
      <w:r w:rsidR="004572A0" w:rsidRPr="00C73365">
        <w:rPr>
          <w:rFonts w:asciiTheme="minorHAnsi" w:hAnsiTheme="minorHAnsi" w:cstheme="minorHAnsi"/>
          <w:lang w:val="fr-FR"/>
        </w:rPr>
        <w:t>’</w:t>
      </w:r>
      <w:r w:rsidRPr="00C73365">
        <w:rPr>
          <w:rFonts w:asciiTheme="minorHAnsi" w:hAnsiTheme="minorHAnsi" w:cstheme="minorHAnsi"/>
          <w:lang w:val="fr-FR"/>
        </w:rPr>
        <w:t>arrêt du traitement, et ce dès qu</w:t>
      </w:r>
      <w:r w:rsidR="004572A0" w:rsidRPr="00C73365">
        <w:rPr>
          <w:rFonts w:asciiTheme="minorHAnsi" w:hAnsiTheme="minorHAnsi" w:cstheme="minorHAnsi"/>
          <w:lang w:val="fr-FR"/>
        </w:rPr>
        <w:t>’</w:t>
      </w:r>
      <w:r w:rsidRPr="00C73365">
        <w:rPr>
          <w:rFonts w:asciiTheme="minorHAnsi" w:hAnsiTheme="minorHAnsi" w:cstheme="minorHAnsi"/>
          <w:lang w:val="fr-FR"/>
        </w:rPr>
        <w:t>une relation de causalité entre la survenue de l</w:t>
      </w:r>
      <w:r w:rsidR="004572A0" w:rsidRPr="00C73365">
        <w:rPr>
          <w:rFonts w:asciiTheme="minorHAnsi" w:hAnsiTheme="minorHAnsi" w:cstheme="minorHAnsi"/>
          <w:lang w:val="fr-FR"/>
        </w:rPr>
        <w:t>’</w:t>
      </w:r>
      <w:r w:rsidRPr="00C73365">
        <w:rPr>
          <w:rFonts w:asciiTheme="minorHAnsi" w:hAnsiTheme="minorHAnsi" w:cstheme="minorHAnsi"/>
          <w:lang w:val="fr-FR"/>
        </w:rPr>
        <w:t>évènement et le produit d</w:t>
      </w:r>
      <w:r w:rsidR="004572A0" w:rsidRPr="00C73365">
        <w:rPr>
          <w:rFonts w:asciiTheme="minorHAnsi" w:hAnsiTheme="minorHAnsi" w:cstheme="minorHAnsi"/>
          <w:lang w:val="fr-FR"/>
        </w:rPr>
        <w:t>’</w:t>
      </w:r>
      <w:r w:rsidRPr="00C73365">
        <w:rPr>
          <w:rFonts w:asciiTheme="minorHAnsi" w:hAnsiTheme="minorHAnsi" w:cstheme="minorHAnsi"/>
          <w:lang w:val="fr-FR"/>
        </w:rPr>
        <w:t>expérimentation est avérée.</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 xml:space="preserve">Afin de garantir pleinement la sécurité des volontaires dans ses essais,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se conforme strictement à la réglementation en vigueur dans chacun des pays qui autorise ses essais mais aussi aux principes de bonnes pratiques (Bonne Pratiques Cliniques définies par la Commission Internationale d’Harmonisation) et charte éthique (Déclaration d’Helsinki) qui encadrent le développement clinique international. Le respect de ce cadre réglementaire est surveillé de façon continue par les activités de monitorage et de contrôle de qualité mises en place et conduites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ou, sous sa responsabilité, par ses partenaires. Il est de plus régulièrement évalué et ce de façon indépendante par le département Assurance Qualité ainsi que par les Autorités Compétentes sous la forme d’audits et d’inspections.</w:t>
      </w:r>
    </w:p>
    <w:p w:rsidR="00136669" w:rsidRPr="00C73365"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 xml:space="preserve">Dans le but de prévenir des comportements déviants, la Société a mis en place des procédures qui régissent la conclusion des contrats avec des tiers. Dans le cadre de ces procédures, plusieurs fonctions sont appelées à valider ces accords dans leur principe et leur contenu. En effet, des seuils de validation sont mis en place à partir de certains montants d’achats et un audit qualité peut être réalisé pour certains tiers et fournisseurs. Cet audit devra déterminer la pertinence du service proposé par rapport au besoin, revoir le contrat puis suivre à long terme des prestations selon le cahier des charges. </w:t>
      </w:r>
    </w:p>
    <w:p w:rsidR="00E92A57" w:rsidRDefault="00136669" w:rsidP="004572A0">
      <w:pPr>
        <w:pStyle w:val="BodyText"/>
        <w:rPr>
          <w:rFonts w:asciiTheme="minorHAnsi" w:hAnsiTheme="minorHAnsi" w:cstheme="minorHAnsi"/>
          <w:lang w:val="fr-FR"/>
        </w:rPr>
      </w:pPr>
      <w:r w:rsidRPr="00C73365">
        <w:rPr>
          <w:rFonts w:asciiTheme="minorHAnsi" w:hAnsiTheme="minorHAnsi" w:cstheme="minorHAnsi"/>
          <w:lang w:val="fr-FR"/>
        </w:rPr>
        <w:t>Autres actions engagées en faveur des droits de l’homme</w:t>
      </w:r>
      <w:r w:rsidR="00F77970" w:rsidRPr="00C73365">
        <w:rPr>
          <w:rFonts w:asciiTheme="minorHAnsi" w:hAnsiTheme="minorHAnsi" w:cstheme="minorHAnsi"/>
          <w:lang w:val="fr-FR"/>
        </w:rPr>
        <w:t> : n</w:t>
      </w:r>
      <w:r w:rsidRPr="00C73365">
        <w:rPr>
          <w:rFonts w:asciiTheme="minorHAnsi" w:hAnsiTheme="minorHAnsi" w:cstheme="minorHAnsi"/>
          <w:lang w:val="fr-FR"/>
        </w:rPr>
        <w:t>ous n’avons pas identifié d</w:t>
      </w:r>
      <w:r w:rsidR="004572A0" w:rsidRPr="00C73365">
        <w:rPr>
          <w:rFonts w:asciiTheme="minorHAnsi" w:hAnsiTheme="minorHAnsi" w:cstheme="minorHAnsi"/>
          <w:lang w:val="fr-FR"/>
        </w:rPr>
        <w:t>’</w:t>
      </w:r>
      <w:r w:rsidRPr="00C73365">
        <w:rPr>
          <w:rFonts w:asciiTheme="minorHAnsi" w:hAnsiTheme="minorHAnsi" w:cstheme="minorHAnsi"/>
          <w:lang w:val="fr-FR"/>
        </w:rPr>
        <w:t>enjeu à cet égard</w:t>
      </w:r>
    </w:p>
    <w:p w:rsidR="00E92A57" w:rsidRDefault="00E92A57">
      <w:pPr>
        <w:spacing w:after="160" w:line="259" w:lineRule="auto"/>
        <w:jc w:val="left"/>
        <w:rPr>
          <w:rFonts w:asciiTheme="minorHAnsi" w:hAnsiTheme="minorHAnsi" w:cstheme="minorHAnsi"/>
          <w:szCs w:val="20"/>
          <w:lang w:val="fr-FR"/>
        </w:rPr>
      </w:pPr>
      <w:r>
        <w:rPr>
          <w:rFonts w:asciiTheme="minorHAnsi" w:hAnsiTheme="minorHAnsi" w:cstheme="minorHAnsi"/>
          <w:lang w:val="fr-FR"/>
        </w:rPr>
        <w:br w:type="page"/>
      </w:r>
    </w:p>
    <w:p w:rsidR="00136669" w:rsidRPr="00C73365" w:rsidRDefault="00136669" w:rsidP="004572A0">
      <w:pPr>
        <w:pStyle w:val="BodyText"/>
        <w:rPr>
          <w:rFonts w:asciiTheme="minorHAnsi" w:hAnsiTheme="minorHAnsi" w:cstheme="minorHAnsi"/>
          <w:b/>
          <w:lang w:val="fr-FR"/>
        </w:rPr>
      </w:pPr>
    </w:p>
    <w:p w:rsidR="00136669" w:rsidRDefault="00136669" w:rsidP="00136669">
      <w:pPr>
        <w:pStyle w:val="ListParagraph"/>
        <w:numPr>
          <w:ilvl w:val="2"/>
          <w:numId w:val="9"/>
        </w:numPr>
        <w:outlineLvl w:val="2"/>
        <w:rPr>
          <w:rFonts w:asciiTheme="minorHAnsi" w:hAnsiTheme="minorHAnsi" w:cstheme="minorHAnsi"/>
          <w:b/>
          <w:color w:val="7030A0"/>
          <w:sz w:val="22"/>
          <w:szCs w:val="22"/>
          <w:lang w:val="fr-FR"/>
        </w:rPr>
      </w:pPr>
      <w:r w:rsidRPr="00C73365">
        <w:rPr>
          <w:rFonts w:asciiTheme="minorHAnsi" w:hAnsiTheme="minorHAnsi" w:cstheme="minorHAnsi"/>
          <w:b/>
          <w:color w:val="7030A0"/>
          <w:sz w:val="22"/>
          <w:szCs w:val="22"/>
          <w:lang w:val="fr-FR"/>
        </w:rPr>
        <w:t xml:space="preserve">Informations Sociétales Rapport du Commissaire aux comptes désigné organisme tiers-indépendant sur les informations sociales, environnementales et sociétales </w:t>
      </w:r>
    </w:p>
    <w:p w:rsidR="009A2D1C" w:rsidRDefault="009A2D1C" w:rsidP="009A2D1C">
      <w:pPr>
        <w:rPr>
          <w:lang w:val="fr-FR"/>
        </w:rPr>
      </w:pPr>
    </w:p>
    <w:p w:rsidR="000807BD" w:rsidRDefault="009A2D1C" w:rsidP="009A2D1C">
      <w:pPr>
        <w:jc w:val="center"/>
        <w:rPr>
          <w:rFonts w:asciiTheme="minorHAnsi" w:hAnsiTheme="minorHAnsi" w:cstheme="minorHAnsi"/>
          <w:b/>
          <w:color w:val="7030A0"/>
          <w:sz w:val="22"/>
          <w:szCs w:val="22"/>
          <w:lang w:val="fr-FR"/>
        </w:rPr>
      </w:pPr>
      <w:r>
        <w:rPr>
          <w:noProof/>
          <w:lang w:val="fr-FR" w:eastAsia="fr-FR"/>
        </w:rPr>
        <w:drawing>
          <wp:inline distT="0" distB="0" distL="0" distR="0" wp14:anchorId="46C7DD76" wp14:editId="7C87D9F2">
            <wp:extent cx="3790950" cy="56292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90950" cy="5629275"/>
                    </a:xfrm>
                    <a:prstGeom prst="rect">
                      <a:avLst/>
                    </a:prstGeom>
                  </pic:spPr>
                </pic:pic>
              </a:graphicData>
            </a:graphic>
          </wp:inline>
        </w:drawing>
      </w:r>
    </w:p>
    <w:p w:rsidR="009A2D1C" w:rsidRDefault="009A2D1C" w:rsidP="009A2D1C">
      <w:pPr>
        <w:jc w:val="center"/>
        <w:rPr>
          <w:rFonts w:asciiTheme="minorHAnsi" w:hAnsiTheme="minorHAnsi" w:cstheme="minorHAnsi"/>
          <w:b/>
          <w:color w:val="7030A0"/>
          <w:sz w:val="22"/>
          <w:szCs w:val="22"/>
          <w:lang w:val="fr-FR"/>
        </w:rPr>
      </w:pPr>
    </w:p>
    <w:p w:rsidR="009A2D1C" w:rsidRDefault="009A2D1C" w:rsidP="009A2D1C">
      <w:pPr>
        <w:jc w:val="center"/>
        <w:rPr>
          <w:rFonts w:asciiTheme="minorHAnsi" w:hAnsiTheme="minorHAnsi" w:cstheme="minorHAnsi"/>
          <w:b/>
          <w:color w:val="7030A0"/>
          <w:sz w:val="22"/>
          <w:szCs w:val="22"/>
          <w:lang w:val="fr-FR"/>
        </w:rPr>
      </w:pPr>
      <w:r>
        <w:rPr>
          <w:noProof/>
          <w:lang w:val="fr-FR" w:eastAsia="fr-FR"/>
        </w:rPr>
        <w:lastRenderedPageBreak/>
        <w:drawing>
          <wp:inline distT="0" distB="0" distL="0" distR="0" wp14:anchorId="6BF2FF18" wp14:editId="64313148">
            <wp:extent cx="3962400" cy="59055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62400" cy="5905500"/>
                    </a:xfrm>
                    <a:prstGeom prst="rect">
                      <a:avLst/>
                    </a:prstGeom>
                  </pic:spPr>
                </pic:pic>
              </a:graphicData>
            </a:graphic>
          </wp:inline>
        </w:drawing>
      </w:r>
    </w:p>
    <w:p w:rsidR="009A2D1C" w:rsidRDefault="009A2D1C" w:rsidP="009A2D1C">
      <w:pPr>
        <w:jc w:val="center"/>
        <w:rPr>
          <w:rFonts w:asciiTheme="minorHAnsi" w:hAnsiTheme="minorHAnsi" w:cstheme="minorHAnsi"/>
          <w:b/>
          <w:color w:val="7030A0"/>
          <w:sz w:val="22"/>
          <w:szCs w:val="22"/>
          <w:lang w:val="fr-FR"/>
        </w:rPr>
      </w:pPr>
      <w:r>
        <w:rPr>
          <w:noProof/>
          <w:lang w:val="fr-FR" w:eastAsia="fr-FR"/>
        </w:rPr>
        <w:lastRenderedPageBreak/>
        <w:drawing>
          <wp:inline distT="0" distB="0" distL="0" distR="0" wp14:anchorId="23C4B06F" wp14:editId="4BB15143">
            <wp:extent cx="3952875" cy="576262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52875" cy="5762625"/>
                    </a:xfrm>
                    <a:prstGeom prst="rect">
                      <a:avLst/>
                    </a:prstGeom>
                  </pic:spPr>
                </pic:pic>
              </a:graphicData>
            </a:graphic>
          </wp:inline>
        </w:drawing>
      </w:r>
    </w:p>
    <w:p w:rsidR="009A2D1C" w:rsidRDefault="009A2D1C" w:rsidP="009A2D1C">
      <w:pPr>
        <w:jc w:val="center"/>
        <w:rPr>
          <w:rFonts w:asciiTheme="minorHAnsi" w:hAnsiTheme="minorHAnsi" w:cstheme="minorHAnsi"/>
          <w:b/>
          <w:color w:val="7030A0"/>
          <w:sz w:val="22"/>
          <w:szCs w:val="22"/>
          <w:lang w:val="fr-FR"/>
        </w:rPr>
      </w:pPr>
    </w:p>
    <w:p w:rsidR="009A2D1C" w:rsidRDefault="009A2D1C" w:rsidP="009A2D1C">
      <w:pPr>
        <w:jc w:val="center"/>
        <w:rPr>
          <w:rFonts w:asciiTheme="minorHAnsi" w:hAnsiTheme="minorHAnsi" w:cstheme="minorHAnsi"/>
          <w:b/>
          <w:color w:val="7030A0"/>
          <w:sz w:val="22"/>
          <w:szCs w:val="22"/>
          <w:lang w:val="fr-FR"/>
        </w:rPr>
      </w:pPr>
      <w:r>
        <w:rPr>
          <w:noProof/>
          <w:lang w:val="fr-FR" w:eastAsia="fr-FR"/>
        </w:rPr>
        <w:lastRenderedPageBreak/>
        <w:drawing>
          <wp:inline distT="0" distB="0" distL="0" distR="0" wp14:anchorId="1E974B3F" wp14:editId="2D2E6B3B">
            <wp:extent cx="3981450" cy="58578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1450" cy="5857875"/>
                    </a:xfrm>
                    <a:prstGeom prst="rect">
                      <a:avLst/>
                    </a:prstGeom>
                  </pic:spPr>
                </pic:pic>
              </a:graphicData>
            </a:graphic>
          </wp:inline>
        </w:drawing>
      </w:r>
    </w:p>
    <w:p w:rsidR="009A2D1C" w:rsidRDefault="009A2D1C" w:rsidP="009A2D1C">
      <w:pPr>
        <w:jc w:val="center"/>
        <w:rPr>
          <w:rFonts w:asciiTheme="minorHAnsi" w:hAnsiTheme="minorHAnsi" w:cstheme="minorHAnsi"/>
          <w:b/>
          <w:color w:val="7030A0"/>
          <w:sz w:val="22"/>
          <w:szCs w:val="22"/>
          <w:lang w:val="fr-FR"/>
        </w:rPr>
      </w:pPr>
    </w:p>
    <w:p w:rsidR="009A2D1C" w:rsidRDefault="009A2D1C" w:rsidP="009A2D1C">
      <w:pPr>
        <w:jc w:val="center"/>
        <w:rPr>
          <w:rFonts w:asciiTheme="minorHAnsi" w:hAnsiTheme="minorHAnsi" w:cstheme="minorHAnsi"/>
          <w:b/>
          <w:color w:val="7030A0"/>
          <w:sz w:val="22"/>
          <w:szCs w:val="22"/>
          <w:lang w:val="fr-FR"/>
        </w:rPr>
      </w:pPr>
      <w:r>
        <w:rPr>
          <w:noProof/>
          <w:lang w:val="fr-FR" w:eastAsia="fr-FR"/>
        </w:rPr>
        <w:lastRenderedPageBreak/>
        <w:drawing>
          <wp:inline distT="0" distB="0" distL="0" distR="0" wp14:anchorId="2E4553F7" wp14:editId="34B305EB">
            <wp:extent cx="4048125" cy="577215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48125" cy="5772150"/>
                    </a:xfrm>
                    <a:prstGeom prst="rect">
                      <a:avLst/>
                    </a:prstGeom>
                  </pic:spPr>
                </pic:pic>
              </a:graphicData>
            </a:graphic>
          </wp:inline>
        </w:drawing>
      </w:r>
    </w:p>
    <w:p w:rsidR="009A2D1C" w:rsidRDefault="009A2D1C" w:rsidP="009A2D1C">
      <w:pPr>
        <w:jc w:val="center"/>
        <w:rPr>
          <w:rFonts w:asciiTheme="minorHAnsi" w:hAnsiTheme="minorHAnsi" w:cstheme="minorHAnsi"/>
          <w:b/>
          <w:color w:val="7030A0"/>
          <w:sz w:val="22"/>
          <w:szCs w:val="22"/>
          <w:lang w:val="fr-FR"/>
        </w:rPr>
      </w:pPr>
      <w:r>
        <w:rPr>
          <w:noProof/>
          <w:lang w:val="fr-FR" w:eastAsia="fr-FR"/>
        </w:rPr>
        <w:lastRenderedPageBreak/>
        <w:drawing>
          <wp:inline distT="0" distB="0" distL="0" distR="0" wp14:anchorId="1F228C92" wp14:editId="0B776EB8">
            <wp:extent cx="3943350" cy="59055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43350" cy="5905500"/>
                    </a:xfrm>
                    <a:prstGeom prst="rect">
                      <a:avLst/>
                    </a:prstGeom>
                  </pic:spPr>
                </pic:pic>
              </a:graphicData>
            </a:graphic>
          </wp:inline>
        </w:drawing>
      </w:r>
    </w:p>
    <w:p w:rsidR="00CF5455" w:rsidRDefault="00CF5455" w:rsidP="00CF5455">
      <w:pPr>
        <w:rPr>
          <w:color w:val="7030A0"/>
          <w:sz w:val="22"/>
          <w:szCs w:val="22"/>
          <w:lang w:val="fr-FR"/>
        </w:rPr>
      </w:pPr>
    </w:p>
    <w:p w:rsidR="00CF5455" w:rsidRDefault="00CF5455" w:rsidP="00CF5455">
      <w:pPr>
        <w:rPr>
          <w:color w:val="7030A0"/>
          <w:sz w:val="22"/>
          <w:szCs w:val="22"/>
          <w:lang w:val="fr-FR"/>
        </w:rPr>
      </w:pPr>
    </w:p>
    <w:p w:rsidR="00CF5455" w:rsidRDefault="00CF5455" w:rsidP="00CF5455">
      <w:pPr>
        <w:rPr>
          <w:color w:val="7030A0"/>
          <w:sz w:val="22"/>
          <w:szCs w:val="22"/>
          <w:lang w:val="fr-FR"/>
        </w:rPr>
      </w:pPr>
    </w:p>
    <w:p w:rsidR="00CF5455" w:rsidRDefault="00CF5455" w:rsidP="00CF5455">
      <w:pPr>
        <w:rPr>
          <w:color w:val="7030A0"/>
          <w:sz w:val="22"/>
          <w:szCs w:val="22"/>
          <w:lang w:val="fr-FR"/>
        </w:rPr>
      </w:pPr>
    </w:p>
    <w:p w:rsidR="00CF5455" w:rsidRDefault="00CF5455" w:rsidP="00CF5455">
      <w:pPr>
        <w:rPr>
          <w:color w:val="7030A0"/>
          <w:sz w:val="22"/>
          <w:szCs w:val="22"/>
          <w:lang w:val="fr-FR"/>
        </w:rPr>
      </w:pPr>
    </w:p>
    <w:p w:rsidR="00CF5455" w:rsidRDefault="00CF5455" w:rsidP="00CF5455">
      <w:pPr>
        <w:rPr>
          <w:color w:val="7030A0"/>
          <w:sz w:val="22"/>
          <w:szCs w:val="22"/>
          <w:lang w:val="fr-FR"/>
        </w:rPr>
      </w:pPr>
    </w:p>
    <w:p w:rsidR="00CF5455" w:rsidRPr="00CF5455" w:rsidRDefault="00CF5455" w:rsidP="00CF5455">
      <w:pPr>
        <w:rPr>
          <w:color w:val="7030A0"/>
          <w:sz w:val="22"/>
          <w:szCs w:val="22"/>
          <w:lang w:val="fr-FR"/>
        </w:rPr>
      </w:pPr>
    </w:p>
    <w:p w:rsidR="00F46C7B" w:rsidRPr="00C73365" w:rsidRDefault="00F46C7B" w:rsidP="00CF5455">
      <w:pPr>
        <w:pStyle w:val="ConmainL1"/>
        <w:numPr>
          <w:ilvl w:val="0"/>
          <w:numId w:val="9"/>
        </w:numPr>
        <w:spacing w:after="120"/>
        <w:rPr>
          <w:rFonts w:asciiTheme="minorHAnsi" w:hAnsiTheme="minorHAnsi" w:cstheme="minorHAnsi"/>
          <w:lang w:val="fr-FR"/>
        </w:rPr>
      </w:pPr>
      <w:bookmarkStart w:id="321" w:name="_Toc462673242"/>
      <w:bookmarkStart w:id="322" w:name="_Toc467835588"/>
      <w:bookmarkStart w:id="323" w:name="_Toc290245289"/>
      <w:bookmarkStart w:id="324" w:name="_Toc290293214"/>
      <w:bookmarkStart w:id="325" w:name="_Toc290294847"/>
      <w:bookmarkStart w:id="326" w:name="_Toc512863904"/>
      <w:r w:rsidRPr="00C73365">
        <w:rPr>
          <w:rFonts w:asciiTheme="minorHAnsi" w:hAnsiTheme="minorHAnsi" w:cstheme="minorHAnsi"/>
          <w:lang w:val="fr-FR"/>
        </w:rPr>
        <w:lastRenderedPageBreak/>
        <w:t>ORGANIGRAMME</w:t>
      </w:r>
      <w:bookmarkEnd w:id="321"/>
      <w:bookmarkEnd w:id="322"/>
      <w:bookmarkEnd w:id="326"/>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327" w:name="_Toc402884134"/>
      <w:bookmarkStart w:id="328" w:name="_Toc462673243"/>
      <w:bookmarkStart w:id="329" w:name="_Toc467835589"/>
      <w:bookmarkStart w:id="330" w:name="_Toc512863905"/>
      <w:r w:rsidRPr="00C73365">
        <w:rPr>
          <w:rFonts w:asciiTheme="minorHAnsi" w:hAnsiTheme="minorHAnsi" w:cstheme="minorHAnsi"/>
          <w:sz w:val="22"/>
          <w:szCs w:val="22"/>
          <w:lang w:val="fr-FR"/>
        </w:rPr>
        <w:t>Organisation de la Société</w:t>
      </w:r>
      <w:bookmarkEnd w:id="327"/>
      <w:bookmarkEnd w:id="328"/>
      <w:bookmarkEnd w:id="329"/>
      <w:bookmarkEnd w:id="330"/>
    </w:p>
    <w:p w:rsidR="00F46C7B" w:rsidRPr="00C73365" w:rsidRDefault="00F46C7B" w:rsidP="004572A0">
      <w:pPr>
        <w:pStyle w:val="ListContinue2"/>
        <w:rPr>
          <w:rFonts w:asciiTheme="minorHAnsi" w:hAnsiTheme="minorHAnsi" w:cstheme="minorHAnsi"/>
          <w:lang w:val="fr-FR"/>
        </w:rPr>
        <w:sectPr w:rsidR="00F46C7B" w:rsidRPr="00C73365" w:rsidSect="00EA3D80">
          <w:pgSz w:w="11907" w:h="16840" w:code="9"/>
          <w:pgMar w:top="1134" w:right="1134" w:bottom="1134" w:left="1134" w:header="709" w:footer="709" w:gutter="0"/>
          <w:cols w:space="708"/>
          <w:docGrid w:linePitch="360"/>
        </w:sectPr>
      </w:pPr>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A la date d’enregistrement du présent document de référence, la Société ne détient aucune filiale.</w:t>
      </w:r>
    </w:p>
    <w:p w:rsidR="00F46C7B" w:rsidRPr="00C73365" w:rsidRDefault="00F46C7B" w:rsidP="004572A0">
      <w:pPr>
        <w:pStyle w:val="List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567"/>
          <w:docGrid w:linePitch="360"/>
        </w:sectPr>
      </w:pPr>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331" w:name="_Toc402884135"/>
      <w:bookmarkStart w:id="332" w:name="_Toc462673244"/>
      <w:bookmarkStart w:id="333" w:name="_Toc467835590"/>
      <w:bookmarkStart w:id="334" w:name="_Toc512863906"/>
      <w:r w:rsidRPr="00C73365">
        <w:rPr>
          <w:rFonts w:asciiTheme="minorHAnsi" w:hAnsiTheme="minorHAnsi" w:cstheme="minorHAnsi"/>
          <w:sz w:val="22"/>
          <w:szCs w:val="22"/>
          <w:lang w:val="fr-FR"/>
        </w:rPr>
        <w:t>Liste des filiales, succursales et établissements secondaires</w:t>
      </w:r>
      <w:bookmarkEnd w:id="331"/>
      <w:bookmarkEnd w:id="332"/>
      <w:bookmarkEnd w:id="333"/>
      <w:bookmarkEnd w:id="334"/>
    </w:p>
    <w:p w:rsidR="00F46C7B" w:rsidRPr="00C73365" w:rsidRDefault="00F46C7B" w:rsidP="004572A0">
      <w:pPr>
        <w:pStyle w:val="List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La Société dispose d’un établissement secondaire à Montpellier depuis le 5 juin 2014, immatriculé au Greffe de Montpellier sous le numéro SIRET 799 363 718 00021. Il est situé 1919, route de Mende – Campus CNRS Languedoc-Roussillon – 34293 Montpellier Cedex 5.</w:t>
      </w:r>
    </w:p>
    <w:p w:rsidR="00F46C7B" w:rsidRPr="00C73365" w:rsidRDefault="00F46C7B" w:rsidP="004572A0">
      <w:pPr>
        <w:pStyle w:val="List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567"/>
          <w:docGrid w:linePitch="360"/>
        </w:sectPr>
      </w:pPr>
    </w:p>
    <w:p w:rsidR="00F46C7B" w:rsidRPr="00C73365" w:rsidRDefault="00F46C7B" w:rsidP="004572A0">
      <w:pPr>
        <w:pStyle w:val="List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rsidR="00F46C7B" w:rsidRPr="00C73365" w:rsidRDefault="00F46C7B" w:rsidP="007A1897">
      <w:pPr>
        <w:pStyle w:val="ConmainL1"/>
        <w:numPr>
          <w:ilvl w:val="0"/>
          <w:numId w:val="9"/>
        </w:numPr>
        <w:spacing w:after="120"/>
        <w:rPr>
          <w:rFonts w:asciiTheme="minorHAnsi" w:hAnsiTheme="minorHAnsi" w:cstheme="minorHAnsi"/>
          <w:lang w:val="fr-FR"/>
        </w:rPr>
      </w:pPr>
      <w:bookmarkStart w:id="335" w:name="_Toc462673245"/>
      <w:bookmarkStart w:id="336" w:name="_Toc467835591"/>
      <w:bookmarkStart w:id="337" w:name="_Toc512863907"/>
      <w:bookmarkEnd w:id="323"/>
      <w:bookmarkEnd w:id="324"/>
      <w:bookmarkEnd w:id="325"/>
      <w:r w:rsidRPr="00C73365">
        <w:rPr>
          <w:rFonts w:asciiTheme="minorHAnsi" w:hAnsiTheme="minorHAnsi" w:cstheme="minorHAnsi"/>
          <w:lang w:val="fr-FR"/>
        </w:rPr>
        <w:lastRenderedPageBreak/>
        <w:t>PROPRIETES IMMOBILIERES, USINES ET EQUIPEMENT</w:t>
      </w:r>
      <w:bookmarkEnd w:id="335"/>
      <w:bookmarkEnd w:id="336"/>
      <w:bookmarkEnd w:id="337"/>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338" w:name="_Toc402884137"/>
      <w:bookmarkStart w:id="339" w:name="_Toc462673246"/>
      <w:bookmarkStart w:id="340" w:name="_Toc467835592"/>
      <w:bookmarkStart w:id="341" w:name="_Toc512863908"/>
      <w:r w:rsidRPr="00C73365">
        <w:rPr>
          <w:rFonts w:asciiTheme="minorHAnsi" w:hAnsiTheme="minorHAnsi" w:cstheme="minorHAnsi"/>
          <w:sz w:val="22"/>
          <w:szCs w:val="22"/>
          <w:lang w:val="fr-FR"/>
        </w:rPr>
        <w:t>Descriptif des propriétés immobilières</w:t>
      </w:r>
      <w:bookmarkEnd w:id="338"/>
      <w:bookmarkEnd w:id="339"/>
      <w:bookmarkEnd w:id="340"/>
      <w:bookmarkEnd w:id="341"/>
      <w:r w:rsidRPr="00C73365">
        <w:rPr>
          <w:rFonts w:asciiTheme="minorHAnsi" w:hAnsiTheme="minorHAnsi" w:cstheme="minorHAnsi"/>
          <w:sz w:val="22"/>
          <w:szCs w:val="22"/>
          <w:lang w:val="fr-FR"/>
        </w:rPr>
        <w:t xml:space="preserve"> </w:t>
      </w:r>
    </w:p>
    <w:p w:rsidR="00F46C7B" w:rsidRPr="00C73365" w:rsidRDefault="00F46C7B" w:rsidP="004572A0">
      <w:pPr>
        <w:pStyle w:val="List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 xml:space="preserve">La Société exerce ses activités dans les locaux dont elle est locataire au terme de baux conclu aux prix et conditions conformes à ceux du marché.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n’est propriétaire d’aucun bien immobilier.</w:t>
      </w:r>
    </w:p>
    <w:p w:rsidR="00F46C7B" w:rsidRPr="00C73365" w:rsidRDefault="00F46C7B" w:rsidP="004572A0">
      <w:pPr>
        <w:pStyle w:val="BodyText"/>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567"/>
          <w:docGrid w:linePitch="360"/>
        </w:sectPr>
      </w:pPr>
    </w:p>
    <w:p w:rsidR="00F46C7B" w:rsidRPr="00C73365" w:rsidRDefault="00F46C7B" w:rsidP="004572A0">
      <w:pPr>
        <w:pStyle w:val="BodyText"/>
        <w:rPr>
          <w:rFonts w:asciiTheme="minorHAnsi" w:hAnsiTheme="minorHAnsi" w:cstheme="minorHAnsi"/>
          <w:b/>
          <w:szCs w:val="22"/>
          <w:lang w:val="fr-FR"/>
        </w:rPr>
      </w:pPr>
      <w:r w:rsidRPr="00C73365">
        <w:rPr>
          <w:rFonts w:asciiTheme="minorHAnsi" w:hAnsiTheme="minorHAnsi" w:cstheme="minorHAnsi"/>
          <w:b/>
          <w:lang w:val="fr-FR"/>
        </w:rPr>
        <w:t>A la date d’enregistrement du présent document de référence :</w:t>
      </w:r>
    </w:p>
    <w:tbl>
      <w:tblPr>
        <w:tblW w:w="9543" w:type="dxa"/>
        <w:tblCellMar>
          <w:left w:w="70" w:type="dxa"/>
          <w:right w:w="70" w:type="dxa"/>
        </w:tblCellMar>
        <w:tblLook w:val="04A0" w:firstRow="1" w:lastRow="0" w:firstColumn="1" w:lastColumn="0" w:noHBand="0" w:noVBand="1"/>
      </w:tblPr>
      <w:tblGrid>
        <w:gridCol w:w="1562"/>
        <w:gridCol w:w="2017"/>
        <w:gridCol w:w="1553"/>
        <w:gridCol w:w="923"/>
        <w:gridCol w:w="1141"/>
        <w:gridCol w:w="1041"/>
        <w:gridCol w:w="1306"/>
      </w:tblGrid>
      <w:tr w:rsidR="00F46C7B" w:rsidRPr="00C73365" w:rsidTr="007C607C">
        <w:trPr>
          <w:trHeight w:val="942"/>
        </w:trPr>
        <w:tc>
          <w:tcPr>
            <w:tcW w:w="1574"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Bailleur</w:t>
            </w:r>
          </w:p>
        </w:tc>
        <w:tc>
          <w:tcPr>
            <w:tcW w:w="2017"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Adresse</w:t>
            </w:r>
          </w:p>
        </w:tc>
        <w:tc>
          <w:tcPr>
            <w:tcW w:w="1567"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Nature du bail</w:t>
            </w:r>
          </w:p>
        </w:tc>
        <w:tc>
          <w:tcPr>
            <w:tcW w:w="875"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Surface</w:t>
            </w:r>
          </w:p>
        </w:tc>
        <w:tc>
          <w:tcPr>
            <w:tcW w:w="1145"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Date d’entrée en vigueur</w:t>
            </w:r>
          </w:p>
        </w:tc>
        <w:tc>
          <w:tcPr>
            <w:tcW w:w="1043"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Echéance</w:t>
            </w:r>
          </w:p>
        </w:tc>
        <w:tc>
          <w:tcPr>
            <w:tcW w:w="1322" w:type="dxa"/>
            <w:tcBorders>
              <w:top w:val="single" w:sz="12" w:space="0" w:color="7030A0"/>
              <w:left w:val="nil"/>
              <w:bottom w:val="single" w:sz="4"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Loyers </w:t>
            </w:r>
          </w:p>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annuels</w:t>
            </w:r>
          </w:p>
        </w:tc>
      </w:tr>
      <w:tr w:rsidR="00F46C7B" w:rsidRPr="00C73365" w:rsidTr="007C607C">
        <w:trPr>
          <w:trHeight w:val="853"/>
        </w:trPr>
        <w:tc>
          <w:tcPr>
            <w:tcW w:w="1574"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S.N.C Courcelles Baume</w:t>
            </w:r>
          </w:p>
        </w:tc>
        <w:tc>
          <w:tcPr>
            <w:tcW w:w="2017" w:type="dxa"/>
            <w:tcBorders>
              <w:top w:val="nil"/>
              <w:left w:val="nil"/>
              <w:bottom w:val="nil"/>
              <w:right w:val="nil"/>
            </w:tcBorders>
            <w:shd w:val="clear" w:color="auto" w:fill="auto"/>
            <w:noWrap/>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 rue de la Baume</w:t>
            </w:r>
          </w:p>
        </w:tc>
        <w:tc>
          <w:tcPr>
            <w:tcW w:w="1567"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Sous-location de bail dérogatoire à usage exclusif de bureaux</w:t>
            </w:r>
          </w:p>
        </w:tc>
        <w:tc>
          <w:tcPr>
            <w:tcW w:w="875"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342.32m</w:t>
            </w:r>
            <w:r w:rsidRPr="00C73365">
              <w:rPr>
                <w:rFonts w:asciiTheme="minorHAnsi" w:hAnsiTheme="minorHAnsi" w:cstheme="minorHAnsi"/>
                <w:color w:val="000000"/>
                <w:szCs w:val="20"/>
                <w:vertAlign w:val="superscript"/>
                <w:lang w:val="fr-FR" w:eastAsia="fr-FR"/>
              </w:rPr>
              <w:t>2</w:t>
            </w:r>
          </w:p>
        </w:tc>
        <w:tc>
          <w:tcPr>
            <w:tcW w:w="1145"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Pr="00C73365">
              <w:rPr>
                <w:rFonts w:asciiTheme="minorHAnsi" w:hAnsiTheme="minorHAnsi" w:cstheme="minorHAnsi"/>
                <w:color w:val="000000"/>
                <w:szCs w:val="20"/>
                <w:vertAlign w:val="superscript"/>
                <w:lang w:val="fr-FR" w:eastAsia="fr-FR"/>
              </w:rPr>
              <w:t>er</w:t>
            </w:r>
            <w:r w:rsidRPr="00C73365">
              <w:rPr>
                <w:rFonts w:asciiTheme="minorHAnsi" w:hAnsiTheme="minorHAnsi" w:cstheme="minorHAnsi"/>
                <w:color w:val="000000"/>
                <w:szCs w:val="20"/>
                <w:lang w:val="fr-FR" w:eastAsia="fr-FR"/>
              </w:rPr>
              <w:t xml:space="preserve"> </w:t>
            </w:r>
            <w:r w:rsidR="00E73A7C">
              <w:rPr>
                <w:rFonts w:asciiTheme="minorHAnsi" w:hAnsiTheme="minorHAnsi" w:cstheme="minorHAnsi"/>
                <w:color w:val="000000"/>
                <w:szCs w:val="20"/>
                <w:lang w:val="fr-FR" w:eastAsia="fr-FR"/>
              </w:rPr>
              <w:t>septembre</w:t>
            </w:r>
            <w:r w:rsidRPr="00C73365">
              <w:rPr>
                <w:rFonts w:asciiTheme="minorHAnsi" w:hAnsiTheme="minorHAnsi" w:cstheme="minorHAnsi"/>
                <w:color w:val="000000"/>
                <w:szCs w:val="20"/>
                <w:lang w:val="fr-FR" w:eastAsia="fr-FR"/>
              </w:rPr>
              <w:t xml:space="preserve"> 2016</w:t>
            </w:r>
          </w:p>
        </w:tc>
        <w:tc>
          <w:tcPr>
            <w:tcW w:w="1043"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 août 2025</w:t>
            </w:r>
          </w:p>
        </w:tc>
        <w:tc>
          <w:tcPr>
            <w:tcW w:w="1322" w:type="dxa"/>
            <w:vMerge w:val="restart"/>
            <w:tcBorders>
              <w:top w:val="single" w:sz="4"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205 392 euros hors taxes / hors charges</w:t>
            </w:r>
          </w:p>
        </w:tc>
      </w:tr>
      <w:tr w:rsidR="00F46C7B" w:rsidRPr="00C73365" w:rsidTr="007C607C">
        <w:trPr>
          <w:trHeight w:val="236"/>
        </w:trPr>
        <w:tc>
          <w:tcPr>
            <w:tcW w:w="1574"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highlight w:val="yellow"/>
                <w:lang w:val="fr-FR" w:eastAsia="fr-FR"/>
              </w:rPr>
            </w:pPr>
          </w:p>
        </w:tc>
        <w:tc>
          <w:tcPr>
            <w:tcW w:w="2017" w:type="dxa"/>
            <w:tcBorders>
              <w:top w:val="nil"/>
              <w:left w:val="nil"/>
              <w:bottom w:val="nil"/>
              <w:right w:val="nil"/>
            </w:tcBorders>
            <w:shd w:val="clear" w:color="auto" w:fill="auto"/>
            <w:noWrap/>
            <w:vAlign w:val="center"/>
            <w:hideMark/>
          </w:tcPr>
          <w:p w:rsidR="00F46C7B" w:rsidRPr="00C73365" w:rsidRDefault="00F46C7B">
            <w:pPr>
              <w:jc w:val="center"/>
              <w:rPr>
                <w:rFonts w:asciiTheme="minorHAnsi" w:hAnsiTheme="minorHAnsi" w:cstheme="minorHAnsi"/>
                <w:color w:val="000000"/>
                <w:szCs w:val="20"/>
                <w:highlight w:val="yellow"/>
                <w:lang w:val="fr-FR" w:eastAsia="fr-FR"/>
              </w:rPr>
            </w:pPr>
            <w:r w:rsidRPr="00C73365">
              <w:rPr>
                <w:rFonts w:asciiTheme="minorHAnsi" w:hAnsiTheme="minorHAnsi" w:cstheme="minorHAnsi"/>
                <w:color w:val="000000"/>
                <w:szCs w:val="20"/>
                <w:lang w:val="fr-FR" w:eastAsia="fr-FR"/>
              </w:rPr>
              <w:t>75008 Paris</w:t>
            </w:r>
          </w:p>
        </w:tc>
        <w:tc>
          <w:tcPr>
            <w:tcW w:w="1567"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highlight w:val="yellow"/>
                <w:lang w:val="fr-FR" w:eastAsia="fr-FR"/>
              </w:rPr>
            </w:pPr>
          </w:p>
        </w:tc>
        <w:tc>
          <w:tcPr>
            <w:tcW w:w="875"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highlight w:val="yellow"/>
                <w:lang w:val="fr-FR" w:eastAsia="fr-FR"/>
              </w:rPr>
            </w:pPr>
          </w:p>
        </w:tc>
        <w:tc>
          <w:tcPr>
            <w:tcW w:w="1145"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highlight w:val="yellow"/>
                <w:lang w:val="fr-FR" w:eastAsia="fr-FR"/>
              </w:rPr>
            </w:pPr>
          </w:p>
        </w:tc>
        <w:tc>
          <w:tcPr>
            <w:tcW w:w="1043"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highlight w:val="yellow"/>
                <w:lang w:val="fr-FR" w:eastAsia="fr-FR"/>
              </w:rPr>
            </w:pPr>
          </w:p>
        </w:tc>
        <w:tc>
          <w:tcPr>
            <w:tcW w:w="1322"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highlight w:val="yellow"/>
                <w:lang w:val="fr-FR" w:eastAsia="fr-FR"/>
              </w:rPr>
            </w:pPr>
          </w:p>
        </w:tc>
      </w:tr>
      <w:tr w:rsidR="00F46C7B" w:rsidRPr="00C73365" w:rsidTr="007C607C">
        <w:trPr>
          <w:trHeight w:val="635"/>
        </w:trPr>
        <w:tc>
          <w:tcPr>
            <w:tcW w:w="1574"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Centre National de la Recherche Scientifique</w:t>
            </w:r>
            <w:r w:rsidRPr="00C73365">
              <w:rPr>
                <w:rFonts w:asciiTheme="minorHAnsi" w:hAnsiTheme="minorHAnsi" w:cstheme="minorHAnsi"/>
                <w:color w:val="7030A0"/>
                <w:szCs w:val="20"/>
                <w:lang w:val="fr-FR" w:eastAsia="fr-FR"/>
              </w:rPr>
              <w:t>*</w:t>
            </w:r>
          </w:p>
        </w:tc>
        <w:tc>
          <w:tcPr>
            <w:tcW w:w="2017" w:type="dxa"/>
            <w:tcBorders>
              <w:top w:val="single" w:sz="8" w:space="0" w:color="7030A0"/>
              <w:left w:val="nil"/>
              <w:bottom w:val="nil"/>
              <w:right w:val="nil"/>
            </w:tcBorders>
            <w:shd w:val="clear" w:color="auto" w:fill="auto"/>
            <w:noWrap/>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1919, route de Mende</w:t>
            </w:r>
          </w:p>
        </w:tc>
        <w:tc>
          <w:tcPr>
            <w:tcW w:w="1567"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Mise à disposition de locaux tertiaires</w:t>
            </w:r>
          </w:p>
        </w:tc>
        <w:tc>
          <w:tcPr>
            <w:tcW w:w="875"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c>
          <w:tcPr>
            <w:tcW w:w="1145"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Pr="00C73365">
              <w:rPr>
                <w:rFonts w:asciiTheme="minorHAnsi" w:hAnsiTheme="minorHAnsi" w:cstheme="minorHAnsi"/>
                <w:color w:val="000000"/>
                <w:szCs w:val="20"/>
                <w:vertAlign w:val="superscript"/>
                <w:lang w:val="fr-FR" w:eastAsia="fr-FR"/>
              </w:rPr>
              <w:t>er</w:t>
            </w:r>
            <w:r w:rsidRPr="00C73365">
              <w:rPr>
                <w:rFonts w:asciiTheme="minorHAnsi" w:hAnsiTheme="minorHAnsi" w:cstheme="minorHAnsi"/>
                <w:color w:val="000000"/>
                <w:szCs w:val="20"/>
                <w:lang w:val="fr-FR" w:eastAsia="fr-FR"/>
              </w:rPr>
              <w:t xml:space="preserve"> janvier </w:t>
            </w:r>
            <w:r w:rsidR="00B30B92" w:rsidRPr="00C73365">
              <w:rPr>
                <w:rFonts w:asciiTheme="minorHAnsi" w:hAnsiTheme="minorHAnsi" w:cstheme="minorHAnsi"/>
                <w:color w:val="000000"/>
                <w:szCs w:val="20"/>
                <w:lang w:val="fr-FR" w:eastAsia="fr-FR"/>
              </w:rPr>
              <w:t>2017</w:t>
            </w:r>
          </w:p>
        </w:tc>
        <w:tc>
          <w:tcPr>
            <w:tcW w:w="1043" w:type="dxa"/>
            <w:vMerge w:val="restart"/>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31 décembre </w:t>
            </w:r>
            <w:r w:rsidR="00B30B92" w:rsidRPr="00C73365">
              <w:rPr>
                <w:rFonts w:asciiTheme="minorHAnsi" w:hAnsiTheme="minorHAnsi" w:cstheme="minorHAnsi"/>
                <w:color w:val="000000"/>
                <w:szCs w:val="20"/>
                <w:lang w:val="fr-FR" w:eastAsia="fr-FR"/>
              </w:rPr>
              <w:t>2017</w:t>
            </w:r>
            <w:r w:rsidRPr="00C73365">
              <w:rPr>
                <w:rFonts w:asciiTheme="minorHAnsi" w:hAnsiTheme="minorHAnsi" w:cstheme="minorHAnsi"/>
                <w:color w:val="7030A0"/>
                <w:szCs w:val="20"/>
                <w:lang w:val="fr-FR" w:eastAsia="fr-FR"/>
              </w:rPr>
              <w:t>*</w:t>
            </w:r>
          </w:p>
        </w:tc>
        <w:tc>
          <w:tcPr>
            <w:tcW w:w="1322" w:type="dxa"/>
            <w:vMerge w:val="restart"/>
            <w:tcBorders>
              <w:top w:val="nil"/>
              <w:left w:val="nil"/>
              <w:bottom w:val="single" w:sz="8" w:space="0" w:color="7030A0"/>
              <w:right w:val="nil"/>
            </w:tcBorders>
            <w:shd w:val="clear" w:color="auto" w:fill="auto"/>
            <w:vAlign w:val="center"/>
            <w:hideMark/>
          </w:tcPr>
          <w:p w:rsidR="00F46C7B" w:rsidRPr="00C73365" w:rsidRDefault="00B30B92">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w:t>
            </w:r>
            <w:r w:rsidR="00F46C7B" w:rsidRPr="00C73365">
              <w:rPr>
                <w:rFonts w:asciiTheme="minorHAnsi" w:hAnsiTheme="minorHAnsi" w:cstheme="minorHAnsi"/>
                <w:color w:val="000000"/>
                <w:szCs w:val="20"/>
                <w:lang w:val="fr-FR" w:eastAsia="fr-FR"/>
              </w:rPr>
              <w:t>.000 euros hors taxes</w:t>
            </w:r>
          </w:p>
        </w:tc>
      </w:tr>
      <w:tr w:rsidR="00F46C7B" w:rsidRPr="00C73365" w:rsidTr="007C607C">
        <w:trPr>
          <w:trHeight w:val="236"/>
        </w:trPr>
        <w:tc>
          <w:tcPr>
            <w:tcW w:w="1574"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highlight w:val="yellow"/>
                <w:lang w:val="fr-FR" w:eastAsia="fr-FR"/>
              </w:rPr>
            </w:pPr>
          </w:p>
        </w:tc>
        <w:tc>
          <w:tcPr>
            <w:tcW w:w="2017" w:type="dxa"/>
            <w:tcBorders>
              <w:top w:val="nil"/>
              <w:left w:val="nil"/>
              <w:bottom w:val="single" w:sz="8" w:space="0" w:color="7030A0"/>
              <w:right w:val="nil"/>
            </w:tcBorders>
            <w:shd w:val="clear" w:color="auto" w:fill="auto"/>
            <w:noWrap/>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34293 Montpellier Cedex 5</w:t>
            </w:r>
          </w:p>
        </w:tc>
        <w:tc>
          <w:tcPr>
            <w:tcW w:w="1567"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lang w:val="fr-FR" w:eastAsia="fr-FR"/>
              </w:rPr>
            </w:pPr>
          </w:p>
        </w:tc>
        <w:tc>
          <w:tcPr>
            <w:tcW w:w="875"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lang w:val="fr-FR" w:eastAsia="fr-FR"/>
              </w:rPr>
            </w:pPr>
          </w:p>
        </w:tc>
        <w:tc>
          <w:tcPr>
            <w:tcW w:w="1145"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lang w:val="fr-FR" w:eastAsia="fr-FR"/>
              </w:rPr>
            </w:pPr>
          </w:p>
        </w:tc>
        <w:tc>
          <w:tcPr>
            <w:tcW w:w="1043"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lang w:val="fr-FR" w:eastAsia="fr-FR"/>
              </w:rPr>
            </w:pPr>
          </w:p>
        </w:tc>
        <w:tc>
          <w:tcPr>
            <w:tcW w:w="1322" w:type="dxa"/>
            <w:vMerge/>
            <w:tcBorders>
              <w:top w:val="nil"/>
              <w:left w:val="nil"/>
              <w:bottom w:val="single" w:sz="8" w:space="0" w:color="7030A0"/>
              <w:right w:val="nil"/>
            </w:tcBorders>
            <w:vAlign w:val="center"/>
            <w:hideMark/>
          </w:tcPr>
          <w:p w:rsidR="00F46C7B" w:rsidRPr="00C73365" w:rsidRDefault="00F46C7B">
            <w:pPr>
              <w:rPr>
                <w:rFonts w:asciiTheme="minorHAnsi" w:hAnsiTheme="minorHAnsi" w:cstheme="minorHAnsi"/>
                <w:color w:val="000000"/>
                <w:szCs w:val="20"/>
                <w:lang w:val="fr-FR" w:eastAsia="fr-FR"/>
              </w:rPr>
            </w:pPr>
          </w:p>
        </w:tc>
      </w:tr>
    </w:tbl>
    <w:p w:rsidR="00F46C7B" w:rsidRPr="00C73365" w:rsidRDefault="00F46C7B" w:rsidP="004572A0">
      <w:pPr>
        <w:pStyle w:val="Caption"/>
        <w:rPr>
          <w:rFonts w:asciiTheme="minorHAnsi" w:hAnsiTheme="minorHAnsi" w:cstheme="minorHAnsi"/>
          <w:lang w:val="fr-FR"/>
        </w:rPr>
      </w:pPr>
      <w:r w:rsidRPr="00C73365">
        <w:rPr>
          <w:rFonts w:asciiTheme="minorHAnsi" w:hAnsiTheme="minorHAnsi" w:cstheme="minorHAnsi"/>
          <w:lang w:val="fr-FR"/>
        </w:rPr>
        <w:t xml:space="preserve">*des avenants sont signés chaque année afin de prolonger l’échéance de la location des locaux mise à disposition pour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rsidR="00A23BC0" w:rsidRPr="00C73365" w:rsidRDefault="00A23BC0" w:rsidP="004572A0">
      <w:pPr>
        <w:pStyle w:val="BodyText"/>
        <w:rPr>
          <w:rFonts w:asciiTheme="minorHAnsi" w:hAnsiTheme="minorHAnsi" w:cstheme="minorHAnsi"/>
          <w:i/>
          <w:lang w:val="fr-FR"/>
        </w:rPr>
      </w:pPr>
      <w:r w:rsidRPr="00C73365">
        <w:rPr>
          <w:rFonts w:asciiTheme="minorHAnsi" w:hAnsiTheme="minorHAnsi" w:cstheme="minorHAnsi"/>
          <w:i/>
          <w:lang w:val="fr-FR"/>
        </w:rPr>
        <w:t>Un avenant avec le CNRS est actuellement en cours de signature</w:t>
      </w:r>
      <w:r w:rsidR="00DC2B5A" w:rsidRPr="00C73365">
        <w:rPr>
          <w:rFonts w:asciiTheme="minorHAnsi" w:hAnsiTheme="minorHAnsi" w:cstheme="minorHAnsi"/>
          <w:i/>
          <w:lang w:val="fr-FR"/>
        </w:rPr>
        <w:t xml:space="preserve"> avec une rétroactivité au 01/01/</w:t>
      </w:r>
      <w:r w:rsidR="006E30A2" w:rsidRPr="00C73365">
        <w:rPr>
          <w:rFonts w:asciiTheme="minorHAnsi" w:hAnsiTheme="minorHAnsi" w:cstheme="minorHAnsi"/>
          <w:i/>
          <w:lang w:val="fr-FR"/>
        </w:rPr>
        <w:t>2018</w:t>
      </w:r>
      <w:r w:rsidR="00B30B92" w:rsidRPr="00C73365">
        <w:rPr>
          <w:rFonts w:asciiTheme="minorHAnsi" w:hAnsiTheme="minorHAnsi" w:cstheme="minorHAnsi"/>
          <w:i/>
          <w:lang w:val="fr-FR"/>
        </w:rPr>
        <w:t>.</w:t>
      </w:r>
      <w:r w:rsidR="00AE4517" w:rsidRPr="00C73365">
        <w:rPr>
          <w:rFonts w:asciiTheme="minorHAnsi" w:hAnsiTheme="minorHAnsi" w:cstheme="minorHAnsi"/>
          <w:i/>
          <w:lang w:val="fr-FR"/>
        </w:rPr>
        <w:t xml:space="preserve"> Le montant indiqué </w:t>
      </w:r>
      <w:r w:rsidR="00AD2C40" w:rsidRPr="00C73365">
        <w:rPr>
          <w:rFonts w:asciiTheme="minorHAnsi" w:hAnsiTheme="minorHAnsi" w:cstheme="minorHAnsi"/>
          <w:i/>
          <w:lang w:val="fr-FR"/>
        </w:rPr>
        <w:t xml:space="preserve">ne </w:t>
      </w:r>
      <w:r w:rsidR="00AE4517" w:rsidRPr="00C73365">
        <w:rPr>
          <w:rFonts w:asciiTheme="minorHAnsi" w:hAnsiTheme="minorHAnsi" w:cstheme="minorHAnsi"/>
          <w:i/>
          <w:lang w:val="fr-FR"/>
        </w:rPr>
        <w:t>prend pas en compte une éventuelle inflation.</w:t>
      </w:r>
    </w:p>
    <w:p w:rsidR="00F46C7B" w:rsidRPr="00C73365" w:rsidRDefault="00F46C7B" w:rsidP="004572A0">
      <w:pPr>
        <w:pStyle w:val="BodyText"/>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considère disposer de locaux adaptés qui devraient lui permettre de faire face à la croissance envisagée de la Société et de ses effectifs à court et moyen terme.</w:t>
      </w:r>
    </w:p>
    <w:p w:rsidR="00F46C7B" w:rsidRPr="00C73365" w:rsidRDefault="00F46C7B" w:rsidP="004572A0">
      <w:pPr>
        <w:pStyle w:val="BodyText"/>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567"/>
          <w:docGrid w:linePitch="360"/>
        </w:sectPr>
      </w:pPr>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342" w:name="_Toc402884138"/>
      <w:bookmarkStart w:id="343" w:name="_Toc462673247"/>
      <w:bookmarkStart w:id="344" w:name="_Toc467835593"/>
      <w:bookmarkStart w:id="345" w:name="_Toc512863909"/>
      <w:r w:rsidRPr="00C73365">
        <w:rPr>
          <w:rFonts w:asciiTheme="minorHAnsi" w:hAnsiTheme="minorHAnsi" w:cstheme="minorHAnsi"/>
          <w:sz w:val="22"/>
          <w:szCs w:val="22"/>
          <w:lang w:val="fr-FR"/>
        </w:rPr>
        <w:t>Questions environnementales</w:t>
      </w:r>
      <w:bookmarkEnd w:id="342"/>
      <w:bookmarkEnd w:id="343"/>
      <w:bookmarkEnd w:id="344"/>
      <w:bookmarkEnd w:id="345"/>
    </w:p>
    <w:p w:rsidR="00F46C7B" w:rsidRPr="00C73365" w:rsidRDefault="00F46C7B" w:rsidP="00A96CCA">
      <w:pPr>
        <w:pStyle w:val="ConmainL2"/>
        <w:numPr>
          <w:ilvl w:val="0"/>
          <w:numId w:val="0"/>
        </w:numPr>
        <w:spacing w:after="120"/>
        <w:outlineLvl w:val="9"/>
        <w:rPr>
          <w:rFonts w:asciiTheme="minorHAnsi" w:hAnsiTheme="minorHAnsi" w:cstheme="minorHAnsi"/>
          <w:sz w:val="22"/>
          <w:szCs w:val="22"/>
          <w:lang w:val="fr-FR"/>
        </w:rPr>
      </w:pPr>
    </w:p>
    <w:p w:rsidR="00F46C7B" w:rsidRPr="00C73365" w:rsidRDefault="00F46C7B" w:rsidP="004572A0">
      <w:pPr>
        <w:pStyle w:val="List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rsidR="00FC582F" w:rsidRPr="00C73365" w:rsidRDefault="00FC582F" w:rsidP="004572A0">
      <w:pPr>
        <w:pStyle w:val="ListContinue2"/>
        <w:rPr>
          <w:rFonts w:asciiTheme="minorHAnsi" w:hAnsiTheme="minorHAnsi" w:cstheme="minorHAnsi"/>
          <w:lang w:val="fr-FR"/>
        </w:rPr>
      </w:pPr>
      <w:r w:rsidRPr="00C73365">
        <w:rPr>
          <w:rFonts w:asciiTheme="minorHAnsi" w:hAnsiTheme="minorHAnsi" w:cstheme="minorHAnsi"/>
          <w:lang w:val="fr-FR"/>
        </w:rPr>
        <w:t xml:space="preserve">Dans le cadre de ses programmes de recherche et développement, la Société utilise des matières dangereuses et des matériaux biologiques, des solvants et autres produits chimiques. En conséquence, la Société est soumise à des législations et des réglementations en matière d’environnement et de sécurité et protection des opérateurs régissant l’utilisation, le stockage, la manipulation, l’émission et la mise au rebut des matières dangereuses, y compris les produits chimiques et biologiques dont le détail figure au paragraphe 6.6.1 « Politique générale en matière d’environnement » ci-dessus. </w:t>
      </w:r>
    </w:p>
    <w:p w:rsidR="00FD503D" w:rsidRPr="00C73365" w:rsidRDefault="00EC12B4" w:rsidP="004572A0">
      <w:pPr>
        <w:pStyle w:val="ListContinue2"/>
        <w:rPr>
          <w:rFonts w:asciiTheme="minorHAnsi" w:hAnsiTheme="minorHAnsi" w:cstheme="minorHAnsi"/>
          <w:lang w:val="fr-FR"/>
        </w:rPr>
      </w:pPr>
      <w:bookmarkStart w:id="346" w:name="_Toc462673248"/>
      <w:r w:rsidRPr="00C73365">
        <w:rPr>
          <w:rFonts w:asciiTheme="minorHAnsi" w:hAnsiTheme="minorHAnsi" w:cstheme="minorHAnsi"/>
          <w:lang w:val="fr-FR"/>
        </w:rPr>
        <w:t xml:space="preserve">Conformément à l’article L. 225-105-2 du Code de commerce, toutes les informations environnementales figurent dans le rapport de gestion contenu dans le </w:t>
      </w:r>
      <w:r w:rsidR="00C50FC3" w:rsidRPr="00C73365">
        <w:rPr>
          <w:rFonts w:asciiTheme="minorHAnsi" w:hAnsiTheme="minorHAnsi" w:cstheme="minorHAnsi"/>
          <w:lang w:val="fr-FR"/>
        </w:rPr>
        <w:t>document de référence enregistré le 11 mai 2017 sous le numéro</w:t>
      </w:r>
      <w:r w:rsidRPr="00C73365">
        <w:rPr>
          <w:rFonts w:asciiTheme="minorHAnsi" w:hAnsiTheme="minorHAnsi" w:cstheme="minorHAnsi"/>
          <w:lang w:val="fr-FR"/>
        </w:rPr>
        <w:t xml:space="preserve"> </w:t>
      </w:r>
      <w:r w:rsidR="00C50FC3" w:rsidRPr="00C73365">
        <w:rPr>
          <w:rFonts w:asciiTheme="minorHAnsi" w:hAnsiTheme="minorHAnsi" w:cstheme="minorHAnsi"/>
          <w:lang w:val="fr-FR"/>
        </w:rPr>
        <w:t xml:space="preserve">R.17-043 </w:t>
      </w:r>
      <w:r w:rsidRPr="00C73365">
        <w:rPr>
          <w:rFonts w:asciiTheme="minorHAnsi" w:hAnsiTheme="minorHAnsi" w:cstheme="minorHAnsi"/>
          <w:lang w:val="fr-FR"/>
        </w:rPr>
        <w:t xml:space="preserve">de la Société en pages </w:t>
      </w:r>
      <w:r w:rsidR="00C50FC3" w:rsidRPr="00C73365">
        <w:rPr>
          <w:rFonts w:asciiTheme="minorHAnsi" w:hAnsiTheme="minorHAnsi" w:cstheme="minorHAnsi"/>
          <w:lang w:val="fr-FR"/>
        </w:rPr>
        <w:t>251 à 252</w:t>
      </w:r>
      <w:r w:rsidRPr="00C73365">
        <w:rPr>
          <w:rFonts w:asciiTheme="minorHAnsi" w:hAnsiTheme="minorHAnsi" w:cstheme="minorHAnsi"/>
          <w:lang w:val="fr-FR"/>
        </w:rPr>
        <w:t xml:space="preserve">. Le rapport financier </w:t>
      </w:r>
      <w:r w:rsidR="00C50FC3" w:rsidRPr="00C73365">
        <w:rPr>
          <w:rFonts w:asciiTheme="minorHAnsi" w:hAnsiTheme="minorHAnsi" w:cstheme="minorHAnsi"/>
          <w:lang w:val="fr-FR"/>
        </w:rPr>
        <w:t xml:space="preserve">2016 </w:t>
      </w:r>
      <w:r w:rsidRPr="00C73365">
        <w:rPr>
          <w:rFonts w:asciiTheme="minorHAnsi" w:hAnsiTheme="minorHAnsi" w:cstheme="minorHAnsi"/>
          <w:lang w:val="fr-FR"/>
        </w:rPr>
        <w:t>ainsi que le rapport du commissaire aux comptes désigné tiers indépendant sont publiés sur le site internet de la Société dans l’onglet Assemblée Générale</w:t>
      </w:r>
      <w:r w:rsidR="001306B6" w:rsidRPr="00C73365">
        <w:rPr>
          <w:rFonts w:asciiTheme="minorHAnsi" w:hAnsiTheme="minorHAnsi" w:cstheme="minorHAnsi"/>
          <w:lang w:val="fr-FR"/>
        </w:rPr>
        <w:t xml:space="preserve"> </w:t>
      </w:r>
      <w:r w:rsidRPr="00C73365">
        <w:rPr>
          <w:rFonts w:asciiTheme="minorHAnsi" w:hAnsiTheme="minorHAnsi" w:cstheme="minorHAnsi"/>
          <w:lang w:val="fr-FR"/>
        </w:rPr>
        <w:t xml:space="preserve">: </w:t>
      </w:r>
      <w:hyperlink r:id="rId49" w:history="1">
        <w:r w:rsidR="004572A0" w:rsidRPr="00C73365">
          <w:rPr>
            <w:rStyle w:val="Hyperlink"/>
            <w:rFonts w:asciiTheme="minorHAnsi" w:hAnsiTheme="minorHAnsi" w:cstheme="minorHAnsi"/>
            <w:szCs w:val="22"/>
            <w:lang w:val="fr-FR"/>
          </w:rPr>
          <w:t>http://www.ABIVAX.com/fr/investisseurs/assemblee-generale.html</w:t>
        </w:r>
      </w:hyperlink>
      <w:bookmarkStart w:id="347" w:name="_Toc478134744"/>
      <w:bookmarkStart w:id="348" w:name="_Toc478459551"/>
      <w:bookmarkStart w:id="349" w:name="_Toc478554757"/>
      <w:bookmarkStart w:id="350" w:name="_Toc478715742"/>
      <w:bookmarkStart w:id="351" w:name="_Toc478730327"/>
      <w:bookmarkStart w:id="352" w:name="_Toc478731119"/>
      <w:bookmarkEnd w:id="347"/>
      <w:bookmarkEnd w:id="348"/>
      <w:bookmarkEnd w:id="349"/>
      <w:bookmarkEnd w:id="350"/>
      <w:bookmarkEnd w:id="351"/>
      <w:bookmarkEnd w:id="352"/>
      <w:r w:rsidR="00A1434E" w:rsidRPr="00C73365">
        <w:rPr>
          <w:rFonts w:asciiTheme="minorHAnsi" w:hAnsiTheme="minorHAnsi" w:cstheme="minorHAnsi"/>
          <w:lang w:val="fr-FR"/>
        </w:rPr>
        <w:t xml:space="preserve"> </w:t>
      </w:r>
      <w:r w:rsidR="00FF2574" w:rsidRPr="00C73365">
        <w:rPr>
          <w:rFonts w:asciiTheme="minorHAnsi" w:hAnsiTheme="minorHAnsi" w:cstheme="minorHAnsi"/>
          <w:lang w:val="fr-FR"/>
        </w:rPr>
        <w:t xml:space="preserve">ainsi que dans le </w:t>
      </w:r>
      <w:r w:rsidR="00A1434E" w:rsidRPr="00C73365">
        <w:rPr>
          <w:rFonts w:asciiTheme="minorHAnsi" w:hAnsiTheme="minorHAnsi" w:cstheme="minorHAnsi"/>
          <w:lang w:val="fr-FR"/>
        </w:rPr>
        <w:t xml:space="preserve">chapitre 6.6 « Politique de la Société en matière de responsabilité environnementale, sociale et sociétale » </w:t>
      </w:r>
      <w:r w:rsidR="006A322F" w:rsidRPr="00C73365">
        <w:rPr>
          <w:rFonts w:asciiTheme="minorHAnsi" w:hAnsiTheme="minorHAnsi" w:cstheme="minorHAnsi"/>
          <w:lang w:val="fr-FR"/>
        </w:rPr>
        <w:t>du</w:t>
      </w:r>
      <w:r w:rsidR="00A1434E" w:rsidRPr="00C73365">
        <w:rPr>
          <w:rFonts w:asciiTheme="minorHAnsi" w:hAnsiTheme="minorHAnsi" w:cstheme="minorHAnsi"/>
          <w:lang w:val="fr-FR"/>
        </w:rPr>
        <w:t xml:space="preserve"> présent document de référence.</w:t>
      </w:r>
    </w:p>
    <w:p w:rsidR="006A322F" w:rsidRPr="00C73365" w:rsidRDefault="006A322F" w:rsidP="004572A0">
      <w:pPr>
        <w:pStyle w:val="ListContinue2"/>
        <w:rPr>
          <w:rFonts w:asciiTheme="minorHAnsi" w:hAnsiTheme="minorHAnsi" w:cstheme="minorHAnsi"/>
          <w:lang w:val="fr-FR"/>
        </w:rPr>
        <w:sectPr w:rsidR="006A322F" w:rsidRPr="00C73365" w:rsidSect="00167946">
          <w:type w:val="continuous"/>
          <w:pgSz w:w="11907" w:h="16840" w:code="9"/>
          <w:pgMar w:top="1134" w:right="1134" w:bottom="1134" w:left="1134" w:header="709" w:footer="709" w:gutter="0"/>
          <w:cols w:space="567"/>
          <w:docGrid w:linePitch="360"/>
        </w:sectPr>
      </w:pPr>
    </w:p>
    <w:p w:rsidR="00F46C7B" w:rsidRPr="00C73365" w:rsidRDefault="00F46C7B" w:rsidP="007A1897">
      <w:pPr>
        <w:pStyle w:val="ConmainL1"/>
        <w:numPr>
          <w:ilvl w:val="0"/>
          <w:numId w:val="9"/>
        </w:numPr>
        <w:spacing w:after="120"/>
        <w:rPr>
          <w:rFonts w:asciiTheme="minorHAnsi" w:hAnsiTheme="minorHAnsi" w:cstheme="minorHAnsi"/>
          <w:lang w:val="fr-FR"/>
        </w:rPr>
      </w:pPr>
      <w:bookmarkStart w:id="353" w:name="_Toc467835594"/>
      <w:bookmarkStart w:id="354" w:name="_Toc512863910"/>
      <w:r w:rsidRPr="00C73365">
        <w:rPr>
          <w:rFonts w:asciiTheme="minorHAnsi" w:hAnsiTheme="minorHAnsi" w:cstheme="minorHAnsi"/>
          <w:lang w:val="fr-FR"/>
        </w:rPr>
        <w:lastRenderedPageBreak/>
        <w:t>EXAMEN DU RESULTAT ET DE LA SITUATION FINANCIERE</w:t>
      </w:r>
      <w:bookmarkEnd w:id="346"/>
      <w:bookmarkEnd w:id="353"/>
      <w:bookmarkEnd w:id="354"/>
    </w:p>
    <w:p w:rsidR="00F77970" w:rsidRPr="00C73365" w:rsidRDefault="00027F81" w:rsidP="00A96CCA">
      <w:pPr>
        <w:pStyle w:val="ConmainL2"/>
        <w:numPr>
          <w:ilvl w:val="1"/>
          <w:numId w:val="9"/>
        </w:numPr>
        <w:spacing w:after="120"/>
        <w:rPr>
          <w:rFonts w:asciiTheme="minorHAnsi" w:hAnsiTheme="minorHAnsi" w:cstheme="minorHAnsi"/>
          <w:sz w:val="22"/>
          <w:szCs w:val="22"/>
          <w:lang w:val="fr-FR"/>
        </w:rPr>
      </w:pPr>
      <w:bookmarkStart w:id="355" w:name="_Toc462673250"/>
      <w:bookmarkStart w:id="356" w:name="_Toc467835596"/>
      <w:bookmarkStart w:id="357" w:name="_Toc512863911"/>
      <w:r w:rsidRPr="00C73365">
        <w:rPr>
          <w:rFonts w:asciiTheme="minorHAnsi" w:hAnsiTheme="minorHAnsi" w:cstheme="minorHAnsi"/>
          <w:sz w:val="22"/>
          <w:szCs w:val="22"/>
          <w:lang w:val="fr-FR"/>
        </w:rPr>
        <w:t>Présentation g</w:t>
      </w:r>
      <w:r w:rsidR="00CF2C35" w:rsidRPr="00C73365">
        <w:rPr>
          <w:rFonts w:asciiTheme="minorHAnsi" w:hAnsiTheme="minorHAnsi" w:cstheme="minorHAnsi"/>
          <w:sz w:val="22"/>
          <w:szCs w:val="22"/>
          <w:lang w:val="fr-FR"/>
        </w:rPr>
        <w:t>énérale</w:t>
      </w:r>
      <w:bookmarkEnd w:id="357"/>
    </w:p>
    <w:p w:rsidR="00F77970" w:rsidRPr="00C73365" w:rsidRDefault="00EF089C" w:rsidP="00C73365">
      <w:pPr>
        <w:pStyle w:val="ListContinue2"/>
        <w:ind w:left="0"/>
        <w:rPr>
          <w:rFonts w:asciiTheme="minorHAnsi" w:hAnsiTheme="minorHAnsi" w:cstheme="minorHAnsi"/>
          <w:lang w:val="fr-FR"/>
        </w:rPr>
      </w:pPr>
      <w:r w:rsidRPr="00C73365">
        <w:rPr>
          <w:rFonts w:asciiTheme="minorHAnsi" w:hAnsiTheme="minorHAnsi" w:cstheme="minorHAnsi"/>
          <w:lang w:val="fr-FR"/>
        </w:rPr>
        <w:t>ABIVAX</w:t>
      </w:r>
      <w:r w:rsidR="00F77970" w:rsidRPr="00C73365">
        <w:rPr>
          <w:rFonts w:asciiTheme="minorHAnsi" w:hAnsiTheme="minorHAnsi" w:cstheme="minorHAnsi"/>
          <w:lang w:val="fr-FR"/>
        </w:rPr>
        <w:t xml:space="preserve"> est une société innovante de biotechnologie qui cible le système immunitaire pour éliminer les maladies virales, les maladies inflammatoires et le cancer.</w:t>
      </w:r>
    </w:p>
    <w:p w:rsidR="00F77970" w:rsidRPr="00C73365" w:rsidRDefault="00F77970" w:rsidP="00C73365">
      <w:pPr>
        <w:pStyle w:val="ListContinue2"/>
        <w:ind w:left="0"/>
        <w:rPr>
          <w:rFonts w:asciiTheme="minorHAnsi" w:hAnsiTheme="minorHAnsi" w:cstheme="minorHAnsi"/>
          <w:lang w:val="fr-FR"/>
        </w:rPr>
      </w:pPr>
      <w:r w:rsidRPr="00C73365">
        <w:rPr>
          <w:rFonts w:asciiTheme="minorHAnsi" w:hAnsiTheme="minorHAnsi" w:cstheme="minorHAnsi"/>
          <w:lang w:val="fr-FR"/>
        </w:rPr>
        <w:t xml:space="preserve">Les produits antiviraux et les immunothérapies que développe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sont issus de trois plateformes technologiques propriétaires :</w:t>
      </w:r>
    </w:p>
    <w:p w:rsidR="00F77970" w:rsidRPr="00C73365" w:rsidRDefault="00F77970" w:rsidP="00434C49">
      <w:pPr>
        <w:pStyle w:val="List3"/>
        <w:numPr>
          <w:ilvl w:val="0"/>
          <w:numId w:val="105"/>
        </w:numPr>
        <w:rPr>
          <w:rFonts w:asciiTheme="minorHAnsi" w:hAnsiTheme="minorHAnsi" w:cstheme="minorHAnsi"/>
          <w:lang w:val="fr-FR"/>
        </w:rPr>
      </w:pPr>
      <w:r w:rsidRPr="00C73365">
        <w:rPr>
          <w:rFonts w:asciiTheme="minorHAnsi" w:hAnsiTheme="minorHAnsi" w:cstheme="minorHAnsi"/>
          <w:b/>
          <w:color w:val="7030A0"/>
          <w:lang w:val="fr-FR"/>
        </w:rPr>
        <w:t>Une plateforme « Antivirale »</w:t>
      </w:r>
      <w:r w:rsidRPr="00C73365">
        <w:rPr>
          <w:rStyle w:val="FootnoteReference"/>
          <w:rFonts w:asciiTheme="minorHAnsi" w:hAnsiTheme="minorHAnsi" w:cstheme="minorHAnsi"/>
          <w:b/>
          <w:color w:val="7030A0"/>
        </w:rPr>
        <w:footnoteReference w:id="15"/>
      </w:r>
      <w:r w:rsidRPr="00C73365">
        <w:rPr>
          <w:rFonts w:asciiTheme="minorHAnsi" w:hAnsiTheme="minorHAnsi" w:cstheme="minorHAnsi"/>
          <w:b/>
          <w:color w:val="7030A0"/>
          <w:lang w:val="fr-FR"/>
        </w:rPr>
        <w:t>,</w:t>
      </w:r>
      <w:r w:rsidRPr="00C73365">
        <w:rPr>
          <w:rFonts w:asciiTheme="minorHAnsi" w:hAnsiTheme="minorHAnsi" w:cstheme="minorHAnsi"/>
          <w:color w:val="7030A0"/>
          <w:lang w:val="fr-FR"/>
        </w:rPr>
        <w:t xml:space="preserve"> </w:t>
      </w:r>
      <w:r w:rsidRPr="00C73365">
        <w:rPr>
          <w:rFonts w:asciiTheme="minorHAnsi" w:hAnsiTheme="minorHAnsi" w:cstheme="minorHAnsi"/>
          <w:lang w:val="fr-FR"/>
        </w:rPr>
        <w:t>basée sur des technologies mises au point conjointement avec le CNRS (Montpellier-France) et l</w:t>
      </w:r>
      <w:r w:rsidR="004572A0" w:rsidRPr="00C73365">
        <w:rPr>
          <w:rFonts w:asciiTheme="minorHAnsi" w:hAnsiTheme="minorHAnsi" w:cstheme="minorHAnsi"/>
          <w:lang w:val="fr-FR"/>
        </w:rPr>
        <w:t>’</w:t>
      </w:r>
      <w:r w:rsidRPr="00C73365">
        <w:rPr>
          <w:rFonts w:asciiTheme="minorHAnsi" w:hAnsiTheme="minorHAnsi" w:cstheme="minorHAnsi"/>
          <w:lang w:val="fr-FR"/>
        </w:rPr>
        <w:t>Institut Curie (Orsay-France). Cette plateforme a généré une chimiothèque de plus de 1 200 petites molécules conçues pour bloquer les mécanismes de reproduction des virus grâce à des modes d</w:t>
      </w:r>
      <w:r w:rsidR="004572A0" w:rsidRPr="00C73365">
        <w:rPr>
          <w:rFonts w:asciiTheme="minorHAnsi" w:hAnsiTheme="minorHAnsi" w:cstheme="minorHAnsi"/>
          <w:lang w:val="fr-FR"/>
        </w:rPr>
        <w:t>’</w:t>
      </w:r>
      <w:r w:rsidRPr="00C73365">
        <w:rPr>
          <w:rFonts w:asciiTheme="minorHAnsi" w:hAnsiTheme="minorHAnsi" w:cstheme="minorHAnsi"/>
          <w:lang w:val="fr-FR"/>
        </w:rPr>
        <w:t>action nouveaux, ciblant la biogénèse des ARN. En plus d</w:t>
      </w:r>
      <w:r w:rsidR="004572A0" w:rsidRPr="00C73365">
        <w:rPr>
          <w:rFonts w:asciiTheme="minorHAnsi" w:hAnsiTheme="minorHAnsi" w:cstheme="minorHAnsi"/>
          <w:lang w:val="fr-FR"/>
        </w:rPr>
        <w:t>’</w:t>
      </w:r>
      <w:r w:rsidRPr="00C73365">
        <w:rPr>
          <w:rFonts w:asciiTheme="minorHAnsi" w:hAnsiTheme="minorHAnsi" w:cstheme="minorHAnsi"/>
          <w:lang w:val="fr-FR"/>
        </w:rPr>
        <w:t>ABX464, cette plateforme a généré différentes molécules ciblant d’autres virus comme le Chikungunya, le Virus Respiratoire Syncitial ou la Dengue avec des premières molécules actives identifiées.</w:t>
      </w:r>
    </w:p>
    <w:p w:rsidR="00F77970" w:rsidRPr="00C73365" w:rsidRDefault="00F77970" w:rsidP="00434C49">
      <w:pPr>
        <w:pStyle w:val="List3"/>
        <w:numPr>
          <w:ilvl w:val="0"/>
          <w:numId w:val="105"/>
        </w:numPr>
        <w:rPr>
          <w:rFonts w:asciiTheme="minorHAnsi" w:hAnsiTheme="minorHAnsi" w:cstheme="minorHAnsi"/>
          <w:lang w:val="fr-FR"/>
        </w:rPr>
      </w:pPr>
      <w:r w:rsidRPr="00C73365">
        <w:rPr>
          <w:rFonts w:asciiTheme="minorHAnsi" w:hAnsiTheme="minorHAnsi" w:cstheme="minorHAnsi"/>
          <w:b/>
          <w:color w:val="7030A0"/>
          <w:lang w:val="fr-FR"/>
        </w:rPr>
        <w:t>Une plateforme « Stimulation Immunitaire »</w:t>
      </w:r>
      <w:r w:rsidRPr="00C73365">
        <w:rPr>
          <w:rFonts w:asciiTheme="minorHAnsi" w:hAnsiTheme="minorHAnsi" w:cstheme="minorHAnsi"/>
          <w:b/>
          <w:color w:val="7030A0"/>
          <w:vertAlign w:val="superscript"/>
          <w:lang w:val="fr-FR"/>
        </w:rPr>
        <w:footnoteReference w:id="16"/>
      </w:r>
      <w:r w:rsidRPr="00C73365">
        <w:rPr>
          <w:rFonts w:asciiTheme="minorHAnsi" w:hAnsiTheme="minorHAnsi" w:cstheme="minorHAnsi"/>
          <w:b/>
          <w:color w:val="7030A0"/>
          <w:lang w:val="fr-FR"/>
        </w:rPr>
        <w:t xml:space="preserve"> </w:t>
      </w:r>
      <w:r w:rsidRPr="00C73365">
        <w:rPr>
          <w:rFonts w:asciiTheme="minorHAnsi" w:hAnsiTheme="minorHAnsi" w:cstheme="minorHAnsi"/>
          <w:lang w:val="fr-FR"/>
        </w:rPr>
        <w:t>fondée sur une propriété intellectuelle licenciée auprès du Scripps Research Institute (La Jolla, Etats-Unis). Celle-ci s</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intéresse à des composés agonistes des « iNKT » qui peuvent stimuler la réponse immunitaire au niveau humoral et cellulaire, et qui ont potentiellement des applications cliniques en oncologie et dans le domaine des maladies infectieuses. Le produit cible ABX196 a déjà démontré son innocuité dans une étude de Phase </w:t>
      </w:r>
      <w:r w:rsidR="00CF292B">
        <w:rPr>
          <w:rFonts w:asciiTheme="minorHAnsi" w:hAnsiTheme="minorHAnsi" w:cstheme="minorHAnsi"/>
          <w:lang w:val="fr-FR"/>
        </w:rPr>
        <w:t>I</w:t>
      </w:r>
      <w:r w:rsidRPr="00C73365">
        <w:rPr>
          <w:rFonts w:asciiTheme="minorHAnsi" w:hAnsiTheme="minorHAnsi" w:cstheme="minorHAnsi"/>
          <w:lang w:val="fr-FR"/>
        </w:rPr>
        <w:t xml:space="preserve"> sur des volontaires sains. Dans un développement préclinique récent, ABX196 a démontré sa capacité à faire évoluer les tumeurs non répondantes au traitement par </w:t>
      </w:r>
      <w:r w:rsidR="004572A0" w:rsidRPr="00C73365">
        <w:rPr>
          <w:rFonts w:asciiTheme="minorHAnsi" w:hAnsiTheme="minorHAnsi" w:cstheme="minorHAnsi"/>
          <w:lang w:val="fr-FR"/>
        </w:rPr>
        <w:t>‘</w:t>
      </w:r>
      <w:r w:rsidRPr="00C73365">
        <w:rPr>
          <w:rFonts w:asciiTheme="minorHAnsi" w:hAnsiTheme="minorHAnsi" w:cstheme="minorHAnsi"/>
          <w:lang w:val="fr-FR"/>
        </w:rPr>
        <w:t>checkpoint inhibitors</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 en tumeurs répondantes.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n</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ayant pas vocation stratégique à devenir une société présente en immuno-oncologie, vise à développer cette molécule avec le support d’un partenaire externe, </w:t>
      </w:r>
      <w:r w:rsidR="00CB552B">
        <w:rPr>
          <w:rFonts w:asciiTheme="minorHAnsi" w:hAnsiTheme="minorHAnsi" w:cstheme="minorHAnsi"/>
          <w:lang w:val="fr-FR"/>
        </w:rPr>
        <w:t xml:space="preserve">une fois </w:t>
      </w:r>
      <w:r w:rsidRPr="00C73365">
        <w:rPr>
          <w:rFonts w:asciiTheme="minorHAnsi" w:hAnsiTheme="minorHAnsi" w:cstheme="minorHAnsi"/>
          <w:lang w:val="fr-FR"/>
        </w:rPr>
        <w:t xml:space="preserve">les premiers résultats cliniques d’efficacité </w:t>
      </w:r>
      <w:r w:rsidR="00CB552B" w:rsidRPr="00C73365">
        <w:rPr>
          <w:rFonts w:asciiTheme="minorHAnsi" w:hAnsiTheme="minorHAnsi" w:cstheme="minorHAnsi"/>
          <w:lang w:val="fr-FR"/>
        </w:rPr>
        <w:t>d</w:t>
      </w:r>
      <w:r w:rsidR="00CB552B">
        <w:rPr>
          <w:rFonts w:asciiTheme="minorHAnsi" w:hAnsiTheme="minorHAnsi" w:cstheme="minorHAnsi"/>
          <w:lang w:val="fr-FR"/>
        </w:rPr>
        <w:t>e</w:t>
      </w:r>
      <w:r w:rsidR="00CB552B" w:rsidRPr="00C73365">
        <w:rPr>
          <w:rFonts w:asciiTheme="minorHAnsi" w:hAnsiTheme="minorHAnsi" w:cstheme="minorHAnsi"/>
          <w:lang w:val="fr-FR"/>
        </w:rPr>
        <w:t xml:space="preserve"> l’hépatocarcinome avancé</w:t>
      </w:r>
      <w:r w:rsidR="00CB552B">
        <w:rPr>
          <w:rFonts w:asciiTheme="minorHAnsi" w:hAnsiTheme="minorHAnsi" w:cstheme="minorHAnsi"/>
          <w:lang w:val="fr-FR"/>
        </w:rPr>
        <w:t xml:space="preserve"> </w:t>
      </w:r>
      <w:r w:rsidRPr="00C73365">
        <w:rPr>
          <w:rFonts w:asciiTheme="minorHAnsi" w:hAnsiTheme="minorHAnsi" w:cstheme="minorHAnsi"/>
          <w:lang w:val="fr-FR"/>
        </w:rPr>
        <w:t>obtenus</w:t>
      </w:r>
      <w:r w:rsidR="00CB552B">
        <w:rPr>
          <w:rFonts w:asciiTheme="minorHAnsi" w:hAnsiTheme="minorHAnsi" w:cstheme="minorHAnsi"/>
          <w:lang w:val="fr-FR"/>
        </w:rPr>
        <w:t>.</w:t>
      </w:r>
      <w:r w:rsidRPr="00C73365">
        <w:rPr>
          <w:rFonts w:asciiTheme="minorHAnsi" w:hAnsiTheme="minorHAnsi" w:cstheme="minorHAnsi"/>
          <w:lang w:val="fr-FR"/>
        </w:rPr>
        <w:t xml:space="preserve"> </w:t>
      </w:r>
    </w:p>
    <w:p w:rsidR="00F77970" w:rsidRPr="00C73365" w:rsidRDefault="00F77970" w:rsidP="00434C49">
      <w:pPr>
        <w:pStyle w:val="List3"/>
        <w:numPr>
          <w:ilvl w:val="0"/>
          <w:numId w:val="105"/>
        </w:numPr>
        <w:rPr>
          <w:rFonts w:asciiTheme="minorHAnsi" w:hAnsiTheme="minorHAnsi" w:cstheme="minorHAnsi"/>
          <w:lang w:val="fr-FR"/>
        </w:rPr>
      </w:pPr>
      <w:r w:rsidRPr="00C73365">
        <w:rPr>
          <w:rFonts w:asciiTheme="minorHAnsi" w:hAnsiTheme="minorHAnsi" w:cstheme="minorHAnsi"/>
          <w:b/>
          <w:color w:val="7030A0"/>
          <w:lang w:val="fr-FR"/>
        </w:rPr>
        <w:t>Une plateforme « Anticorps Polyclonaux »</w:t>
      </w:r>
      <w:r w:rsidRPr="00C73365">
        <w:rPr>
          <w:rStyle w:val="FootnoteReference"/>
          <w:rFonts w:asciiTheme="minorHAnsi" w:hAnsiTheme="minorHAnsi" w:cstheme="minorHAnsi"/>
          <w:b/>
          <w:color w:val="7030A0"/>
        </w:rPr>
        <w:footnoteReference w:id="17"/>
      </w:r>
      <w:r w:rsidRPr="00C73365">
        <w:rPr>
          <w:rFonts w:asciiTheme="minorHAnsi" w:hAnsiTheme="minorHAnsi" w:cstheme="minorHAnsi"/>
          <w:color w:val="7030A0"/>
          <w:lang w:val="fr-FR"/>
        </w:rPr>
        <w:t xml:space="preserve"> </w:t>
      </w:r>
      <w:r w:rsidRPr="00C73365">
        <w:rPr>
          <w:rFonts w:asciiTheme="minorHAnsi" w:hAnsiTheme="minorHAnsi" w:cstheme="minorHAnsi"/>
          <w:lang w:val="fr-FR"/>
        </w:rPr>
        <w:t>basée sur la génération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anticorps neutralisants afin de traiter et prévenir les infections dues au virus Ebola. La molécule ABX544, produit cible, est un cours de développement préclinique. </w:t>
      </w:r>
    </w:p>
    <w:p w:rsidR="00F77970"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77970" w:rsidRPr="00C73365">
        <w:rPr>
          <w:rFonts w:asciiTheme="minorHAnsi" w:hAnsiTheme="minorHAnsi" w:cstheme="minorHAnsi"/>
          <w:lang w:val="fr-FR"/>
        </w:rPr>
        <w:t xml:space="preserve"> mène ses activités de R&amp;D principalement à Montpellier et possède son siège à Paris. Elle compte environ 25 collaborateurs sur les deux sites. L</w:t>
      </w:r>
      <w:r w:rsidR="004572A0" w:rsidRPr="00C73365">
        <w:rPr>
          <w:rFonts w:asciiTheme="minorHAnsi" w:hAnsiTheme="minorHAnsi" w:cstheme="minorHAnsi"/>
          <w:lang w:val="fr-FR"/>
        </w:rPr>
        <w:t>’</w:t>
      </w:r>
      <w:r w:rsidR="00F77970" w:rsidRPr="00C73365">
        <w:rPr>
          <w:rFonts w:asciiTheme="minorHAnsi" w:hAnsiTheme="minorHAnsi" w:cstheme="minorHAnsi"/>
          <w:lang w:val="fr-FR"/>
        </w:rPr>
        <w:t>équipe dirigeante d</w:t>
      </w:r>
      <w:r w:rsidR="004572A0" w:rsidRPr="00C73365">
        <w:rPr>
          <w:rFonts w:asciiTheme="minorHAnsi" w:hAnsiTheme="minorHAnsi" w:cstheme="minorHAnsi"/>
          <w:lang w:val="fr-FR"/>
        </w:rPr>
        <w:t>’</w:t>
      </w:r>
      <w:r w:rsidRPr="00C73365">
        <w:rPr>
          <w:rFonts w:asciiTheme="minorHAnsi" w:hAnsiTheme="minorHAnsi" w:cstheme="minorHAnsi"/>
          <w:lang w:val="fr-FR"/>
        </w:rPr>
        <w:t>ABIVAX</w:t>
      </w:r>
      <w:r w:rsidR="00F77970" w:rsidRPr="00C73365">
        <w:rPr>
          <w:rFonts w:asciiTheme="minorHAnsi" w:hAnsiTheme="minorHAnsi" w:cstheme="minorHAnsi"/>
          <w:lang w:val="fr-FR"/>
        </w:rPr>
        <w:t xml:space="preserve"> bénéficie d</w:t>
      </w:r>
      <w:r w:rsidR="004572A0" w:rsidRPr="00C73365">
        <w:rPr>
          <w:rFonts w:asciiTheme="minorHAnsi" w:hAnsiTheme="minorHAnsi" w:cstheme="minorHAnsi"/>
          <w:lang w:val="fr-FR"/>
        </w:rPr>
        <w:t>’</w:t>
      </w:r>
      <w:r w:rsidR="00F77970" w:rsidRPr="00C73365">
        <w:rPr>
          <w:rFonts w:asciiTheme="minorHAnsi" w:hAnsiTheme="minorHAnsi" w:cstheme="minorHAnsi"/>
          <w:lang w:val="fr-FR"/>
        </w:rPr>
        <w:t>une grande expérience dans le développement et la commercialisation de produits biopharmaceutiques sur les maladies infectieuses et les antiviraux. La Société dispose en outre d</w:t>
      </w:r>
      <w:r w:rsidR="004572A0" w:rsidRPr="00C73365">
        <w:rPr>
          <w:rFonts w:asciiTheme="minorHAnsi" w:hAnsiTheme="minorHAnsi" w:cstheme="minorHAnsi"/>
          <w:lang w:val="fr-FR"/>
        </w:rPr>
        <w:t>’</w:t>
      </w:r>
      <w:r w:rsidR="00F77970" w:rsidRPr="00C73365">
        <w:rPr>
          <w:rFonts w:asciiTheme="minorHAnsi" w:hAnsiTheme="minorHAnsi" w:cstheme="minorHAnsi"/>
          <w:lang w:val="fr-FR"/>
        </w:rPr>
        <w:t>un comité scientifique de renommée internationale, composé d’experts ainsi que d</w:t>
      </w:r>
      <w:r w:rsidR="004572A0" w:rsidRPr="00C73365">
        <w:rPr>
          <w:rFonts w:asciiTheme="minorHAnsi" w:hAnsiTheme="minorHAnsi" w:cstheme="minorHAnsi"/>
          <w:lang w:val="fr-FR"/>
        </w:rPr>
        <w:t>’</w:t>
      </w:r>
      <w:r w:rsidR="00F77970" w:rsidRPr="00C73365">
        <w:rPr>
          <w:rFonts w:asciiTheme="minorHAnsi" w:hAnsiTheme="minorHAnsi" w:cstheme="minorHAnsi"/>
          <w:lang w:val="fr-FR"/>
        </w:rPr>
        <w:t>un conseil d</w:t>
      </w:r>
      <w:r w:rsidR="004572A0" w:rsidRPr="00C73365">
        <w:rPr>
          <w:rFonts w:asciiTheme="minorHAnsi" w:hAnsiTheme="minorHAnsi" w:cstheme="minorHAnsi"/>
          <w:lang w:val="fr-FR"/>
        </w:rPr>
        <w:t>’</w:t>
      </w:r>
      <w:r w:rsidR="00F77970" w:rsidRPr="00C73365">
        <w:rPr>
          <w:rFonts w:asciiTheme="minorHAnsi" w:hAnsiTheme="minorHAnsi" w:cstheme="minorHAnsi"/>
          <w:lang w:val="fr-FR"/>
        </w:rPr>
        <w:t xml:space="preserve">administration constitué de membres avec une solide expérience acquise au sein de grands laboratoires pharmaceutiques et de fabricants internationaux de vaccins. </w:t>
      </w:r>
    </w:p>
    <w:p w:rsidR="00776BB9" w:rsidRPr="00C73365" w:rsidRDefault="00776BB9" w:rsidP="007A1897">
      <w:pPr>
        <w:pStyle w:val="ConmainL2"/>
        <w:numPr>
          <w:ilvl w:val="1"/>
          <w:numId w:val="9"/>
        </w:numPr>
        <w:spacing w:after="120"/>
        <w:rPr>
          <w:rFonts w:asciiTheme="minorHAnsi" w:hAnsiTheme="minorHAnsi" w:cstheme="minorHAnsi"/>
          <w:sz w:val="22"/>
          <w:szCs w:val="22"/>
          <w:lang w:val="fr-FR"/>
        </w:rPr>
      </w:pPr>
      <w:bookmarkStart w:id="358" w:name="_Toc512863912"/>
      <w:r w:rsidRPr="00C73365">
        <w:rPr>
          <w:rFonts w:asciiTheme="minorHAnsi" w:hAnsiTheme="minorHAnsi" w:cstheme="minorHAnsi"/>
          <w:sz w:val="22"/>
          <w:szCs w:val="22"/>
          <w:lang w:val="fr-FR"/>
        </w:rPr>
        <w:t xml:space="preserve">Examen de la situation financière au 31 </w:t>
      </w:r>
      <w:r w:rsidR="008C1A4A">
        <w:rPr>
          <w:rFonts w:asciiTheme="minorHAnsi" w:hAnsiTheme="minorHAnsi" w:cstheme="minorHAnsi"/>
          <w:sz w:val="22"/>
          <w:szCs w:val="22"/>
          <w:lang w:val="fr-FR"/>
        </w:rPr>
        <w:t>d</w:t>
      </w:r>
      <w:r w:rsidRPr="00C73365">
        <w:rPr>
          <w:rFonts w:asciiTheme="minorHAnsi" w:hAnsiTheme="minorHAnsi" w:cstheme="minorHAnsi"/>
          <w:sz w:val="22"/>
          <w:szCs w:val="22"/>
          <w:lang w:val="fr-FR"/>
        </w:rPr>
        <w:t xml:space="preserve">écembre </w:t>
      </w:r>
      <w:bookmarkEnd w:id="355"/>
      <w:bookmarkEnd w:id="356"/>
      <w:r w:rsidRPr="00C73365">
        <w:rPr>
          <w:rFonts w:asciiTheme="minorHAnsi" w:hAnsiTheme="minorHAnsi" w:cstheme="minorHAnsi"/>
          <w:sz w:val="22"/>
          <w:szCs w:val="22"/>
          <w:lang w:val="fr-FR"/>
        </w:rPr>
        <w:t>2017</w:t>
      </w:r>
      <w:bookmarkEnd w:id="358"/>
    </w:p>
    <w:p w:rsidR="00776BB9" w:rsidRPr="00C73365" w:rsidRDefault="00776BB9" w:rsidP="004572A0">
      <w:pPr>
        <w:pStyle w:val="ListContinue"/>
        <w:rPr>
          <w:rFonts w:asciiTheme="minorHAnsi" w:hAnsiTheme="minorHAnsi" w:cstheme="minorHAnsi"/>
          <w:lang w:val="fr-FR"/>
        </w:rPr>
        <w:sectPr w:rsidR="00776BB9" w:rsidRPr="00C73365" w:rsidSect="00776BB9">
          <w:pgSz w:w="11907" w:h="16840" w:code="9"/>
          <w:pgMar w:top="1134" w:right="1134" w:bottom="1134" w:left="1134" w:header="709" w:footer="709" w:gutter="0"/>
          <w:cols w:space="567"/>
          <w:docGrid w:linePitch="360"/>
        </w:sectPr>
      </w:pPr>
    </w:p>
    <w:p w:rsidR="00776BB9" w:rsidRPr="00C73365" w:rsidRDefault="00776BB9" w:rsidP="004572A0">
      <w:pPr>
        <w:pStyle w:val="ListContinue"/>
        <w:rPr>
          <w:rFonts w:asciiTheme="minorHAnsi" w:hAnsiTheme="minorHAnsi" w:cstheme="minorHAnsi"/>
          <w:b/>
          <w:lang w:val="fr-FR"/>
        </w:rPr>
      </w:pPr>
      <w:r w:rsidRPr="00C73365">
        <w:rPr>
          <w:rFonts w:asciiTheme="minorHAnsi" w:hAnsiTheme="minorHAnsi" w:cstheme="minorHAnsi"/>
          <w:b/>
          <w:lang w:val="fr-FR"/>
        </w:rPr>
        <w:t>ANALYSE DE LA SITUATION FINANCIERE</w:t>
      </w:r>
    </w:p>
    <w:p w:rsidR="00776BB9" w:rsidRPr="00C73365" w:rsidRDefault="00776BB9" w:rsidP="004572A0">
      <w:pPr>
        <w:pStyle w:val="ListContinu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La société a été créée sous forme de Société Anonyme le 6 </w:t>
      </w:r>
      <w:r w:rsidR="008C1A4A">
        <w:rPr>
          <w:rFonts w:asciiTheme="minorHAnsi" w:eastAsia="MS Mincho" w:hAnsiTheme="minorHAnsi" w:cstheme="minorHAnsi"/>
          <w:lang w:val="fr-FR" w:eastAsia="fr-FR"/>
        </w:rPr>
        <w:t>d</w:t>
      </w:r>
      <w:r w:rsidRPr="00C73365">
        <w:rPr>
          <w:rFonts w:asciiTheme="minorHAnsi" w:eastAsia="MS Mincho" w:hAnsiTheme="minorHAnsi" w:cstheme="minorHAnsi"/>
          <w:lang w:val="fr-FR" w:eastAsia="fr-FR"/>
        </w:rPr>
        <w:t>écembre 2013 et a intégré en 2014 par voie de transmission universelle de patrimoine les sociétés Splicos, Wittycell et Zophis.</w:t>
      </w:r>
    </w:p>
    <w:p w:rsidR="00776BB9" w:rsidRPr="00C73365" w:rsidRDefault="00776BB9" w:rsidP="004572A0">
      <w:pPr>
        <w:pStyle w:val="ListContinu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Depuis le 26 Juin 2015, la Société est cotée sur le compartiment C d’Euronext à Paris. </w:t>
      </w:r>
    </w:p>
    <w:p w:rsidR="00776BB9" w:rsidRPr="00C73365" w:rsidRDefault="00776BB9" w:rsidP="004572A0">
      <w:pPr>
        <w:pStyle w:val="ListContinue"/>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Elle n’a pas de filiale et n’est pas soumise de ce fait à l’obligation de présenter des comptes consolidés en normes IFRS. Ses comptes annuels sont donc élaborés en conformité avec les normes et principes de la comptabilité française.</w:t>
      </w:r>
    </w:p>
    <w:p w:rsidR="00776BB9" w:rsidRPr="00C73365" w:rsidRDefault="00776BB9" w:rsidP="004572A0">
      <w:pPr>
        <w:pStyle w:val="ListContinue"/>
        <w:rPr>
          <w:rFonts w:asciiTheme="minorHAnsi" w:hAnsiTheme="minorHAnsi" w:cstheme="minorHAnsi"/>
          <w:b/>
          <w:lang w:val="fr-FR"/>
        </w:rPr>
      </w:pPr>
      <w:r w:rsidRPr="00C73365">
        <w:rPr>
          <w:rFonts w:asciiTheme="minorHAnsi" w:hAnsiTheme="minorHAnsi" w:cstheme="minorHAnsi"/>
          <w:b/>
          <w:lang w:val="fr-FR"/>
        </w:rPr>
        <w:t>EXPOS</w:t>
      </w:r>
      <w:r w:rsidR="002013C0">
        <w:rPr>
          <w:rFonts w:asciiTheme="minorHAnsi" w:hAnsiTheme="minorHAnsi" w:cstheme="minorHAnsi"/>
          <w:b/>
          <w:lang w:val="fr-FR"/>
        </w:rPr>
        <w:t>É</w:t>
      </w:r>
      <w:r w:rsidRPr="00C73365">
        <w:rPr>
          <w:rFonts w:asciiTheme="minorHAnsi" w:hAnsiTheme="minorHAnsi" w:cstheme="minorHAnsi"/>
          <w:b/>
          <w:lang w:val="fr-FR"/>
        </w:rPr>
        <w:t xml:space="preserve"> SUR LES RESULTATS AU 31/12/2017</w:t>
      </w:r>
    </w:p>
    <w:p w:rsidR="00776BB9" w:rsidRPr="00C73365" w:rsidRDefault="00776BB9" w:rsidP="004572A0">
      <w:pPr>
        <w:pStyle w:val="ListContinue"/>
        <w:rPr>
          <w:rFonts w:asciiTheme="minorHAnsi" w:hAnsiTheme="minorHAnsi" w:cstheme="minorHAnsi"/>
          <w:b/>
          <w:lang w:val="fr-FR"/>
        </w:rPr>
      </w:pPr>
      <w:r w:rsidRPr="00C73365">
        <w:rPr>
          <w:rFonts w:asciiTheme="minorHAnsi" w:hAnsiTheme="minorHAnsi" w:cstheme="minorHAnsi"/>
          <w:lang w:val="fr-FR"/>
        </w:rPr>
        <w:t>Les états financiers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au 31 </w:t>
      </w:r>
      <w:r w:rsidR="008C1A4A">
        <w:rPr>
          <w:rFonts w:asciiTheme="minorHAnsi" w:hAnsiTheme="minorHAnsi" w:cstheme="minorHAnsi"/>
          <w:lang w:val="fr-FR"/>
        </w:rPr>
        <w:t>d</w:t>
      </w:r>
      <w:r w:rsidRPr="00C73365">
        <w:rPr>
          <w:rFonts w:asciiTheme="minorHAnsi" w:hAnsiTheme="minorHAnsi" w:cstheme="minorHAnsi"/>
          <w:lang w:val="fr-FR"/>
        </w:rPr>
        <w:t>écembre 2017 reflètent essentiellement :</w:t>
      </w:r>
    </w:p>
    <w:p w:rsidR="00776BB9" w:rsidRPr="00C73365" w:rsidRDefault="00776BB9" w:rsidP="00434C49">
      <w:pPr>
        <w:pStyle w:val="ListParagraph"/>
        <w:numPr>
          <w:ilvl w:val="0"/>
          <w:numId w:val="72"/>
        </w:numPr>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La prépondérance des charges de R&amp;D</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L’importance des charges d’exploitation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le reflet d’une activité de recherche et développement intense sur la partie clinique et sur la partie pré clinique. </w:t>
      </w:r>
      <w:r w:rsidR="00F978BF">
        <w:rPr>
          <w:rFonts w:asciiTheme="minorHAnsi" w:hAnsiTheme="minorHAnsi" w:cstheme="minorHAnsi"/>
          <w:lang w:val="fr-FR"/>
        </w:rPr>
        <w:t xml:space="preserve"> </w:t>
      </w:r>
      <w:r w:rsidRPr="00C73365">
        <w:rPr>
          <w:rFonts w:asciiTheme="minorHAnsi" w:hAnsiTheme="minorHAnsi" w:cstheme="minorHAnsi"/>
          <w:lang w:val="fr-FR"/>
        </w:rPr>
        <w:t xml:space="preserve">Les charges de R&amp;D représentent la grande majorité des charges </w:t>
      </w:r>
      <w:r w:rsidR="00226DD9" w:rsidRPr="00C73365">
        <w:rPr>
          <w:rFonts w:asciiTheme="minorHAnsi" w:hAnsiTheme="minorHAnsi" w:cstheme="minorHAnsi"/>
          <w:lang w:val="fr-FR"/>
        </w:rPr>
        <w:lastRenderedPageBreak/>
        <w:t>d’exploitation :</w:t>
      </w:r>
      <w:r w:rsidRPr="00C73365">
        <w:rPr>
          <w:rFonts w:asciiTheme="minorHAnsi" w:hAnsiTheme="minorHAnsi" w:cstheme="minorHAnsi"/>
          <w:lang w:val="fr-FR"/>
        </w:rPr>
        <w:t xml:space="preserve"> </w:t>
      </w:r>
      <w:r w:rsidR="00226DD9" w:rsidRPr="00C73365">
        <w:rPr>
          <w:rFonts w:asciiTheme="minorHAnsi" w:hAnsiTheme="minorHAnsi" w:cstheme="minorHAnsi"/>
          <w:lang w:val="fr-FR"/>
        </w:rPr>
        <w:t>75</w:t>
      </w:r>
      <w:r w:rsidRPr="00C73365">
        <w:rPr>
          <w:rFonts w:asciiTheme="minorHAnsi" w:hAnsiTheme="minorHAnsi" w:cstheme="minorHAnsi"/>
          <w:lang w:val="fr-FR"/>
        </w:rPr>
        <w:t>% du total des charges vs 8</w:t>
      </w:r>
      <w:r w:rsidR="00226DD9" w:rsidRPr="00C73365">
        <w:rPr>
          <w:rFonts w:asciiTheme="minorHAnsi" w:hAnsiTheme="minorHAnsi" w:cstheme="minorHAnsi"/>
          <w:lang w:val="fr-FR"/>
        </w:rPr>
        <w:t>4</w:t>
      </w:r>
      <w:r w:rsidRPr="00C73365">
        <w:rPr>
          <w:rFonts w:asciiTheme="minorHAnsi" w:hAnsiTheme="minorHAnsi" w:cstheme="minorHAnsi"/>
          <w:lang w:val="fr-FR"/>
        </w:rPr>
        <w:t>% sur l’année 201</w:t>
      </w:r>
      <w:r w:rsidR="00226DD9" w:rsidRPr="00C73365">
        <w:rPr>
          <w:rFonts w:asciiTheme="minorHAnsi" w:hAnsiTheme="minorHAnsi" w:cstheme="minorHAnsi"/>
          <w:lang w:val="fr-FR"/>
        </w:rPr>
        <w:t>6</w:t>
      </w:r>
      <w:r w:rsidRPr="00C73365">
        <w:rPr>
          <w:rFonts w:asciiTheme="minorHAnsi" w:hAnsiTheme="minorHAnsi" w:cstheme="minorHAnsi"/>
          <w:lang w:val="fr-FR"/>
        </w:rPr>
        <w:t>.</w:t>
      </w:r>
      <w:r w:rsidR="005D5BB7" w:rsidRPr="00C73365">
        <w:rPr>
          <w:rFonts w:asciiTheme="minorHAnsi" w:hAnsiTheme="minorHAnsi" w:cstheme="minorHAnsi"/>
          <w:lang w:val="fr-FR"/>
        </w:rPr>
        <w:t xml:space="preserve"> Cette baisse retrace l’arrêt du développement de l’ABX203 </w:t>
      </w:r>
      <w:r w:rsidR="00A35783" w:rsidRPr="00C73365">
        <w:rPr>
          <w:rFonts w:asciiTheme="minorHAnsi" w:hAnsiTheme="minorHAnsi" w:cstheme="minorHAnsi"/>
          <w:lang w:val="fr-FR"/>
        </w:rPr>
        <w:t xml:space="preserve">(Hépatite B) </w:t>
      </w:r>
      <w:r w:rsidR="005D5BB7" w:rsidRPr="00C73365">
        <w:rPr>
          <w:rFonts w:asciiTheme="minorHAnsi" w:hAnsiTheme="minorHAnsi" w:cstheme="minorHAnsi"/>
          <w:lang w:val="fr-FR"/>
        </w:rPr>
        <w:t xml:space="preserve">fin 2016. L’étude clinique de phase III portant sur l’ABX203 a engendré près de </w:t>
      </w:r>
      <w:r w:rsidR="001306B6" w:rsidRPr="00C73365">
        <w:rPr>
          <w:rFonts w:asciiTheme="minorHAnsi" w:hAnsiTheme="minorHAnsi" w:cstheme="minorHAnsi"/>
          <w:lang w:val="fr-FR"/>
        </w:rPr>
        <w:t>-</w:t>
      </w:r>
      <w:r w:rsidR="005D5BB7" w:rsidRPr="00C73365">
        <w:rPr>
          <w:rFonts w:asciiTheme="minorHAnsi" w:hAnsiTheme="minorHAnsi" w:cstheme="minorHAnsi"/>
          <w:lang w:val="fr-FR"/>
        </w:rPr>
        <w:t>5 millions d’euros ce coûts en 2016 qui n’ont pas été reproduits en 2017.</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maintient sa politique stricte en matière de charges administratives tout en poursuivant activement ses programmes de recherche prioritaires et l’initiation de ses projets de R&amp;D émergents. </w:t>
      </w:r>
    </w:p>
    <w:p w:rsidR="005D5BB7"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Ces charges opérationnelles concernent majoritairement des travaux de R&amp;D sous-traités à des prestataires privés ou confiés à des organismes publics de recherche, notamment pour les essais cliniques internationaux d’ABX464, ainsi que les coûts liés au fonctionnement de ses plateformes technologiques.</w:t>
      </w:r>
      <w:r w:rsidR="003F09F3" w:rsidRPr="00C73365">
        <w:rPr>
          <w:rFonts w:asciiTheme="minorHAnsi" w:hAnsiTheme="minorHAnsi" w:cstheme="minorHAnsi"/>
          <w:lang w:val="fr-FR"/>
        </w:rPr>
        <w:t xml:space="preserve"> </w:t>
      </w:r>
      <w:r w:rsidR="005D5BB7" w:rsidRPr="00C73365">
        <w:rPr>
          <w:rFonts w:asciiTheme="minorHAnsi" w:hAnsiTheme="minorHAnsi" w:cstheme="minorHAnsi"/>
          <w:lang w:val="fr-FR"/>
        </w:rPr>
        <w:t>En 2017, les dépenses de R&amp;D s’élevaient</w:t>
      </w:r>
      <w:r w:rsidR="003F09F3" w:rsidRPr="00C73365">
        <w:rPr>
          <w:rFonts w:asciiTheme="minorHAnsi" w:hAnsiTheme="minorHAnsi" w:cstheme="minorHAnsi"/>
          <w:lang w:val="fr-FR"/>
        </w:rPr>
        <w:t xml:space="preserve"> ainsi</w:t>
      </w:r>
      <w:r w:rsidR="005D5BB7" w:rsidRPr="00C73365">
        <w:rPr>
          <w:rFonts w:asciiTheme="minorHAnsi" w:hAnsiTheme="minorHAnsi" w:cstheme="minorHAnsi"/>
          <w:lang w:val="fr-FR"/>
        </w:rPr>
        <w:t xml:space="preserve"> à </w:t>
      </w:r>
      <w:r w:rsidR="001306B6" w:rsidRPr="00C73365">
        <w:rPr>
          <w:rFonts w:asciiTheme="minorHAnsi" w:hAnsiTheme="minorHAnsi" w:cstheme="minorHAnsi"/>
          <w:lang w:val="fr-FR"/>
        </w:rPr>
        <w:t>-</w:t>
      </w:r>
      <w:r w:rsidR="005D5BB7" w:rsidRPr="00C73365">
        <w:rPr>
          <w:rFonts w:asciiTheme="minorHAnsi" w:hAnsiTheme="minorHAnsi" w:cstheme="minorHAnsi"/>
          <w:lang w:val="fr-FR"/>
        </w:rPr>
        <w:t xml:space="preserve">10,8 millions d’euros, investissements majoritairement ciblés sur l’ABX464, le principal composé chimique </w:t>
      </w:r>
      <w:r w:rsidR="00EF089C" w:rsidRPr="00C73365">
        <w:rPr>
          <w:rFonts w:asciiTheme="minorHAnsi" w:hAnsiTheme="minorHAnsi" w:cstheme="minorHAnsi"/>
          <w:lang w:val="fr-FR"/>
        </w:rPr>
        <w:t>ABIVAX</w:t>
      </w:r>
      <w:r w:rsidR="005D5BB7" w:rsidRPr="00C73365">
        <w:rPr>
          <w:rFonts w:asciiTheme="minorHAnsi" w:hAnsiTheme="minorHAnsi" w:cstheme="minorHAnsi"/>
          <w:lang w:val="fr-FR"/>
        </w:rPr>
        <w:t xml:space="preserve">, pour un montant de </w:t>
      </w:r>
      <w:r w:rsidR="001306B6" w:rsidRPr="00C73365">
        <w:rPr>
          <w:rFonts w:asciiTheme="minorHAnsi" w:hAnsiTheme="minorHAnsi" w:cstheme="minorHAnsi"/>
          <w:lang w:val="fr-FR"/>
        </w:rPr>
        <w:t>-</w:t>
      </w:r>
      <w:r w:rsidR="005D5BB7" w:rsidRPr="00C73365">
        <w:rPr>
          <w:rFonts w:asciiTheme="minorHAnsi" w:hAnsiTheme="minorHAnsi" w:cstheme="minorHAnsi"/>
          <w:lang w:val="fr-FR"/>
        </w:rPr>
        <w:t>6,2 millions d’euros</w:t>
      </w:r>
      <w:r w:rsidR="003F09F3" w:rsidRPr="00C73365">
        <w:rPr>
          <w:rFonts w:asciiTheme="minorHAnsi" w:hAnsiTheme="minorHAnsi" w:cstheme="minorHAnsi"/>
          <w:lang w:val="fr-FR"/>
        </w:rPr>
        <w:t xml:space="preserve"> puis sur le</w:t>
      </w:r>
      <w:r w:rsidR="005D5BB7" w:rsidRPr="00C73365">
        <w:rPr>
          <w:rFonts w:asciiTheme="minorHAnsi" w:hAnsiTheme="minorHAnsi" w:cstheme="minorHAnsi"/>
          <w:lang w:val="fr-FR"/>
        </w:rPr>
        <w:t xml:space="preserve"> développement</w:t>
      </w:r>
      <w:r w:rsidR="003F09F3" w:rsidRPr="00C73365">
        <w:rPr>
          <w:rFonts w:asciiTheme="minorHAnsi" w:hAnsiTheme="minorHAnsi" w:cstheme="minorHAnsi"/>
          <w:lang w:val="fr-FR"/>
        </w:rPr>
        <w:t xml:space="preserve"> notamment de l’ABX196 (Cancer) et de l’ABX544 (Ebola) </w:t>
      </w:r>
      <w:r w:rsidR="005D5BB7" w:rsidRPr="00C73365">
        <w:rPr>
          <w:rFonts w:asciiTheme="minorHAnsi" w:hAnsiTheme="minorHAnsi" w:cstheme="minorHAnsi"/>
          <w:lang w:val="fr-FR"/>
        </w:rPr>
        <w:t xml:space="preserve">et </w:t>
      </w:r>
      <w:r w:rsidR="003F09F3" w:rsidRPr="00C73365">
        <w:rPr>
          <w:rFonts w:asciiTheme="minorHAnsi" w:hAnsiTheme="minorHAnsi" w:cstheme="minorHAnsi"/>
          <w:lang w:val="fr-FR"/>
        </w:rPr>
        <w:t xml:space="preserve">enfin sur la phase de </w:t>
      </w:r>
      <w:r w:rsidR="005D5BB7" w:rsidRPr="00C73365">
        <w:rPr>
          <w:rFonts w:asciiTheme="minorHAnsi" w:hAnsiTheme="minorHAnsi" w:cstheme="minorHAnsi"/>
          <w:lang w:val="fr-FR"/>
        </w:rPr>
        <w:t>recherche.</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perte opérationnelle s’élève au 31 </w:t>
      </w:r>
      <w:r w:rsidR="00F978BF">
        <w:rPr>
          <w:rFonts w:asciiTheme="minorHAnsi" w:hAnsiTheme="minorHAnsi" w:cstheme="minorHAnsi"/>
          <w:lang w:val="fr-FR"/>
        </w:rPr>
        <w:t>d</w:t>
      </w:r>
      <w:r w:rsidRPr="00C73365">
        <w:rPr>
          <w:rFonts w:asciiTheme="minorHAnsi" w:hAnsiTheme="minorHAnsi" w:cstheme="minorHAnsi"/>
          <w:lang w:val="fr-FR"/>
        </w:rPr>
        <w:t>écembre 201</w:t>
      </w:r>
      <w:r w:rsidR="00226DD9" w:rsidRPr="00C73365">
        <w:rPr>
          <w:rFonts w:asciiTheme="minorHAnsi" w:hAnsiTheme="minorHAnsi" w:cstheme="minorHAnsi"/>
          <w:lang w:val="fr-FR"/>
        </w:rPr>
        <w:t>7</w:t>
      </w:r>
      <w:r w:rsidRPr="00C73365">
        <w:rPr>
          <w:rFonts w:asciiTheme="minorHAnsi" w:hAnsiTheme="minorHAnsi" w:cstheme="minorHAnsi"/>
          <w:lang w:val="fr-FR"/>
        </w:rPr>
        <w:t xml:space="preserve"> à </w:t>
      </w:r>
      <w:r w:rsidR="001306B6" w:rsidRPr="00C73365">
        <w:rPr>
          <w:rFonts w:asciiTheme="minorHAnsi" w:hAnsiTheme="minorHAnsi" w:cstheme="minorHAnsi"/>
          <w:lang w:val="fr-FR"/>
        </w:rPr>
        <w:t>-</w:t>
      </w:r>
      <w:r w:rsidRPr="00C73365">
        <w:rPr>
          <w:rFonts w:asciiTheme="minorHAnsi" w:hAnsiTheme="minorHAnsi" w:cstheme="minorHAnsi"/>
          <w:lang w:val="fr-FR"/>
        </w:rPr>
        <w:t>1</w:t>
      </w:r>
      <w:r w:rsidR="00226DD9" w:rsidRPr="00C73365">
        <w:rPr>
          <w:rFonts w:asciiTheme="minorHAnsi" w:hAnsiTheme="minorHAnsi" w:cstheme="minorHAnsi"/>
          <w:lang w:val="fr-FR"/>
        </w:rPr>
        <w:t>4 150</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contre </w:t>
      </w:r>
      <w:r w:rsidR="001306B6" w:rsidRPr="00C73365">
        <w:rPr>
          <w:rFonts w:asciiTheme="minorHAnsi" w:hAnsiTheme="minorHAnsi" w:cstheme="minorHAnsi"/>
          <w:lang w:val="fr-FR"/>
        </w:rPr>
        <w:t>-</w:t>
      </w:r>
      <w:r w:rsidRPr="00C73365">
        <w:rPr>
          <w:rFonts w:asciiTheme="minorHAnsi" w:hAnsiTheme="minorHAnsi" w:cstheme="minorHAnsi"/>
          <w:lang w:val="fr-FR"/>
        </w:rPr>
        <w:t>18 2</w:t>
      </w:r>
      <w:r w:rsidR="00226DD9" w:rsidRPr="00C73365">
        <w:rPr>
          <w:rFonts w:asciiTheme="minorHAnsi" w:hAnsiTheme="minorHAnsi" w:cstheme="minorHAnsi"/>
          <w:lang w:val="fr-FR"/>
        </w:rPr>
        <w:t>36</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31 </w:t>
      </w:r>
      <w:r w:rsidR="008C1A4A">
        <w:rPr>
          <w:rFonts w:asciiTheme="minorHAnsi" w:hAnsiTheme="minorHAnsi" w:cstheme="minorHAnsi"/>
          <w:lang w:val="fr-FR"/>
        </w:rPr>
        <w:t>d</w:t>
      </w:r>
      <w:r w:rsidRPr="00C73365">
        <w:rPr>
          <w:rFonts w:asciiTheme="minorHAnsi" w:hAnsiTheme="minorHAnsi" w:cstheme="minorHAnsi"/>
          <w:lang w:val="fr-FR"/>
        </w:rPr>
        <w:t>écembre 201</w:t>
      </w:r>
      <w:r w:rsidR="00226DD9" w:rsidRPr="00C73365">
        <w:rPr>
          <w:rFonts w:asciiTheme="minorHAnsi" w:hAnsiTheme="minorHAnsi" w:cstheme="minorHAnsi"/>
          <w:lang w:val="fr-FR"/>
        </w:rPr>
        <w:t>6</w:t>
      </w:r>
      <w:r w:rsidRPr="00C73365">
        <w:rPr>
          <w:rFonts w:asciiTheme="minorHAnsi" w:hAnsiTheme="minorHAnsi" w:cstheme="minorHAnsi"/>
          <w:lang w:val="fr-FR"/>
        </w:rPr>
        <w:t xml:space="preserve">. </w:t>
      </w:r>
      <w:r w:rsidR="00F978BF">
        <w:rPr>
          <w:rFonts w:asciiTheme="minorHAnsi" w:hAnsiTheme="minorHAnsi" w:cstheme="minorHAnsi"/>
          <w:lang w:val="fr-FR"/>
        </w:rPr>
        <w:t xml:space="preserve"> </w:t>
      </w:r>
      <w:r w:rsidRPr="00C73365">
        <w:rPr>
          <w:rFonts w:asciiTheme="minorHAnsi" w:hAnsiTheme="minorHAnsi" w:cstheme="minorHAnsi"/>
          <w:lang w:val="fr-FR"/>
        </w:rPr>
        <w:t xml:space="preserve">Le crédit d’impôt recherche constaté à l’actif à fin </w:t>
      </w:r>
      <w:r w:rsidR="00F978BF">
        <w:rPr>
          <w:rFonts w:asciiTheme="minorHAnsi" w:hAnsiTheme="minorHAnsi" w:cstheme="minorHAnsi"/>
          <w:lang w:val="fr-FR"/>
        </w:rPr>
        <w:t>d</w:t>
      </w:r>
      <w:r w:rsidRPr="00C73365">
        <w:rPr>
          <w:rFonts w:asciiTheme="minorHAnsi" w:hAnsiTheme="minorHAnsi" w:cstheme="minorHAnsi"/>
          <w:lang w:val="fr-FR"/>
        </w:rPr>
        <w:t>écembre 201</w:t>
      </w:r>
      <w:r w:rsidR="00226DD9" w:rsidRPr="00C73365">
        <w:rPr>
          <w:rFonts w:asciiTheme="minorHAnsi" w:hAnsiTheme="minorHAnsi" w:cstheme="minorHAnsi"/>
          <w:lang w:val="fr-FR"/>
        </w:rPr>
        <w:t>7</w:t>
      </w:r>
      <w:r w:rsidRPr="00C73365">
        <w:rPr>
          <w:rFonts w:asciiTheme="minorHAnsi" w:hAnsiTheme="minorHAnsi" w:cstheme="minorHAnsi"/>
          <w:lang w:val="fr-FR"/>
        </w:rPr>
        <w:t xml:space="preserve"> s’élève </w:t>
      </w:r>
      <w:r w:rsidR="005D5BB7" w:rsidRPr="00C73365">
        <w:rPr>
          <w:rFonts w:asciiTheme="minorHAnsi" w:hAnsiTheme="minorHAnsi" w:cstheme="minorHAnsi"/>
          <w:lang w:val="fr-FR"/>
        </w:rPr>
        <w:t>à 2</w:t>
      </w:r>
      <w:r w:rsidR="00226DD9" w:rsidRPr="00C73365">
        <w:rPr>
          <w:rFonts w:asciiTheme="minorHAnsi" w:hAnsiTheme="minorHAnsi" w:cstheme="minorHAnsi"/>
          <w:lang w:val="fr-FR"/>
        </w:rPr>
        <w:t xml:space="preserve"> 632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contre </w:t>
      </w:r>
      <w:r w:rsidR="00226DD9" w:rsidRPr="00C73365">
        <w:rPr>
          <w:rFonts w:asciiTheme="minorHAnsi" w:hAnsiTheme="minorHAnsi" w:cstheme="minorHAnsi"/>
          <w:lang w:val="fr-FR"/>
        </w:rPr>
        <w:t>3 519</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à fin </w:t>
      </w:r>
      <w:r w:rsidR="008C1A4A">
        <w:rPr>
          <w:rFonts w:asciiTheme="minorHAnsi" w:hAnsiTheme="minorHAnsi" w:cstheme="minorHAnsi"/>
          <w:lang w:val="fr-FR"/>
        </w:rPr>
        <w:t>d</w:t>
      </w:r>
      <w:r w:rsidRPr="00C73365">
        <w:rPr>
          <w:rFonts w:asciiTheme="minorHAnsi" w:hAnsiTheme="minorHAnsi" w:cstheme="minorHAnsi"/>
          <w:lang w:val="fr-FR"/>
        </w:rPr>
        <w:t>écembre 201</w:t>
      </w:r>
      <w:r w:rsidR="00CB552B">
        <w:rPr>
          <w:rFonts w:asciiTheme="minorHAnsi" w:hAnsiTheme="minorHAnsi" w:cstheme="minorHAnsi"/>
          <w:lang w:val="fr-FR"/>
        </w:rPr>
        <w:t>6</w:t>
      </w:r>
      <w:r w:rsidRPr="00C73365">
        <w:rPr>
          <w:rFonts w:asciiTheme="minorHAnsi" w:hAnsiTheme="minorHAnsi" w:cstheme="minorHAnsi"/>
          <w:lang w:val="fr-FR"/>
        </w:rPr>
        <w:t>.</w:t>
      </w:r>
      <w:r w:rsidR="00F978BF">
        <w:rPr>
          <w:rFonts w:asciiTheme="minorHAnsi" w:hAnsiTheme="minorHAnsi" w:cstheme="minorHAnsi"/>
          <w:lang w:val="fr-FR"/>
        </w:rPr>
        <w:t xml:space="preserve"> </w:t>
      </w:r>
      <w:r w:rsidRPr="00C73365">
        <w:rPr>
          <w:rFonts w:asciiTheme="minorHAnsi" w:hAnsiTheme="minorHAnsi" w:cstheme="minorHAnsi"/>
          <w:lang w:val="fr-FR"/>
        </w:rPr>
        <w:t xml:space="preserve">La perte nette s’établit donc à </w:t>
      </w:r>
      <w:r w:rsidR="001306B6" w:rsidRPr="00C73365">
        <w:rPr>
          <w:rFonts w:asciiTheme="minorHAnsi" w:hAnsiTheme="minorHAnsi" w:cstheme="minorHAnsi"/>
          <w:lang w:val="fr-FR"/>
        </w:rPr>
        <w:t>-</w:t>
      </w:r>
      <w:r w:rsidR="005D5BB7" w:rsidRPr="00C73365">
        <w:rPr>
          <w:rFonts w:asciiTheme="minorHAnsi" w:hAnsiTheme="minorHAnsi" w:cstheme="minorHAnsi"/>
          <w:lang w:val="fr-FR"/>
        </w:rPr>
        <w:t>11 223</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31 </w:t>
      </w:r>
      <w:r w:rsidR="00F978BF">
        <w:rPr>
          <w:rFonts w:asciiTheme="minorHAnsi" w:hAnsiTheme="minorHAnsi" w:cstheme="minorHAnsi"/>
          <w:lang w:val="fr-FR"/>
        </w:rPr>
        <w:t>d</w:t>
      </w:r>
      <w:r w:rsidRPr="00C73365">
        <w:rPr>
          <w:rFonts w:asciiTheme="minorHAnsi" w:hAnsiTheme="minorHAnsi" w:cstheme="minorHAnsi"/>
          <w:lang w:val="fr-FR"/>
        </w:rPr>
        <w:t>écembre 201</w:t>
      </w:r>
      <w:r w:rsidR="005D5BB7" w:rsidRPr="00C73365">
        <w:rPr>
          <w:rFonts w:asciiTheme="minorHAnsi" w:hAnsiTheme="minorHAnsi" w:cstheme="minorHAnsi"/>
          <w:lang w:val="fr-FR"/>
        </w:rPr>
        <w:t>7</w:t>
      </w:r>
      <w:r w:rsidRPr="00C73365">
        <w:rPr>
          <w:rFonts w:asciiTheme="minorHAnsi" w:hAnsiTheme="minorHAnsi" w:cstheme="minorHAnsi"/>
          <w:lang w:val="fr-FR"/>
        </w:rPr>
        <w:t xml:space="preserve"> contre </w:t>
      </w:r>
      <w:r w:rsidR="001306B6" w:rsidRPr="00C73365">
        <w:rPr>
          <w:rFonts w:asciiTheme="minorHAnsi" w:hAnsiTheme="minorHAnsi" w:cstheme="minorHAnsi"/>
          <w:lang w:val="fr-FR"/>
        </w:rPr>
        <w:t>-</w:t>
      </w:r>
      <w:r w:rsidR="005D5BB7" w:rsidRPr="00C73365">
        <w:rPr>
          <w:rFonts w:asciiTheme="minorHAnsi" w:hAnsiTheme="minorHAnsi" w:cstheme="minorHAnsi"/>
          <w:lang w:val="fr-FR"/>
        </w:rPr>
        <w:t xml:space="preserve">14 308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31 </w:t>
      </w:r>
      <w:r w:rsidR="008C1A4A">
        <w:rPr>
          <w:rFonts w:asciiTheme="minorHAnsi" w:hAnsiTheme="minorHAnsi" w:cstheme="minorHAnsi"/>
          <w:lang w:val="fr-FR"/>
        </w:rPr>
        <w:t>d</w:t>
      </w:r>
      <w:r w:rsidRPr="00C73365">
        <w:rPr>
          <w:rFonts w:asciiTheme="minorHAnsi" w:hAnsiTheme="minorHAnsi" w:cstheme="minorHAnsi"/>
          <w:lang w:val="fr-FR"/>
        </w:rPr>
        <w:t>écembre 201</w:t>
      </w:r>
      <w:r w:rsidR="005D5BB7" w:rsidRPr="00C73365">
        <w:rPr>
          <w:rFonts w:asciiTheme="minorHAnsi" w:hAnsiTheme="minorHAnsi" w:cstheme="minorHAnsi"/>
          <w:lang w:val="fr-FR"/>
        </w:rPr>
        <w:t>6</w:t>
      </w:r>
      <w:r w:rsidRPr="00C73365">
        <w:rPr>
          <w:rFonts w:asciiTheme="minorHAnsi" w:hAnsiTheme="minorHAnsi" w:cstheme="minorHAnsi"/>
          <w:lang w:val="fr-FR"/>
        </w:rPr>
        <w:t>.</w:t>
      </w:r>
    </w:p>
    <w:p w:rsidR="00776BB9" w:rsidRPr="00C73365" w:rsidRDefault="00776BB9" w:rsidP="00434C49">
      <w:pPr>
        <w:pStyle w:val="ListParagraph"/>
        <w:numPr>
          <w:ilvl w:val="0"/>
          <w:numId w:val="72"/>
        </w:numPr>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Une trésorerie solide, qui sécurise l</w:t>
      </w:r>
      <w:r w:rsidR="004572A0" w:rsidRPr="00C73365">
        <w:rPr>
          <w:rFonts w:asciiTheme="minorHAnsi" w:hAnsiTheme="minorHAnsi" w:cstheme="minorHAnsi"/>
          <w:b/>
          <w:color w:val="7030A0"/>
          <w:szCs w:val="22"/>
          <w:lang w:val="fr-FR"/>
        </w:rPr>
        <w:t>’</w:t>
      </w:r>
      <w:r w:rsidRPr="00C73365">
        <w:rPr>
          <w:rFonts w:asciiTheme="minorHAnsi" w:hAnsiTheme="minorHAnsi" w:cstheme="minorHAnsi"/>
          <w:b/>
          <w:color w:val="7030A0"/>
          <w:szCs w:val="22"/>
          <w:lang w:val="fr-FR"/>
        </w:rPr>
        <w:t>atteinte des prochaines étapes-clés jusqu</w:t>
      </w:r>
      <w:r w:rsidR="004572A0" w:rsidRPr="00C73365">
        <w:rPr>
          <w:rFonts w:asciiTheme="minorHAnsi" w:hAnsiTheme="minorHAnsi" w:cstheme="minorHAnsi"/>
          <w:b/>
          <w:color w:val="7030A0"/>
          <w:szCs w:val="22"/>
          <w:lang w:val="fr-FR"/>
        </w:rPr>
        <w:t>’</w:t>
      </w:r>
      <w:r w:rsidRPr="00C73365">
        <w:rPr>
          <w:rFonts w:asciiTheme="minorHAnsi" w:hAnsiTheme="minorHAnsi" w:cstheme="minorHAnsi"/>
          <w:b/>
          <w:color w:val="7030A0"/>
          <w:szCs w:val="22"/>
          <w:lang w:val="fr-FR"/>
        </w:rPr>
        <w:t>à mi 201</w:t>
      </w:r>
      <w:r w:rsidR="00F77970" w:rsidRPr="00C73365">
        <w:rPr>
          <w:rFonts w:asciiTheme="minorHAnsi" w:hAnsiTheme="minorHAnsi" w:cstheme="minorHAnsi"/>
          <w:b/>
          <w:color w:val="7030A0"/>
          <w:szCs w:val="22"/>
          <w:lang w:val="fr-FR"/>
        </w:rPr>
        <w:t>9</w:t>
      </w:r>
    </w:p>
    <w:p w:rsidR="00776BB9" w:rsidRPr="00C73365" w:rsidRDefault="00F77970"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bénéficie au 31 </w:t>
      </w:r>
      <w:r w:rsidR="008C1A4A">
        <w:rPr>
          <w:rFonts w:asciiTheme="minorHAnsi" w:hAnsiTheme="minorHAnsi" w:cstheme="minorHAnsi"/>
          <w:lang w:val="fr-FR"/>
        </w:rPr>
        <w:t>d</w:t>
      </w:r>
      <w:r w:rsidRPr="00C73365">
        <w:rPr>
          <w:rFonts w:asciiTheme="minorHAnsi" w:hAnsiTheme="minorHAnsi" w:cstheme="minorHAnsi"/>
          <w:lang w:val="fr-FR"/>
        </w:rPr>
        <w:t xml:space="preserve">écembre 2017 de disponibilités de 2 032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auxquels s’ajoutent 15 000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de placements sur des comptes à terme. </w:t>
      </w:r>
      <w:r w:rsidR="001306B6" w:rsidRPr="00C73365">
        <w:rPr>
          <w:rFonts w:asciiTheme="minorHAnsi" w:hAnsiTheme="minorHAnsi" w:cstheme="minorHAnsi"/>
          <w:lang w:val="fr-FR"/>
        </w:rPr>
        <w:t>L</w:t>
      </w:r>
      <w:r w:rsidR="00776BB9" w:rsidRPr="00C73365">
        <w:rPr>
          <w:rFonts w:asciiTheme="minorHAnsi" w:hAnsiTheme="minorHAnsi" w:cstheme="minorHAnsi"/>
          <w:lang w:val="fr-FR"/>
        </w:rPr>
        <w:t>es ressources financières de la Société permettront de couvrir les besoins nets de financement de la société jusqu’à mi 201</w:t>
      </w:r>
      <w:r w:rsidR="00E10E3F" w:rsidRPr="00C73365">
        <w:rPr>
          <w:rFonts w:asciiTheme="minorHAnsi" w:hAnsiTheme="minorHAnsi" w:cstheme="minorHAnsi"/>
          <w:lang w:val="fr-FR"/>
        </w:rPr>
        <w:t>9</w:t>
      </w:r>
      <w:r w:rsidR="00776BB9" w:rsidRPr="00C73365">
        <w:rPr>
          <w:rFonts w:asciiTheme="minorHAnsi" w:hAnsiTheme="minorHAnsi" w:cstheme="minorHAnsi"/>
          <w:lang w:val="fr-FR"/>
        </w:rPr>
        <w:t xml:space="preserve">. </w:t>
      </w:r>
    </w:p>
    <w:p w:rsidR="00776BB9" w:rsidRPr="00C73365" w:rsidRDefault="00776BB9" w:rsidP="00A96CCA">
      <w:pPr>
        <w:pStyle w:val="Default"/>
        <w:spacing w:after="120"/>
        <w:jc w:val="both"/>
        <w:rPr>
          <w:rFonts w:asciiTheme="minorHAnsi" w:hAnsiTheme="minorHAnsi" w:cstheme="minorHAnsi"/>
          <w:b/>
          <w:color w:val="7030A0"/>
          <w:sz w:val="20"/>
          <w:szCs w:val="20"/>
          <w:lang w:val="fr-FR"/>
        </w:rPr>
      </w:pPr>
      <w:r w:rsidRPr="00C73365">
        <w:rPr>
          <w:rFonts w:asciiTheme="minorHAnsi" w:hAnsiTheme="minorHAnsi" w:cstheme="minorHAnsi"/>
          <w:b/>
          <w:color w:val="7030A0"/>
          <w:sz w:val="20"/>
          <w:szCs w:val="20"/>
          <w:lang w:val="fr-FR"/>
        </w:rPr>
        <w:t>CHIFFRES CLES</w:t>
      </w:r>
    </w:p>
    <w:p w:rsidR="00776BB9" w:rsidRPr="00C73365" w:rsidRDefault="00776BB9" w:rsidP="00A96CCA">
      <w:pPr>
        <w:pStyle w:val="Default"/>
        <w:spacing w:after="120"/>
        <w:jc w:val="both"/>
        <w:rPr>
          <w:rFonts w:asciiTheme="minorHAnsi" w:hAnsiTheme="minorHAnsi" w:cstheme="minorHAnsi"/>
          <w:color w:val="auto"/>
          <w:sz w:val="20"/>
          <w:szCs w:val="20"/>
          <w:lang w:val="fr-FR"/>
        </w:rPr>
      </w:pPr>
      <w:r w:rsidRPr="00C73365">
        <w:rPr>
          <w:rFonts w:asciiTheme="minorHAnsi" w:hAnsiTheme="minorHAnsi" w:cstheme="minorHAnsi"/>
          <w:color w:val="auto"/>
          <w:sz w:val="20"/>
          <w:szCs w:val="20"/>
          <w:lang w:val="fr-FR"/>
        </w:rPr>
        <w:t>Les tableaux suivants reprennent les éléments clés des résultats semestriels établis conformément aux normes comptables françaises, pour les exercices 2017 et 2016</w:t>
      </w:r>
      <w:r w:rsidR="00E10E3F" w:rsidRPr="00C73365">
        <w:rPr>
          <w:rFonts w:asciiTheme="minorHAnsi" w:hAnsiTheme="minorHAnsi" w:cstheme="minorHAnsi"/>
          <w:color w:val="auto"/>
          <w:sz w:val="20"/>
          <w:szCs w:val="20"/>
          <w:lang w:val="fr-FR"/>
        </w:rPr>
        <w:t>.</w:t>
      </w:r>
    </w:p>
    <w:tbl>
      <w:tblPr>
        <w:tblpPr w:leftFromText="141" w:rightFromText="141" w:vertAnchor="text" w:horzAnchor="margin" w:tblpXSpec="center" w:tblpY="-13"/>
        <w:tblOverlap w:val="never"/>
        <w:tblW w:w="7204" w:type="dxa"/>
        <w:tblCellMar>
          <w:left w:w="70" w:type="dxa"/>
          <w:right w:w="70" w:type="dxa"/>
        </w:tblCellMar>
        <w:tblLook w:val="04A0" w:firstRow="1" w:lastRow="0" w:firstColumn="1" w:lastColumn="0" w:noHBand="0" w:noVBand="1"/>
      </w:tblPr>
      <w:tblGrid>
        <w:gridCol w:w="3760"/>
        <w:gridCol w:w="1225"/>
        <w:gridCol w:w="1225"/>
        <w:gridCol w:w="994"/>
      </w:tblGrid>
      <w:tr w:rsidR="00776BB9" w:rsidRPr="00C73365" w:rsidTr="00E10E3F">
        <w:trPr>
          <w:trHeight w:val="288"/>
        </w:trPr>
        <w:tc>
          <w:tcPr>
            <w:tcW w:w="3760" w:type="dxa"/>
            <w:tcBorders>
              <w:top w:val="single" w:sz="12" w:space="0" w:color="7030A0"/>
              <w:left w:val="nil"/>
              <w:bottom w:val="nil"/>
              <w:right w:val="nil"/>
            </w:tcBorders>
            <w:shd w:val="clear" w:color="auto" w:fill="auto"/>
            <w:vAlign w:val="center"/>
            <w:hideMark/>
          </w:tcPr>
          <w:p w:rsidR="00776BB9" w:rsidRPr="00C73365" w:rsidRDefault="00776BB9" w:rsidP="00E10E3F">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Eléments du Compte de Résultat</w:t>
            </w:r>
          </w:p>
        </w:tc>
        <w:tc>
          <w:tcPr>
            <w:tcW w:w="1225"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225"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31/12/2016</w:t>
            </w:r>
          </w:p>
        </w:tc>
        <w:tc>
          <w:tcPr>
            <w:tcW w:w="994"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w:t>
            </w:r>
          </w:p>
        </w:tc>
      </w:tr>
      <w:tr w:rsidR="00776BB9" w:rsidRPr="00C73365" w:rsidTr="00E10E3F">
        <w:trPr>
          <w:trHeight w:val="288"/>
        </w:trPr>
        <w:tc>
          <w:tcPr>
            <w:tcW w:w="3760"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225" w:type="dxa"/>
            <w:vMerge/>
            <w:tcBorders>
              <w:top w:val="single" w:sz="12" w:space="0" w:color="7030A0"/>
              <w:left w:val="nil"/>
              <w:bottom w:val="single" w:sz="8" w:space="0" w:color="7030A0"/>
              <w:right w:val="nil"/>
            </w:tcBorders>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p>
        </w:tc>
        <w:tc>
          <w:tcPr>
            <w:tcW w:w="1225" w:type="dxa"/>
            <w:vMerge/>
            <w:tcBorders>
              <w:top w:val="single" w:sz="12" w:space="0" w:color="7030A0"/>
              <w:left w:val="nil"/>
              <w:bottom w:val="single" w:sz="8" w:space="0" w:color="7030A0"/>
              <w:right w:val="nil"/>
            </w:tcBorders>
            <w:vAlign w:val="center"/>
            <w:hideMark/>
          </w:tcPr>
          <w:p w:rsidR="00776BB9" w:rsidRPr="00C73365" w:rsidRDefault="00776BB9" w:rsidP="00E10E3F">
            <w:pPr>
              <w:spacing w:after="0"/>
              <w:jc w:val="center"/>
              <w:rPr>
                <w:rFonts w:asciiTheme="minorHAnsi" w:hAnsiTheme="minorHAnsi" w:cstheme="minorHAnsi"/>
                <w:b/>
                <w:bCs/>
                <w:color w:val="000000"/>
                <w:szCs w:val="20"/>
                <w:lang w:val="fr-FR" w:eastAsia="fr-FR"/>
              </w:rPr>
            </w:pPr>
          </w:p>
        </w:tc>
        <w:tc>
          <w:tcPr>
            <w:tcW w:w="994" w:type="dxa"/>
            <w:vMerge/>
            <w:tcBorders>
              <w:top w:val="single" w:sz="12" w:space="0" w:color="7030A0"/>
              <w:left w:val="nil"/>
              <w:bottom w:val="single" w:sz="8" w:space="0" w:color="7030A0"/>
              <w:right w:val="nil"/>
            </w:tcBorders>
            <w:vAlign w:val="center"/>
            <w:hideMark/>
          </w:tcPr>
          <w:p w:rsidR="00776BB9" w:rsidRPr="00C73365" w:rsidRDefault="00776BB9" w:rsidP="00E10E3F">
            <w:pPr>
              <w:spacing w:after="0"/>
              <w:jc w:val="center"/>
              <w:rPr>
                <w:rFonts w:asciiTheme="minorHAnsi" w:hAnsiTheme="minorHAnsi" w:cstheme="minorHAnsi"/>
                <w:b/>
                <w:bCs/>
                <w:color w:val="000000"/>
                <w:szCs w:val="20"/>
                <w:lang w:val="fr-FR" w:eastAsia="fr-FR"/>
              </w:rPr>
            </w:pPr>
          </w:p>
        </w:tc>
      </w:tr>
      <w:tr w:rsidR="00776BB9" w:rsidRPr="00C73365" w:rsidTr="00E10E3F">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E10E3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Total produits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225" w:type="dxa"/>
            <w:tcBorders>
              <w:top w:val="nil"/>
              <w:left w:val="nil"/>
              <w:bottom w:val="nil"/>
              <w:right w:val="nil"/>
            </w:tcBorders>
            <w:shd w:val="clear" w:color="auto" w:fill="auto"/>
            <w:noWrap/>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357</w:t>
            </w:r>
          </w:p>
        </w:tc>
        <w:tc>
          <w:tcPr>
            <w:tcW w:w="1225"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151</w:t>
            </w:r>
          </w:p>
        </w:tc>
        <w:tc>
          <w:tcPr>
            <w:tcW w:w="994"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206</w:t>
            </w:r>
          </w:p>
        </w:tc>
      </w:tr>
      <w:tr w:rsidR="00776BB9" w:rsidRPr="00C73365" w:rsidTr="00E10E3F">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E10E3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Total charges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225" w:type="dxa"/>
            <w:tcBorders>
              <w:top w:val="nil"/>
              <w:left w:val="nil"/>
              <w:bottom w:val="nil"/>
              <w:right w:val="nil"/>
            </w:tcBorders>
            <w:shd w:val="clear" w:color="auto" w:fill="auto"/>
            <w:noWrap/>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14 507</w:t>
            </w:r>
          </w:p>
        </w:tc>
        <w:tc>
          <w:tcPr>
            <w:tcW w:w="1225" w:type="dxa"/>
            <w:tcBorders>
              <w:top w:val="nil"/>
              <w:left w:val="nil"/>
              <w:bottom w:val="nil"/>
              <w:right w:val="nil"/>
            </w:tcBorders>
            <w:shd w:val="clear" w:color="auto" w:fill="auto"/>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18 387</w:t>
            </w:r>
          </w:p>
        </w:tc>
        <w:tc>
          <w:tcPr>
            <w:tcW w:w="994"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3 880</w:t>
            </w:r>
          </w:p>
        </w:tc>
      </w:tr>
      <w:tr w:rsidR="00776BB9" w:rsidRPr="00C73365" w:rsidTr="00E10E3F">
        <w:trPr>
          <w:trHeight w:val="276"/>
        </w:trPr>
        <w:tc>
          <w:tcPr>
            <w:tcW w:w="3760" w:type="dxa"/>
            <w:tcBorders>
              <w:top w:val="nil"/>
              <w:left w:val="nil"/>
              <w:bottom w:val="nil"/>
              <w:right w:val="nil"/>
            </w:tcBorders>
            <w:shd w:val="clear" w:color="000000" w:fill="FFFFFF"/>
            <w:noWrap/>
            <w:vAlign w:val="center"/>
            <w:hideMark/>
          </w:tcPr>
          <w:p w:rsidR="00776BB9" w:rsidRPr="00C73365" w:rsidRDefault="00776BB9" w:rsidP="00E10E3F">
            <w:pPr>
              <w:spacing w:after="0"/>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dont frais de Recherche et Développement</w:t>
            </w:r>
          </w:p>
        </w:tc>
        <w:tc>
          <w:tcPr>
            <w:tcW w:w="1225" w:type="dxa"/>
            <w:tcBorders>
              <w:top w:val="nil"/>
              <w:left w:val="nil"/>
              <w:bottom w:val="nil"/>
              <w:right w:val="nil"/>
            </w:tcBorders>
            <w:shd w:val="clear" w:color="auto" w:fill="auto"/>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w:t>
            </w:r>
            <w:r w:rsidR="00776BB9" w:rsidRPr="00C73365">
              <w:rPr>
                <w:rFonts w:asciiTheme="minorHAnsi" w:hAnsiTheme="minorHAnsi" w:cstheme="minorHAnsi"/>
                <w:i/>
                <w:iCs/>
                <w:color w:val="000000"/>
                <w:szCs w:val="20"/>
              </w:rPr>
              <w:t>10 846</w:t>
            </w:r>
          </w:p>
        </w:tc>
        <w:tc>
          <w:tcPr>
            <w:tcW w:w="1225" w:type="dxa"/>
            <w:tcBorders>
              <w:top w:val="nil"/>
              <w:left w:val="nil"/>
              <w:bottom w:val="nil"/>
              <w:right w:val="nil"/>
            </w:tcBorders>
            <w:shd w:val="clear" w:color="auto" w:fill="auto"/>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15 459</w:t>
            </w:r>
          </w:p>
        </w:tc>
        <w:tc>
          <w:tcPr>
            <w:tcW w:w="994"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4 613</w:t>
            </w:r>
          </w:p>
        </w:tc>
      </w:tr>
      <w:tr w:rsidR="00776BB9" w:rsidRPr="00C73365" w:rsidTr="00E10E3F">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E10E3F">
            <w:pPr>
              <w:spacing w:after="0"/>
              <w:rPr>
                <w:rFonts w:asciiTheme="minorHAnsi" w:hAnsiTheme="minorHAnsi" w:cstheme="minorHAnsi"/>
                <w:i/>
                <w:iCs/>
                <w:color w:val="000000"/>
                <w:szCs w:val="20"/>
                <w:lang w:val="fr-FR" w:eastAsia="fr-FR"/>
              </w:rPr>
            </w:pPr>
            <w:r w:rsidRPr="00C73365">
              <w:rPr>
                <w:rFonts w:asciiTheme="minorHAnsi" w:hAnsiTheme="minorHAnsi" w:cstheme="minorHAnsi"/>
                <w:i/>
                <w:iCs/>
                <w:color w:val="000000"/>
                <w:szCs w:val="20"/>
                <w:lang w:val="fr-FR" w:eastAsia="fr-FR"/>
              </w:rPr>
              <w:t>dont frais administratifs et généraux</w:t>
            </w:r>
          </w:p>
        </w:tc>
        <w:tc>
          <w:tcPr>
            <w:tcW w:w="1225" w:type="dxa"/>
            <w:tcBorders>
              <w:top w:val="nil"/>
              <w:left w:val="nil"/>
              <w:bottom w:val="single" w:sz="8" w:space="0" w:color="7030A0"/>
              <w:right w:val="nil"/>
            </w:tcBorders>
            <w:shd w:val="clear" w:color="auto" w:fill="auto"/>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w:t>
            </w:r>
            <w:r w:rsidR="00776BB9" w:rsidRPr="00C73365">
              <w:rPr>
                <w:rFonts w:asciiTheme="minorHAnsi" w:hAnsiTheme="minorHAnsi" w:cstheme="minorHAnsi"/>
                <w:i/>
                <w:iCs/>
                <w:color w:val="000000"/>
                <w:szCs w:val="20"/>
              </w:rPr>
              <w:t>3 661</w:t>
            </w:r>
          </w:p>
        </w:tc>
        <w:tc>
          <w:tcPr>
            <w:tcW w:w="1225" w:type="dxa"/>
            <w:tcBorders>
              <w:top w:val="nil"/>
              <w:left w:val="nil"/>
              <w:bottom w:val="single" w:sz="8" w:space="0" w:color="7030A0"/>
              <w:right w:val="nil"/>
            </w:tcBorders>
            <w:shd w:val="clear" w:color="auto" w:fill="auto"/>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2 928</w:t>
            </w:r>
          </w:p>
        </w:tc>
        <w:tc>
          <w:tcPr>
            <w:tcW w:w="994" w:type="dxa"/>
            <w:tcBorders>
              <w:top w:val="nil"/>
              <w:left w:val="nil"/>
              <w:bottom w:val="single" w:sz="8" w:space="0" w:color="7030A0"/>
              <w:right w:val="nil"/>
            </w:tcBorders>
            <w:shd w:val="clear" w:color="auto" w:fill="auto"/>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i/>
                <w:iCs/>
                <w:color w:val="000000"/>
                <w:szCs w:val="20"/>
              </w:rPr>
              <w:t>-</w:t>
            </w:r>
            <w:r w:rsidR="00776BB9" w:rsidRPr="00C73365">
              <w:rPr>
                <w:rFonts w:asciiTheme="minorHAnsi" w:hAnsiTheme="minorHAnsi" w:cstheme="minorHAnsi"/>
                <w:i/>
                <w:iCs/>
                <w:color w:val="000000"/>
                <w:szCs w:val="20"/>
              </w:rPr>
              <w:t>733</w:t>
            </w:r>
          </w:p>
        </w:tc>
      </w:tr>
      <w:tr w:rsidR="00776BB9" w:rsidRPr="00C73365" w:rsidTr="00E10E3F">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E10E3F">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Résultat d</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exploitation</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-14 150</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-18 236</w:t>
            </w:r>
          </w:p>
        </w:tc>
        <w:tc>
          <w:tcPr>
            <w:tcW w:w="994"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4 086</w:t>
            </w:r>
          </w:p>
        </w:tc>
      </w:tr>
      <w:tr w:rsidR="00776BB9" w:rsidRPr="00C73365" w:rsidTr="00E10E3F">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E10E3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financier</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77</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258</w:t>
            </w:r>
          </w:p>
        </w:tc>
        <w:tc>
          <w:tcPr>
            <w:tcW w:w="994"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-182</w:t>
            </w:r>
          </w:p>
        </w:tc>
      </w:tr>
      <w:tr w:rsidR="00776BB9" w:rsidRPr="00C73365" w:rsidTr="00E10E3F">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E10E3F">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Résultat courant</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-14 073</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-17 978</w:t>
            </w:r>
          </w:p>
        </w:tc>
        <w:tc>
          <w:tcPr>
            <w:tcW w:w="994"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3 905</w:t>
            </w:r>
          </w:p>
        </w:tc>
      </w:tr>
      <w:tr w:rsidR="00776BB9" w:rsidRPr="00C73365" w:rsidTr="00E10E3F">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E10E3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exceptionnel</w:t>
            </w:r>
          </w:p>
        </w:tc>
        <w:tc>
          <w:tcPr>
            <w:tcW w:w="1225"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159</w:t>
            </w:r>
          </w:p>
        </w:tc>
        <w:tc>
          <w:tcPr>
            <w:tcW w:w="1225"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152</w:t>
            </w:r>
          </w:p>
        </w:tc>
        <w:tc>
          <w:tcPr>
            <w:tcW w:w="994"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w:t>
            </w:r>
          </w:p>
        </w:tc>
      </w:tr>
      <w:tr w:rsidR="00776BB9" w:rsidRPr="00C73365" w:rsidTr="00E10E3F">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E10E3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Impôt sur les bénéfices</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2 692</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3 519</w:t>
            </w:r>
          </w:p>
        </w:tc>
        <w:tc>
          <w:tcPr>
            <w:tcW w:w="994" w:type="dxa"/>
            <w:tcBorders>
              <w:top w:val="nil"/>
              <w:left w:val="nil"/>
              <w:bottom w:val="single" w:sz="8" w:space="0" w:color="7030A0"/>
              <w:right w:val="nil"/>
            </w:tcBorders>
            <w:shd w:val="clear" w:color="auto" w:fill="auto"/>
            <w:vAlign w:val="center"/>
            <w:hideMark/>
          </w:tcPr>
          <w:p w:rsidR="00776BB9" w:rsidRPr="00C73365" w:rsidRDefault="001306B6" w:rsidP="00E10E3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827</w:t>
            </w:r>
          </w:p>
        </w:tc>
      </w:tr>
      <w:tr w:rsidR="00776BB9" w:rsidRPr="00C73365" w:rsidTr="00E10E3F">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E10E3F">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Résultat de l</w:t>
            </w:r>
            <w:r w:rsidR="004572A0" w:rsidRPr="00C73365">
              <w:rPr>
                <w:rFonts w:asciiTheme="minorHAnsi" w:hAnsiTheme="minorHAnsi" w:cstheme="minorHAnsi"/>
                <w:b/>
                <w:bCs/>
                <w:color w:val="7030A0"/>
                <w:szCs w:val="20"/>
                <w:lang w:val="fr-FR" w:eastAsia="fr-FR"/>
              </w:rPr>
              <w:t>’</w:t>
            </w:r>
            <w:r w:rsidRPr="00C73365">
              <w:rPr>
                <w:rFonts w:asciiTheme="minorHAnsi" w:hAnsiTheme="minorHAnsi" w:cstheme="minorHAnsi"/>
                <w:b/>
                <w:bCs/>
                <w:color w:val="7030A0"/>
                <w:szCs w:val="20"/>
                <w:lang w:val="fr-FR" w:eastAsia="fr-FR"/>
              </w:rPr>
              <w:t>exercice</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-11 223</w:t>
            </w:r>
          </w:p>
        </w:tc>
        <w:tc>
          <w:tcPr>
            <w:tcW w:w="1225"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-14 308</w:t>
            </w:r>
          </w:p>
        </w:tc>
        <w:tc>
          <w:tcPr>
            <w:tcW w:w="994"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3 085</w:t>
            </w:r>
          </w:p>
        </w:tc>
      </w:tr>
    </w:tbl>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pPr>
        <w:rPr>
          <w:rFonts w:asciiTheme="minorHAnsi" w:hAnsiTheme="minorHAnsi" w:cstheme="minorHAnsi"/>
          <w:szCs w:val="20"/>
          <w:lang w:val="fr-FR"/>
        </w:rPr>
      </w:pPr>
    </w:p>
    <w:p w:rsidR="00776BB9" w:rsidRPr="00C73365" w:rsidRDefault="00776BB9" w:rsidP="00616826">
      <w:pPr>
        <w:pStyle w:val="ListParagraph"/>
        <w:numPr>
          <w:ilvl w:val="2"/>
          <w:numId w:val="9"/>
        </w:numPr>
        <w:spacing w:after="0"/>
        <w:outlineLvl w:val="2"/>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Produits d’exploitation</w:t>
      </w:r>
    </w:p>
    <w:p w:rsidR="00E10E3F" w:rsidRPr="00C73365" w:rsidRDefault="00E10E3F" w:rsidP="00E10E3F">
      <w:pPr>
        <w:rPr>
          <w:rFonts w:asciiTheme="minorHAnsi" w:hAnsiTheme="minorHAnsi" w:cstheme="minorHAnsi"/>
          <w:lang w:val="fr-FR"/>
        </w:rPr>
      </w:pPr>
    </w:p>
    <w:tbl>
      <w:tblPr>
        <w:tblW w:w="7267" w:type="dxa"/>
        <w:tblInd w:w="1205" w:type="dxa"/>
        <w:tblLook w:val="04A0" w:firstRow="1" w:lastRow="0" w:firstColumn="1" w:lastColumn="0" w:noHBand="0" w:noVBand="1"/>
      </w:tblPr>
      <w:tblGrid>
        <w:gridCol w:w="3427"/>
        <w:gridCol w:w="1280"/>
        <w:gridCol w:w="1280"/>
        <w:gridCol w:w="1280"/>
      </w:tblGrid>
      <w:tr w:rsidR="00776BB9" w:rsidRPr="00C73365" w:rsidTr="00E10E3F">
        <w:trPr>
          <w:trHeight w:val="290"/>
        </w:trPr>
        <w:tc>
          <w:tcPr>
            <w:tcW w:w="3427" w:type="dxa"/>
            <w:tcBorders>
              <w:top w:val="single" w:sz="12" w:space="0" w:color="7030A0"/>
              <w:left w:val="nil"/>
              <w:bottom w:val="nil"/>
              <w:right w:val="nil"/>
            </w:tcBorders>
            <w:shd w:val="clear" w:color="auto" w:fill="auto"/>
            <w:vAlign w:val="center"/>
            <w:hideMark/>
          </w:tcPr>
          <w:p w:rsidR="00776BB9" w:rsidRPr="00C73365" w:rsidRDefault="00776BB9" w:rsidP="00A96CCA">
            <w:pPr>
              <w:spacing w:after="0"/>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Eléments du Compte de Résultat</w:t>
            </w:r>
          </w:p>
        </w:tc>
        <w:tc>
          <w:tcPr>
            <w:tcW w:w="128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28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31/12/2016</w:t>
            </w:r>
          </w:p>
        </w:tc>
        <w:tc>
          <w:tcPr>
            <w:tcW w:w="128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Variation</w:t>
            </w:r>
          </w:p>
        </w:tc>
      </w:tr>
      <w:tr w:rsidR="00776BB9" w:rsidRPr="00C73365" w:rsidTr="00E10E3F">
        <w:trPr>
          <w:trHeight w:val="290"/>
        </w:trPr>
        <w:tc>
          <w:tcPr>
            <w:tcW w:w="3427"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en milliers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euros</w:t>
            </w:r>
          </w:p>
        </w:tc>
        <w:tc>
          <w:tcPr>
            <w:tcW w:w="1280" w:type="dxa"/>
            <w:vMerge/>
            <w:tcBorders>
              <w:top w:val="single" w:sz="12" w:space="0" w:color="7030A0"/>
              <w:left w:val="nil"/>
              <w:bottom w:val="single" w:sz="8" w:space="0" w:color="7030A0"/>
              <w:right w:val="nil"/>
            </w:tcBorders>
            <w:vAlign w:val="center"/>
            <w:hideMark/>
          </w:tcPr>
          <w:p w:rsidR="00776BB9" w:rsidRPr="00C73365" w:rsidRDefault="00776BB9" w:rsidP="00E10E3F">
            <w:pPr>
              <w:spacing w:after="0"/>
              <w:jc w:val="center"/>
              <w:rPr>
                <w:rFonts w:asciiTheme="minorHAnsi" w:hAnsiTheme="minorHAnsi" w:cstheme="minorHAnsi"/>
                <w:b/>
                <w:bCs/>
                <w:color w:val="7030A0"/>
                <w:szCs w:val="20"/>
              </w:rPr>
            </w:pPr>
          </w:p>
        </w:tc>
        <w:tc>
          <w:tcPr>
            <w:tcW w:w="1280" w:type="dxa"/>
            <w:vMerge/>
            <w:tcBorders>
              <w:top w:val="single" w:sz="12" w:space="0" w:color="7030A0"/>
              <w:left w:val="nil"/>
              <w:bottom w:val="single" w:sz="8" w:space="0" w:color="7030A0"/>
              <w:right w:val="nil"/>
            </w:tcBorders>
            <w:vAlign w:val="center"/>
            <w:hideMark/>
          </w:tcPr>
          <w:p w:rsidR="00776BB9" w:rsidRPr="00C73365" w:rsidRDefault="00776BB9" w:rsidP="00E10E3F">
            <w:pPr>
              <w:spacing w:after="0"/>
              <w:jc w:val="center"/>
              <w:rPr>
                <w:rFonts w:asciiTheme="minorHAnsi" w:hAnsiTheme="minorHAnsi" w:cstheme="minorHAnsi"/>
                <w:b/>
                <w:bCs/>
                <w:color w:val="000000"/>
                <w:szCs w:val="20"/>
              </w:rPr>
            </w:pPr>
          </w:p>
        </w:tc>
        <w:tc>
          <w:tcPr>
            <w:tcW w:w="1280" w:type="dxa"/>
            <w:vMerge/>
            <w:tcBorders>
              <w:top w:val="single" w:sz="12" w:space="0" w:color="7030A0"/>
              <w:left w:val="nil"/>
              <w:bottom w:val="single" w:sz="8" w:space="0" w:color="7030A0"/>
              <w:right w:val="nil"/>
            </w:tcBorders>
            <w:vAlign w:val="center"/>
            <w:hideMark/>
          </w:tcPr>
          <w:p w:rsidR="00776BB9" w:rsidRPr="00C73365" w:rsidRDefault="00776BB9" w:rsidP="00E10E3F">
            <w:pPr>
              <w:spacing w:after="0"/>
              <w:jc w:val="center"/>
              <w:rPr>
                <w:rFonts w:asciiTheme="minorHAnsi" w:hAnsiTheme="minorHAnsi" w:cstheme="minorHAnsi"/>
                <w:b/>
                <w:bCs/>
                <w:color w:val="000000"/>
                <w:szCs w:val="20"/>
              </w:rPr>
            </w:pPr>
          </w:p>
        </w:tc>
      </w:tr>
      <w:tr w:rsidR="00776BB9" w:rsidRPr="00C73365" w:rsidTr="00E10E3F">
        <w:trPr>
          <w:trHeight w:val="278"/>
        </w:trPr>
        <w:tc>
          <w:tcPr>
            <w:tcW w:w="3427"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Ventes de marchandises</w:t>
            </w:r>
          </w:p>
        </w:tc>
        <w:tc>
          <w:tcPr>
            <w:tcW w:w="1280" w:type="dxa"/>
            <w:tcBorders>
              <w:top w:val="nil"/>
              <w:left w:val="nil"/>
              <w:bottom w:val="nil"/>
              <w:right w:val="nil"/>
            </w:tcBorders>
            <w:shd w:val="clear" w:color="auto" w:fill="auto"/>
            <w:noWrap/>
            <w:vAlign w:val="center"/>
            <w:hideMark/>
          </w:tcPr>
          <w:p w:rsidR="00776BB9" w:rsidRPr="00C73365" w:rsidRDefault="00776BB9" w:rsidP="00E10E3F">
            <w:pPr>
              <w:spacing w:after="0"/>
              <w:jc w:val="center"/>
              <w:rPr>
                <w:rFonts w:asciiTheme="minorHAnsi" w:hAnsiTheme="minorHAnsi" w:cstheme="minorHAnsi"/>
                <w:color w:val="000000"/>
                <w:szCs w:val="20"/>
              </w:rPr>
            </w:pPr>
          </w:p>
        </w:tc>
        <w:tc>
          <w:tcPr>
            <w:tcW w:w="1280"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szCs w:val="20"/>
              </w:rPr>
            </w:pPr>
          </w:p>
        </w:tc>
        <w:tc>
          <w:tcPr>
            <w:tcW w:w="1280" w:type="dxa"/>
            <w:tcBorders>
              <w:top w:val="nil"/>
              <w:left w:val="nil"/>
              <w:bottom w:val="nil"/>
              <w:right w:val="nil"/>
            </w:tcBorders>
            <w:shd w:val="clear" w:color="auto" w:fill="auto"/>
            <w:vAlign w:val="center"/>
          </w:tcPr>
          <w:p w:rsidR="00776BB9" w:rsidRPr="00C73365" w:rsidRDefault="00776BB9" w:rsidP="00E10E3F">
            <w:pPr>
              <w:spacing w:after="0"/>
              <w:jc w:val="center"/>
              <w:rPr>
                <w:rFonts w:asciiTheme="minorHAnsi" w:hAnsiTheme="minorHAnsi" w:cstheme="minorHAnsi"/>
                <w:color w:val="000000"/>
                <w:sz w:val="22"/>
                <w:szCs w:val="22"/>
              </w:rPr>
            </w:pPr>
          </w:p>
        </w:tc>
      </w:tr>
      <w:tr w:rsidR="00776BB9" w:rsidRPr="00C73365" w:rsidTr="00E10E3F">
        <w:trPr>
          <w:trHeight w:val="290"/>
        </w:trPr>
        <w:tc>
          <w:tcPr>
            <w:tcW w:w="3427"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Production vendue</w:t>
            </w:r>
          </w:p>
        </w:tc>
        <w:tc>
          <w:tcPr>
            <w:tcW w:w="1280" w:type="dxa"/>
            <w:tcBorders>
              <w:top w:val="nil"/>
              <w:left w:val="nil"/>
              <w:bottom w:val="nil"/>
              <w:right w:val="nil"/>
            </w:tcBorders>
            <w:shd w:val="clear" w:color="auto" w:fill="auto"/>
            <w:noWrap/>
            <w:vAlign w:val="center"/>
            <w:hideMark/>
          </w:tcPr>
          <w:p w:rsidR="00776BB9" w:rsidRPr="00C73365" w:rsidRDefault="00776BB9" w:rsidP="00E10E3F">
            <w:pPr>
              <w:spacing w:after="0"/>
              <w:jc w:val="center"/>
              <w:rPr>
                <w:rFonts w:asciiTheme="minorHAnsi" w:hAnsiTheme="minorHAnsi" w:cstheme="minorHAnsi"/>
                <w:color w:val="000000"/>
                <w:szCs w:val="20"/>
              </w:rPr>
            </w:pPr>
          </w:p>
        </w:tc>
        <w:tc>
          <w:tcPr>
            <w:tcW w:w="1280"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szCs w:val="20"/>
              </w:rPr>
            </w:pPr>
          </w:p>
        </w:tc>
        <w:tc>
          <w:tcPr>
            <w:tcW w:w="1280" w:type="dxa"/>
            <w:tcBorders>
              <w:top w:val="nil"/>
              <w:left w:val="nil"/>
              <w:bottom w:val="nil"/>
              <w:right w:val="nil"/>
            </w:tcBorders>
            <w:shd w:val="clear" w:color="auto" w:fill="auto"/>
            <w:vAlign w:val="center"/>
          </w:tcPr>
          <w:p w:rsidR="00776BB9" w:rsidRPr="00C73365" w:rsidRDefault="00776BB9" w:rsidP="00E10E3F">
            <w:pPr>
              <w:spacing w:after="0"/>
              <w:jc w:val="center"/>
              <w:rPr>
                <w:rFonts w:asciiTheme="minorHAnsi" w:hAnsiTheme="minorHAnsi" w:cstheme="minorHAnsi"/>
                <w:color w:val="000000"/>
                <w:sz w:val="22"/>
                <w:szCs w:val="22"/>
              </w:rPr>
            </w:pPr>
          </w:p>
        </w:tc>
      </w:tr>
      <w:tr w:rsidR="00776BB9" w:rsidRPr="00C73365" w:rsidTr="00E10E3F">
        <w:trPr>
          <w:trHeight w:val="290"/>
        </w:trPr>
        <w:tc>
          <w:tcPr>
            <w:tcW w:w="3427"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Subventions d’exploitation</w:t>
            </w:r>
          </w:p>
        </w:tc>
        <w:tc>
          <w:tcPr>
            <w:tcW w:w="1280" w:type="dxa"/>
            <w:tcBorders>
              <w:top w:val="nil"/>
              <w:left w:val="nil"/>
              <w:bottom w:val="nil"/>
              <w:right w:val="nil"/>
            </w:tcBorders>
            <w:shd w:val="clear" w:color="auto" w:fill="auto"/>
            <w:noWrap/>
            <w:vAlign w:val="center"/>
            <w:hideMark/>
          </w:tcPr>
          <w:p w:rsidR="00776BB9" w:rsidRPr="00C73365" w:rsidRDefault="00776BB9" w:rsidP="00E10E3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347</w:t>
            </w:r>
          </w:p>
        </w:tc>
        <w:tc>
          <w:tcPr>
            <w:tcW w:w="1280" w:type="dxa"/>
            <w:tcBorders>
              <w:top w:val="nil"/>
              <w:left w:val="nil"/>
              <w:bottom w:val="nil"/>
              <w:right w:val="nil"/>
            </w:tcBorders>
            <w:shd w:val="clear" w:color="auto" w:fill="auto"/>
            <w:noWrap/>
            <w:vAlign w:val="center"/>
            <w:hideMark/>
          </w:tcPr>
          <w:p w:rsidR="00776BB9" w:rsidRPr="00C73365" w:rsidRDefault="00776BB9" w:rsidP="00E10E3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24</w:t>
            </w:r>
          </w:p>
        </w:tc>
        <w:tc>
          <w:tcPr>
            <w:tcW w:w="1280" w:type="dxa"/>
            <w:tcBorders>
              <w:top w:val="nil"/>
              <w:left w:val="nil"/>
              <w:bottom w:val="nil"/>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323</w:t>
            </w:r>
          </w:p>
        </w:tc>
      </w:tr>
      <w:tr w:rsidR="00776BB9" w:rsidRPr="00C73365" w:rsidTr="00E10E3F">
        <w:trPr>
          <w:trHeight w:val="290"/>
        </w:trPr>
        <w:tc>
          <w:tcPr>
            <w:tcW w:w="3427"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Autres produits</w:t>
            </w:r>
          </w:p>
        </w:tc>
        <w:tc>
          <w:tcPr>
            <w:tcW w:w="1280" w:type="dxa"/>
            <w:tcBorders>
              <w:top w:val="nil"/>
              <w:left w:val="nil"/>
              <w:bottom w:val="single" w:sz="8" w:space="0" w:color="7030A0"/>
              <w:right w:val="nil"/>
            </w:tcBorders>
            <w:shd w:val="clear" w:color="auto" w:fill="auto"/>
            <w:vAlign w:val="center"/>
            <w:hideMark/>
          </w:tcPr>
          <w:p w:rsidR="00776BB9" w:rsidRPr="00C73365" w:rsidRDefault="00870838" w:rsidP="00E10E3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10</w:t>
            </w:r>
          </w:p>
        </w:tc>
        <w:tc>
          <w:tcPr>
            <w:tcW w:w="1280"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127</w:t>
            </w:r>
          </w:p>
        </w:tc>
        <w:tc>
          <w:tcPr>
            <w:tcW w:w="1280"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-117</w:t>
            </w:r>
          </w:p>
        </w:tc>
      </w:tr>
      <w:tr w:rsidR="00776BB9" w:rsidRPr="00C73365" w:rsidTr="00E10E3F">
        <w:trPr>
          <w:trHeight w:val="290"/>
        </w:trPr>
        <w:tc>
          <w:tcPr>
            <w:tcW w:w="3427"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lang w:val="fr-FR"/>
              </w:rPr>
            </w:pPr>
            <w:r w:rsidRPr="00C73365">
              <w:rPr>
                <w:rFonts w:asciiTheme="minorHAnsi" w:hAnsiTheme="minorHAnsi" w:cstheme="minorHAnsi"/>
                <w:b/>
                <w:bCs/>
                <w:color w:val="7030A0"/>
                <w:szCs w:val="20"/>
                <w:lang w:val="fr-FR"/>
              </w:rPr>
              <w:t>Total produits d</w:t>
            </w:r>
            <w:r w:rsidR="004572A0" w:rsidRPr="00C73365">
              <w:rPr>
                <w:rFonts w:asciiTheme="minorHAnsi" w:hAnsiTheme="minorHAnsi" w:cstheme="minorHAnsi"/>
                <w:b/>
                <w:bCs/>
                <w:color w:val="7030A0"/>
                <w:szCs w:val="20"/>
                <w:lang w:val="fr-FR"/>
              </w:rPr>
              <w:t>’</w:t>
            </w:r>
            <w:r w:rsidRPr="00C73365">
              <w:rPr>
                <w:rFonts w:asciiTheme="minorHAnsi" w:hAnsiTheme="minorHAnsi" w:cstheme="minorHAnsi"/>
                <w:b/>
                <w:bCs/>
                <w:color w:val="7030A0"/>
                <w:szCs w:val="20"/>
                <w:lang w:val="fr-FR"/>
              </w:rPr>
              <w:t>exploitation</w:t>
            </w:r>
          </w:p>
        </w:tc>
        <w:tc>
          <w:tcPr>
            <w:tcW w:w="1280"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357</w:t>
            </w:r>
          </w:p>
        </w:tc>
        <w:tc>
          <w:tcPr>
            <w:tcW w:w="1280"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151</w:t>
            </w:r>
          </w:p>
        </w:tc>
        <w:tc>
          <w:tcPr>
            <w:tcW w:w="1280" w:type="dxa"/>
            <w:tcBorders>
              <w:top w:val="nil"/>
              <w:left w:val="nil"/>
              <w:bottom w:val="single" w:sz="8" w:space="0" w:color="7030A0"/>
              <w:right w:val="nil"/>
            </w:tcBorders>
            <w:shd w:val="clear" w:color="auto" w:fill="auto"/>
            <w:vAlign w:val="center"/>
            <w:hideMark/>
          </w:tcPr>
          <w:p w:rsidR="00776BB9" w:rsidRPr="00C73365" w:rsidRDefault="00776BB9" w:rsidP="00E10E3F">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206</w:t>
            </w:r>
          </w:p>
        </w:tc>
      </w:tr>
    </w:tbl>
    <w:p w:rsidR="00776BB9" w:rsidRPr="00C73365" w:rsidRDefault="00776BB9">
      <w:pPr>
        <w:rPr>
          <w:rFonts w:asciiTheme="minorHAnsi" w:hAnsiTheme="minorHAnsi" w:cstheme="minorHAnsi"/>
          <w:szCs w:val="22"/>
          <w:lang w:val="fr-FR"/>
        </w:rPr>
      </w:pPr>
    </w:p>
    <w:p w:rsidR="00776BB9" w:rsidRPr="00C73365" w:rsidRDefault="00776BB9" w:rsidP="004572A0">
      <w:pPr>
        <w:rPr>
          <w:rFonts w:asciiTheme="minorHAnsi" w:hAnsiTheme="minorHAnsi" w:cstheme="minorHAnsi"/>
          <w:lang w:val="fr-FR"/>
        </w:rPr>
      </w:pPr>
      <w:r w:rsidRPr="00C73365">
        <w:rPr>
          <w:rFonts w:asciiTheme="minorHAnsi" w:hAnsiTheme="minorHAnsi" w:cstheme="minorHAnsi"/>
          <w:lang w:val="fr-FR"/>
        </w:rPr>
        <w:t xml:space="preserve">Compte tenu du stade amont de ses projets, la Société n’a pas généré de chiffre d’affaires sur l’exercice. </w:t>
      </w:r>
    </w:p>
    <w:p w:rsidR="00776BB9" w:rsidRPr="00C73365" w:rsidRDefault="00776BB9" w:rsidP="004572A0">
      <w:pPr>
        <w:rPr>
          <w:rFonts w:asciiTheme="minorHAnsi" w:hAnsiTheme="minorHAnsi" w:cstheme="minorHAnsi"/>
          <w:b/>
          <w:lang w:val="fr-FR"/>
        </w:rPr>
      </w:pPr>
      <w:r w:rsidRPr="00C73365">
        <w:rPr>
          <w:rFonts w:asciiTheme="minorHAnsi" w:hAnsiTheme="minorHAnsi" w:cstheme="minorHAnsi"/>
          <w:b/>
          <w:lang w:val="fr-FR"/>
        </w:rPr>
        <w:t>Subventions d’exploitation</w:t>
      </w:r>
    </w:p>
    <w:p w:rsidR="00776BB9" w:rsidRPr="00C73365" w:rsidRDefault="00776BB9" w:rsidP="004572A0">
      <w:pPr>
        <w:rPr>
          <w:rFonts w:asciiTheme="minorHAnsi" w:hAnsiTheme="minorHAnsi" w:cstheme="minorHAnsi"/>
          <w:lang w:val="fr-FR"/>
        </w:rPr>
      </w:pPr>
      <w:r w:rsidRPr="00C73365">
        <w:rPr>
          <w:rFonts w:asciiTheme="minorHAnsi" w:hAnsiTheme="minorHAnsi" w:cstheme="minorHAnsi"/>
          <w:lang w:val="fr-FR"/>
        </w:rPr>
        <w:lastRenderedPageBreak/>
        <w:t>Les subventions qui figurent au compte de résultat dépendent de l’avancement d</w:t>
      </w:r>
      <w:r w:rsidR="007C6805" w:rsidRPr="00C73365">
        <w:rPr>
          <w:rFonts w:asciiTheme="minorHAnsi" w:hAnsiTheme="minorHAnsi" w:cstheme="minorHAnsi"/>
          <w:lang w:val="fr-FR"/>
        </w:rPr>
        <w:t>es</w:t>
      </w:r>
      <w:r w:rsidRPr="00C73365">
        <w:rPr>
          <w:rFonts w:asciiTheme="minorHAnsi" w:hAnsiTheme="minorHAnsi" w:cstheme="minorHAnsi"/>
          <w:lang w:val="fr-FR"/>
        </w:rPr>
        <w:t xml:space="preserve"> projet</w:t>
      </w:r>
      <w:r w:rsidR="007C6805" w:rsidRPr="00C73365">
        <w:rPr>
          <w:rFonts w:asciiTheme="minorHAnsi" w:hAnsiTheme="minorHAnsi" w:cstheme="minorHAnsi"/>
          <w:lang w:val="fr-FR"/>
        </w:rPr>
        <w:t>s</w:t>
      </w:r>
      <w:r w:rsidRPr="00C73365">
        <w:rPr>
          <w:rFonts w:asciiTheme="minorHAnsi" w:hAnsiTheme="minorHAnsi" w:cstheme="minorHAnsi"/>
          <w:lang w:val="fr-FR"/>
        </w:rPr>
        <w:t>.</w:t>
      </w:r>
    </w:p>
    <w:p w:rsidR="007C6805"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A fin 2017, la Société a reçu de la part de la </w:t>
      </w:r>
      <w:r w:rsidR="001479F8">
        <w:rPr>
          <w:rFonts w:asciiTheme="minorHAnsi" w:hAnsiTheme="minorHAnsi" w:cstheme="minorHAnsi"/>
          <w:lang w:val="fr-FR"/>
        </w:rPr>
        <w:t>Bpifrance</w:t>
      </w:r>
      <w:r w:rsidRPr="00C73365">
        <w:rPr>
          <w:rFonts w:asciiTheme="minorHAnsi" w:hAnsiTheme="minorHAnsi" w:cstheme="minorHAnsi"/>
          <w:lang w:val="fr-FR"/>
        </w:rPr>
        <w:t xml:space="preserve"> une subvention de 347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titre du premier versement dans le cadre d’un « Projet R&amp;D Structurant Pour la Compétitivité </w:t>
      </w:r>
      <w:r w:rsidR="00075FE4" w:rsidRPr="00C73365">
        <w:rPr>
          <w:rFonts w:asciiTheme="minorHAnsi" w:hAnsiTheme="minorHAnsi" w:cstheme="minorHAnsi"/>
          <w:lang w:val="fr-FR"/>
        </w:rPr>
        <w:t>RNP-VIR</w:t>
      </w:r>
      <w:r w:rsidRPr="00C73365">
        <w:rPr>
          <w:rFonts w:asciiTheme="minorHAnsi" w:hAnsiTheme="minorHAnsi" w:cstheme="minorHAnsi"/>
          <w:lang w:val="fr-FR"/>
        </w:rPr>
        <w:t>» (PSPC) du programme d’investissement d’avenir (PIA).</w:t>
      </w:r>
      <w:r w:rsidR="007C6805" w:rsidRPr="00C73365">
        <w:rPr>
          <w:rFonts w:asciiTheme="minorHAnsi" w:hAnsiTheme="minorHAnsi" w:cstheme="minorHAnsi"/>
          <w:lang w:val="fr-FR"/>
        </w:rPr>
        <w:t xml:space="preserve"> Le projet RN-VIR-vise à approfondir les méthodes de découverte de nouvelles molécules traitant de multiples maladies infectieuses comme le Virus Respiratoire Syncitial (RSV) par le développement de la plateforme technologique </w:t>
      </w:r>
      <w:r w:rsidR="007C6805" w:rsidRPr="00CB552B">
        <w:rPr>
          <w:rFonts w:asciiTheme="minorHAnsi" w:hAnsiTheme="minorHAnsi" w:cstheme="minorHAnsi"/>
          <w:lang w:val="fr-FR"/>
        </w:rPr>
        <w:t>antivirale.</w:t>
      </w:r>
      <w:r w:rsidR="007C6805" w:rsidRPr="00C73365">
        <w:rPr>
          <w:rFonts w:asciiTheme="minorHAnsi" w:hAnsiTheme="minorHAnsi" w:cstheme="minorHAnsi"/>
          <w:lang w:val="fr-FR"/>
        </w:rPr>
        <w:t xml:space="preserve"> </w:t>
      </w:r>
    </w:p>
    <w:p w:rsidR="00776BB9" w:rsidRPr="00C73365" w:rsidRDefault="00776BB9"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Autres produits </w:t>
      </w:r>
    </w:p>
    <w:p w:rsidR="00DC05E5" w:rsidRPr="00C73365" w:rsidRDefault="00DC05E5" w:rsidP="004572A0">
      <w:pPr>
        <w:pStyle w:val="BodyText"/>
        <w:rPr>
          <w:rFonts w:asciiTheme="minorHAnsi" w:hAnsiTheme="minorHAnsi" w:cstheme="minorHAnsi"/>
          <w:lang w:val="fr-FR"/>
        </w:rPr>
      </w:pPr>
      <w:r w:rsidRPr="00C73365">
        <w:rPr>
          <w:rFonts w:asciiTheme="minorHAnsi" w:hAnsiTheme="minorHAnsi" w:cstheme="minorHAnsi"/>
          <w:lang w:val="fr-FR"/>
        </w:rPr>
        <w:t>En 2017, l</w:t>
      </w:r>
      <w:r w:rsidR="008934DC" w:rsidRPr="00C73365">
        <w:rPr>
          <w:rFonts w:asciiTheme="minorHAnsi" w:hAnsiTheme="minorHAnsi" w:cstheme="minorHAnsi"/>
          <w:lang w:val="fr-FR"/>
        </w:rPr>
        <w:t xml:space="preserve">es autres produits correspondent </w:t>
      </w:r>
      <w:r w:rsidR="00870838" w:rsidRPr="00C73365">
        <w:rPr>
          <w:rFonts w:asciiTheme="minorHAnsi" w:hAnsiTheme="minorHAnsi" w:cstheme="minorHAnsi"/>
          <w:lang w:val="fr-FR"/>
        </w:rPr>
        <w:t>principalement au</w:t>
      </w:r>
      <w:r w:rsidR="005E5CCF" w:rsidRPr="00C73365">
        <w:rPr>
          <w:rFonts w:asciiTheme="minorHAnsi" w:hAnsiTheme="minorHAnsi" w:cstheme="minorHAnsi"/>
          <w:lang w:val="fr-FR"/>
        </w:rPr>
        <w:t>x</w:t>
      </w:r>
      <w:r w:rsidR="00870838" w:rsidRPr="00C73365">
        <w:rPr>
          <w:rFonts w:asciiTheme="minorHAnsi" w:hAnsiTheme="minorHAnsi" w:cstheme="minorHAnsi"/>
          <w:lang w:val="fr-FR"/>
        </w:rPr>
        <w:t xml:space="preserve"> transferts de charges d’exploitation</w:t>
      </w:r>
      <w:r w:rsidR="005E5CCF" w:rsidRPr="00C73365">
        <w:rPr>
          <w:rFonts w:asciiTheme="minorHAnsi" w:hAnsiTheme="minorHAnsi" w:cstheme="minorHAnsi"/>
          <w:lang w:val="fr-FR"/>
        </w:rPr>
        <w:t xml:space="preserve"> (9</w:t>
      </w:r>
      <w:r w:rsidR="00EF089C" w:rsidRPr="00C73365">
        <w:rPr>
          <w:rFonts w:asciiTheme="minorHAnsi" w:hAnsiTheme="minorHAnsi" w:cstheme="minorHAnsi"/>
          <w:lang w:val="fr-FR"/>
        </w:rPr>
        <w:t>K€</w:t>
      </w:r>
      <w:r w:rsidR="005E5CCF" w:rsidRPr="00C73365">
        <w:rPr>
          <w:rFonts w:asciiTheme="minorHAnsi" w:hAnsiTheme="minorHAnsi" w:cstheme="minorHAnsi"/>
          <w:lang w:val="fr-FR"/>
        </w:rPr>
        <w:t xml:space="preserve"> en 2017, 12 </w:t>
      </w:r>
      <w:r w:rsidR="00EF089C" w:rsidRPr="00C73365">
        <w:rPr>
          <w:rFonts w:asciiTheme="minorHAnsi" w:hAnsiTheme="minorHAnsi" w:cstheme="minorHAnsi"/>
          <w:lang w:val="fr-FR"/>
        </w:rPr>
        <w:t>K€</w:t>
      </w:r>
      <w:r w:rsidR="005E5CCF" w:rsidRPr="00C73365">
        <w:rPr>
          <w:rFonts w:asciiTheme="minorHAnsi" w:hAnsiTheme="minorHAnsi" w:cstheme="minorHAnsi"/>
          <w:lang w:val="fr-FR"/>
        </w:rPr>
        <w:t xml:space="preserve"> en 2016)</w:t>
      </w:r>
      <w:r w:rsidR="007C6805" w:rsidRPr="00C73365">
        <w:rPr>
          <w:rFonts w:asciiTheme="minorHAnsi" w:hAnsiTheme="minorHAnsi" w:cstheme="minorHAnsi"/>
          <w:lang w:val="fr-FR"/>
        </w:rPr>
        <w:t>.</w:t>
      </w:r>
    </w:p>
    <w:p w:rsidR="00DC05E5" w:rsidRPr="00C73365" w:rsidRDefault="00DC05E5" w:rsidP="004572A0">
      <w:pPr>
        <w:pStyle w:val="BodyText"/>
        <w:rPr>
          <w:rFonts w:asciiTheme="minorHAnsi" w:hAnsiTheme="minorHAnsi" w:cstheme="minorHAnsi"/>
          <w:lang w:val="fr-FR"/>
        </w:rPr>
      </w:pPr>
      <w:r w:rsidRPr="00C73365">
        <w:rPr>
          <w:rFonts w:asciiTheme="minorHAnsi" w:hAnsiTheme="minorHAnsi" w:cstheme="minorHAnsi"/>
          <w:lang w:val="fr-FR"/>
        </w:rPr>
        <w:t>En 2016,</w:t>
      </w:r>
      <w:r w:rsidR="005E5CCF" w:rsidRPr="00C73365">
        <w:rPr>
          <w:rFonts w:asciiTheme="minorHAnsi" w:hAnsiTheme="minorHAnsi" w:cstheme="minorHAnsi"/>
          <w:lang w:val="fr-FR"/>
        </w:rPr>
        <w:t xml:space="preserve"> le montant principal des autres produits d’exploitations correspond à une reprise sur provision lié à un </w:t>
      </w:r>
      <w:r w:rsidRPr="00C73365">
        <w:rPr>
          <w:rFonts w:asciiTheme="minorHAnsi" w:hAnsiTheme="minorHAnsi" w:cstheme="minorHAnsi"/>
          <w:lang w:val="fr-FR"/>
        </w:rPr>
        <w:t xml:space="preserve">contrat avec l’INRA pour un montant de collaboration </w:t>
      </w:r>
      <w:r w:rsidR="005E5CCF" w:rsidRPr="00C73365">
        <w:rPr>
          <w:rFonts w:asciiTheme="minorHAnsi" w:hAnsiTheme="minorHAnsi" w:cstheme="minorHAnsi"/>
          <w:lang w:val="fr-FR"/>
        </w:rPr>
        <w:t xml:space="preserve">de </w:t>
      </w:r>
      <w:r w:rsidRPr="00C73365">
        <w:rPr>
          <w:rFonts w:asciiTheme="minorHAnsi" w:hAnsiTheme="minorHAnsi" w:cstheme="minorHAnsi"/>
          <w:lang w:val="fr-FR"/>
        </w:rPr>
        <w:t xml:space="preserve">110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La provision </w:t>
      </w:r>
      <w:r w:rsidR="005E5CCF" w:rsidRPr="00C73365">
        <w:rPr>
          <w:rFonts w:asciiTheme="minorHAnsi" w:hAnsiTheme="minorHAnsi" w:cstheme="minorHAnsi"/>
          <w:lang w:val="fr-FR"/>
        </w:rPr>
        <w:t xml:space="preserve">de 110 </w:t>
      </w:r>
      <w:r w:rsidR="00EF089C" w:rsidRPr="00C73365">
        <w:rPr>
          <w:rFonts w:asciiTheme="minorHAnsi" w:hAnsiTheme="minorHAnsi" w:cstheme="minorHAnsi"/>
          <w:lang w:val="fr-FR"/>
        </w:rPr>
        <w:t>K€</w:t>
      </w:r>
      <w:r w:rsidR="005E5CCF" w:rsidRPr="00C73365">
        <w:rPr>
          <w:rFonts w:asciiTheme="minorHAnsi" w:hAnsiTheme="minorHAnsi" w:cstheme="minorHAnsi"/>
          <w:lang w:val="fr-FR"/>
        </w:rPr>
        <w:t xml:space="preserve"> </w:t>
      </w:r>
      <w:r w:rsidRPr="00C73365">
        <w:rPr>
          <w:rFonts w:asciiTheme="minorHAnsi" w:hAnsiTheme="minorHAnsi" w:cstheme="minorHAnsi"/>
          <w:lang w:val="fr-FR"/>
        </w:rPr>
        <w:t>qui avait été créée à fin 2015 pour couvrir cette charge a donc été entièrement reprise. Cette reprise apparait en autres produits.</w:t>
      </w:r>
      <w:r w:rsidR="005E5CCF" w:rsidRPr="00C73365">
        <w:rPr>
          <w:rFonts w:asciiTheme="minorHAnsi" w:hAnsiTheme="minorHAnsi" w:cstheme="minorHAnsi"/>
          <w:lang w:val="fr-FR"/>
        </w:rPr>
        <w:t xml:space="preserve"> Les autres montants sont des produits de gestion courantes</w:t>
      </w:r>
      <w:r w:rsidR="007C6805" w:rsidRPr="00C73365">
        <w:rPr>
          <w:rFonts w:asciiTheme="minorHAnsi" w:hAnsiTheme="minorHAnsi" w:cstheme="minorHAnsi"/>
          <w:lang w:val="fr-FR"/>
        </w:rPr>
        <w:t xml:space="preserve"> (1</w:t>
      </w:r>
      <w:r w:rsidR="00EF089C" w:rsidRPr="00C73365">
        <w:rPr>
          <w:rFonts w:asciiTheme="minorHAnsi" w:hAnsiTheme="minorHAnsi" w:cstheme="minorHAnsi"/>
          <w:lang w:val="fr-FR"/>
        </w:rPr>
        <w:t>K€</w:t>
      </w:r>
      <w:r w:rsidR="007C6805" w:rsidRPr="00C73365">
        <w:rPr>
          <w:rFonts w:asciiTheme="minorHAnsi" w:hAnsiTheme="minorHAnsi" w:cstheme="minorHAnsi"/>
          <w:lang w:val="fr-FR"/>
        </w:rPr>
        <w:t xml:space="preserve"> en 2017 et 5 </w:t>
      </w:r>
      <w:r w:rsidR="00EF089C" w:rsidRPr="00C73365">
        <w:rPr>
          <w:rFonts w:asciiTheme="minorHAnsi" w:hAnsiTheme="minorHAnsi" w:cstheme="minorHAnsi"/>
          <w:lang w:val="fr-FR"/>
        </w:rPr>
        <w:t>K€</w:t>
      </w:r>
      <w:r w:rsidR="007C6805" w:rsidRPr="00C73365">
        <w:rPr>
          <w:rFonts w:asciiTheme="minorHAnsi" w:hAnsiTheme="minorHAnsi" w:cstheme="minorHAnsi"/>
          <w:lang w:val="fr-FR"/>
        </w:rPr>
        <w:t xml:space="preserve"> en 2016)</w:t>
      </w:r>
      <w:r w:rsidR="005E5CCF" w:rsidRPr="00C73365">
        <w:rPr>
          <w:rFonts w:asciiTheme="minorHAnsi" w:hAnsiTheme="minorHAnsi" w:cstheme="minorHAnsi"/>
          <w:lang w:val="fr-FR"/>
        </w:rPr>
        <w:t>.</w:t>
      </w:r>
    </w:p>
    <w:p w:rsidR="00776BB9" w:rsidRPr="00C73365" w:rsidRDefault="00776BB9">
      <w:pPr>
        <w:rPr>
          <w:rFonts w:asciiTheme="minorHAnsi" w:hAnsiTheme="minorHAnsi" w:cstheme="minorHAnsi"/>
          <w:szCs w:val="20"/>
          <w:lang w:val="fr-FR"/>
        </w:rPr>
      </w:pPr>
      <w:r w:rsidRPr="00C73365">
        <w:rPr>
          <w:rFonts w:asciiTheme="minorHAnsi" w:hAnsiTheme="minorHAnsi" w:cstheme="minorHAnsi"/>
          <w:szCs w:val="20"/>
          <w:lang w:val="fr-FR"/>
        </w:rPr>
        <w:br w:type="page"/>
      </w:r>
    </w:p>
    <w:p w:rsidR="00776BB9" w:rsidRPr="00C73365" w:rsidRDefault="00776BB9" w:rsidP="00616826">
      <w:pPr>
        <w:pStyle w:val="ListParagraph"/>
        <w:numPr>
          <w:ilvl w:val="2"/>
          <w:numId w:val="9"/>
        </w:numPr>
        <w:spacing w:after="0"/>
        <w:outlineLvl w:val="2"/>
        <w:rPr>
          <w:rFonts w:asciiTheme="minorHAnsi" w:hAnsiTheme="minorHAnsi" w:cstheme="minorHAnsi"/>
          <w:b/>
          <w:color w:val="7030A0"/>
          <w:szCs w:val="22"/>
          <w:lang w:val="fr-FR"/>
        </w:rPr>
      </w:pPr>
      <w:bookmarkStart w:id="359" w:name="_Toc400469546"/>
      <w:r w:rsidRPr="00C73365">
        <w:rPr>
          <w:rFonts w:asciiTheme="minorHAnsi" w:hAnsiTheme="minorHAnsi" w:cstheme="minorHAnsi"/>
          <w:b/>
          <w:color w:val="7030A0"/>
          <w:szCs w:val="22"/>
          <w:lang w:val="fr-FR"/>
        </w:rPr>
        <w:lastRenderedPageBreak/>
        <w:t xml:space="preserve">Charges </w:t>
      </w:r>
      <w:bookmarkEnd w:id="359"/>
      <w:r w:rsidRPr="00C73365">
        <w:rPr>
          <w:rFonts w:asciiTheme="minorHAnsi" w:hAnsiTheme="minorHAnsi" w:cstheme="minorHAnsi"/>
          <w:b/>
          <w:color w:val="7030A0"/>
          <w:szCs w:val="22"/>
          <w:lang w:val="fr-FR"/>
        </w:rPr>
        <w:t>opérationnelles nettes par nature :</w:t>
      </w:r>
    </w:p>
    <w:p w:rsidR="00776BB9" w:rsidRPr="00C73365" w:rsidRDefault="00776BB9" w:rsidP="00A96CCA">
      <w:pPr>
        <w:pStyle w:val="ConmainL3"/>
        <w:keepLines/>
        <w:tabs>
          <w:tab w:val="clear" w:pos="360"/>
        </w:tabs>
        <w:spacing w:after="120"/>
        <w:outlineLvl w:val="9"/>
        <w:rPr>
          <w:rFonts w:asciiTheme="minorHAnsi" w:hAnsiTheme="minorHAnsi" w:cstheme="minorHAnsi"/>
          <w:b/>
          <w:color w:val="7030A0"/>
          <w:lang w:val="fr-FR"/>
        </w:rPr>
      </w:pPr>
    </w:p>
    <w:tbl>
      <w:tblPr>
        <w:tblW w:w="8322" w:type="dxa"/>
        <w:tblInd w:w="662" w:type="dxa"/>
        <w:tblLayout w:type="fixed"/>
        <w:tblCellMar>
          <w:left w:w="70" w:type="dxa"/>
          <w:right w:w="70" w:type="dxa"/>
        </w:tblCellMar>
        <w:tblLook w:val="04A0" w:firstRow="1" w:lastRow="0" w:firstColumn="1" w:lastColumn="0" w:noHBand="0" w:noVBand="1"/>
      </w:tblPr>
      <w:tblGrid>
        <w:gridCol w:w="4303"/>
        <w:gridCol w:w="1549"/>
        <w:gridCol w:w="1328"/>
        <w:gridCol w:w="1142"/>
      </w:tblGrid>
      <w:tr w:rsidR="00776BB9" w:rsidRPr="00C73365" w:rsidTr="00321ED7">
        <w:trPr>
          <w:trHeight w:val="253"/>
        </w:trPr>
        <w:tc>
          <w:tcPr>
            <w:tcW w:w="4303" w:type="dxa"/>
            <w:tcBorders>
              <w:top w:val="single" w:sz="12" w:space="0" w:color="7030A0"/>
              <w:left w:val="nil"/>
              <w:bottom w:val="nil"/>
              <w:right w:val="nil"/>
            </w:tcBorders>
            <w:shd w:val="clear" w:color="auto" w:fill="auto"/>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Eléments du Compte de Résultat</w:t>
            </w:r>
          </w:p>
        </w:tc>
        <w:tc>
          <w:tcPr>
            <w:tcW w:w="1549" w:type="dxa"/>
            <w:vMerge w:val="restart"/>
            <w:tcBorders>
              <w:top w:val="single" w:sz="12" w:space="0" w:color="7030A0"/>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328"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31/12/2016</w:t>
            </w:r>
          </w:p>
        </w:tc>
        <w:tc>
          <w:tcPr>
            <w:tcW w:w="1142"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w:t>
            </w:r>
          </w:p>
        </w:tc>
      </w:tr>
      <w:tr w:rsidR="00776BB9" w:rsidRPr="00C73365" w:rsidTr="00321ED7">
        <w:trPr>
          <w:trHeight w:val="253"/>
        </w:trPr>
        <w:tc>
          <w:tcPr>
            <w:tcW w:w="4303"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49" w:type="dxa"/>
            <w:vMerge/>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b/>
                <w:bCs/>
                <w:color w:val="7030A0"/>
                <w:szCs w:val="20"/>
                <w:lang w:val="fr-FR" w:eastAsia="fr-FR"/>
              </w:rPr>
            </w:pPr>
          </w:p>
        </w:tc>
        <w:tc>
          <w:tcPr>
            <w:tcW w:w="1328" w:type="dxa"/>
            <w:vMerge/>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p>
        </w:tc>
        <w:tc>
          <w:tcPr>
            <w:tcW w:w="1142" w:type="dxa"/>
            <w:vMerge/>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p>
        </w:tc>
      </w:tr>
      <w:tr w:rsidR="00776BB9" w:rsidRPr="00C73365" w:rsidTr="00321ED7">
        <w:trPr>
          <w:trHeight w:val="253"/>
        </w:trPr>
        <w:tc>
          <w:tcPr>
            <w:tcW w:w="4303"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Achats de matières premières</w:t>
            </w:r>
          </w:p>
        </w:tc>
        <w:tc>
          <w:tcPr>
            <w:tcW w:w="1549" w:type="dxa"/>
            <w:tcBorders>
              <w:top w:val="nil"/>
              <w:left w:val="nil"/>
              <w:bottom w:val="single" w:sz="8" w:space="0" w:color="7030A0"/>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w:t>
            </w:r>
            <w:r w:rsidR="00776BB9" w:rsidRPr="00C73365">
              <w:rPr>
                <w:rFonts w:asciiTheme="minorHAnsi" w:hAnsiTheme="minorHAnsi" w:cstheme="minorHAnsi"/>
                <w:color w:val="7030A0"/>
                <w:szCs w:val="20"/>
              </w:rPr>
              <w:t>16</w:t>
            </w:r>
          </w:p>
        </w:tc>
        <w:tc>
          <w:tcPr>
            <w:tcW w:w="1328" w:type="dxa"/>
            <w:tcBorders>
              <w:top w:val="nil"/>
              <w:left w:val="nil"/>
              <w:bottom w:val="single" w:sz="8" w:space="0" w:color="7030A0"/>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w:t>
            </w:r>
            <w:r w:rsidR="00776BB9" w:rsidRPr="00C73365">
              <w:rPr>
                <w:rFonts w:asciiTheme="minorHAnsi" w:hAnsiTheme="minorHAnsi" w:cstheme="minorHAnsi"/>
                <w:color w:val="7030A0"/>
                <w:szCs w:val="20"/>
                <w:lang w:val="fr-FR" w:eastAsia="fr-FR"/>
              </w:rPr>
              <w:t>46</w:t>
            </w:r>
          </w:p>
        </w:tc>
        <w:tc>
          <w:tcPr>
            <w:tcW w:w="1142" w:type="dxa"/>
            <w:tcBorders>
              <w:top w:val="nil"/>
              <w:left w:val="nil"/>
              <w:bottom w:val="single" w:sz="8" w:space="0" w:color="7030A0"/>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30</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Etudes externes</w:t>
            </w:r>
          </w:p>
        </w:tc>
        <w:tc>
          <w:tcPr>
            <w:tcW w:w="1549" w:type="dxa"/>
            <w:tcBorders>
              <w:top w:val="nil"/>
              <w:left w:val="nil"/>
              <w:bottom w:val="nil"/>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6 318</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10 556</w:t>
            </w:r>
          </w:p>
        </w:tc>
        <w:tc>
          <w:tcPr>
            <w:tcW w:w="1142" w:type="dxa"/>
            <w:tcBorders>
              <w:top w:val="nil"/>
              <w:left w:val="nil"/>
              <w:bottom w:val="nil"/>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4 238</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Sous-Traitance générale</w:t>
            </w:r>
          </w:p>
        </w:tc>
        <w:tc>
          <w:tcPr>
            <w:tcW w:w="1549" w:type="dxa"/>
            <w:tcBorders>
              <w:top w:val="nil"/>
              <w:left w:val="nil"/>
              <w:bottom w:val="nil"/>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84</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176</w:t>
            </w:r>
          </w:p>
        </w:tc>
        <w:tc>
          <w:tcPr>
            <w:tcW w:w="1142" w:type="dxa"/>
            <w:tcBorders>
              <w:top w:val="nil"/>
              <w:left w:val="nil"/>
              <w:bottom w:val="nil"/>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92</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Fournitures</w:t>
            </w:r>
          </w:p>
        </w:tc>
        <w:tc>
          <w:tcPr>
            <w:tcW w:w="1549"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35</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24</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10</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Loyers, maintenance et charges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entretien</w:t>
            </w:r>
          </w:p>
        </w:tc>
        <w:tc>
          <w:tcPr>
            <w:tcW w:w="1549"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419</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366</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53</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Frais divers</w:t>
            </w:r>
          </w:p>
        </w:tc>
        <w:tc>
          <w:tcPr>
            <w:tcW w:w="1549"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302</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361</w:t>
            </w:r>
          </w:p>
        </w:tc>
        <w:tc>
          <w:tcPr>
            <w:tcW w:w="1142" w:type="dxa"/>
            <w:tcBorders>
              <w:top w:val="nil"/>
              <w:left w:val="nil"/>
              <w:bottom w:val="nil"/>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60</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Documentation, Veille technologique et séminaires</w:t>
            </w:r>
          </w:p>
        </w:tc>
        <w:tc>
          <w:tcPr>
            <w:tcW w:w="1549"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88</w:t>
            </w:r>
          </w:p>
        </w:tc>
        <w:tc>
          <w:tcPr>
            <w:tcW w:w="1328" w:type="dxa"/>
            <w:tcBorders>
              <w:top w:val="nil"/>
              <w:left w:val="nil"/>
              <w:bottom w:val="nil"/>
              <w:right w:val="nil"/>
            </w:tcBorders>
            <w:shd w:val="clear" w:color="auto" w:fill="auto"/>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79</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9</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Brevets</w:t>
            </w:r>
          </w:p>
        </w:tc>
        <w:tc>
          <w:tcPr>
            <w:tcW w:w="1549"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871</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753</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118</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Honoraires</w:t>
            </w:r>
          </w:p>
        </w:tc>
        <w:tc>
          <w:tcPr>
            <w:tcW w:w="1549"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1 954</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1 885</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69</w:t>
            </w:r>
          </w:p>
        </w:tc>
      </w:tr>
      <w:tr w:rsidR="00776BB9" w:rsidRPr="00C73365" w:rsidTr="00321ED7">
        <w:trPr>
          <w:trHeight w:val="253"/>
        </w:trPr>
        <w:tc>
          <w:tcPr>
            <w:tcW w:w="4303"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Missions et déplacements</w:t>
            </w:r>
          </w:p>
        </w:tc>
        <w:tc>
          <w:tcPr>
            <w:tcW w:w="1549" w:type="dxa"/>
            <w:tcBorders>
              <w:top w:val="nil"/>
              <w:left w:val="nil"/>
              <w:bottom w:val="single" w:sz="8" w:space="0" w:color="7030A0"/>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386</w:t>
            </w:r>
          </w:p>
        </w:tc>
        <w:tc>
          <w:tcPr>
            <w:tcW w:w="1328" w:type="dxa"/>
            <w:tcBorders>
              <w:top w:val="nil"/>
              <w:left w:val="nil"/>
              <w:bottom w:val="single" w:sz="8" w:space="0" w:color="7030A0"/>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399</w:t>
            </w:r>
          </w:p>
        </w:tc>
        <w:tc>
          <w:tcPr>
            <w:tcW w:w="1142" w:type="dxa"/>
            <w:tcBorders>
              <w:top w:val="nil"/>
              <w:left w:val="nil"/>
              <w:bottom w:val="single" w:sz="8" w:space="0" w:color="7030A0"/>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13</w:t>
            </w:r>
          </w:p>
        </w:tc>
      </w:tr>
      <w:tr w:rsidR="00776BB9" w:rsidRPr="00C73365" w:rsidTr="00321ED7">
        <w:trPr>
          <w:trHeight w:val="253"/>
        </w:trPr>
        <w:tc>
          <w:tcPr>
            <w:tcW w:w="4303"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Autres achats et charges externes</w:t>
            </w:r>
          </w:p>
        </w:tc>
        <w:tc>
          <w:tcPr>
            <w:tcW w:w="1549" w:type="dxa"/>
            <w:tcBorders>
              <w:top w:val="nil"/>
              <w:left w:val="nil"/>
              <w:bottom w:val="single" w:sz="8" w:space="0" w:color="7030A0"/>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w:t>
            </w:r>
            <w:r w:rsidR="00776BB9" w:rsidRPr="00C73365">
              <w:rPr>
                <w:rFonts w:asciiTheme="minorHAnsi" w:hAnsiTheme="minorHAnsi" w:cstheme="minorHAnsi"/>
                <w:color w:val="7030A0"/>
                <w:szCs w:val="20"/>
              </w:rPr>
              <w:t>10 456</w:t>
            </w:r>
          </w:p>
        </w:tc>
        <w:tc>
          <w:tcPr>
            <w:tcW w:w="1328" w:type="dxa"/>
            <w:tcBorders>
              <w:top w:val="nil"/>
              <w:left w:val="nil"/>
              <w:bottom w:val="single" w:sz="8" w:space="0" w:color="7030A0"/>
              <w:right w:val="nil"/>
            </w:tcBorders>
            <w:shd w:val="clear" w:color="auto" w:fill="auto"/>
            <w:noWrap/>
            <w:vAlign w:val="center"/>
            <w:hideMark/>
          </w:tcPr>
          <w:p w:rsidR="00776BB9" w:rsidRPr="00C73365" w:rsidRDefault="009544BC"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w:t>
            </w:r>
            <w:r w:rsidR="00776BB9" w:rsidRPr="00C73365">
              <w:rPr>
                <w:rFonts w:asciiTheme="minorHAnsi" w:hAnsiTheme="minorHAnsi" w:cstheme="minorHAnsi"/>
                <w:color w:val="7030A0"/>
                <w:szCs w:val="20"/>
                <w:lang w:val="fr-FR" w:eastAsia="fr-FR"/>
              </w:rPr>
              <w:t>14 599</w:t>
            </w:r>
          </w:p>
        </w:tc>
        <w:tc>
          <w:tcPr>
            <w:tcW w:w="1142" w:type="dxa"/>
            <w:tcBorders>
              <w:top w:val="nil"/>
              <w:left w:val="nil"/>
              <w:bottom w:val="single" w:sz="8" w:space="0" w:color="7030A0"/>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4 143</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Impôts, taxes et versements assimilés</w:t>
            </w:r>
          </w:p>
        </w:tc>
        <w:tc>
          <w:tcPr>
            <w:tcW w:w="1549" w:type="dxa"/>
            <w:tcBorders>
              <w:top w:val="nil"/>
              <w:left w:val="nil"/>
              <w:bottom w:val="nil"/>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104</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71</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33</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Salaires et traitements</w:t>
            </w:r>
          </w:p>
        </w:tc>
        <w:tc>
          <w:tcPr>
            <w:tcW w:w="1549" w:type="dxa"/>
            <w:tcBorders>
              <w:top w:val="nil"/>
              <w:left w:val="nil"/>
              <w:bottom w:val="nil"/>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2 670</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2 586</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84</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Charges sociales</w:t>
            </w:r>
          </w:p>
        </w:tc>
        <w:tc>
          <w:tcPr>
            <w:tcW w:w="1549" w:type="dxa"/>
            <w:tcBorders>
              <w:top w:val="nil"/>
              <w:left w:val="nil"/>
              <w:bottom w:val="nil"/>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1 112</w:t>
            </w:r>
          </w:p>
        </w:tc>
        <w:tc>
          <w:tcPr>
            <w:tcW w:w="1328" w:type="dxa"/>
            <w:tcBorders>
              <w:top w:val="nil"/>
              <w:left w:val="nil"/>
              <w:bottom w:val="nil"/>
              <w:right w:val="nil"/>
            </w:tcBorders>
            <w:shd w:val="clear" w:color="auto" w:fill="auto"/>
            <w:noWrap/>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971</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141</w:t>
            </w:r>
          </w:p>
        </w:tc>
      </w:tr>
      <w:tr w:rsidR="00776BB9" w:rsidRPr="00C73365" w:rsidTr="00321ED7">
        <w:trPr>
          <w:trHeight w:val="242"/>
        </w:trPr>
        <w:tc>
          <w:tcPr>
            <w:tcW w:w="4303"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Dotations aux amortissements</w:t>
            </w:r>
          </w:p>
        </w:tc>
        <w:tc>
          <w:tcPr>
            <w:tcW w:w="1549" w:type="dxa"/>
            <w:tcBorders>
              <w:top w:val="nil"/>
              <w:left w:val="nil"/>
              <w:bottom w:val="nil"/>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93</w:t>
            </w:r>
          </w:p>
        </w:tc>
        <w:tc>
          <w:tcPr>
            <w:tcW w:w="1328" w:type="dxa"/>
            <w:tcBorders>
              <w:top w:val="nil"/>
              <w:left w:val="nil"/>
              <w:bottom w:val="nil"/>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75</w:t>
            </w:r>
          </w:p>
        </w:tc>
        <w:tc>
          <w:tcPr>
            <w:tcW w:w="1142" w:type="dxa"/>
            <w:tcBorders>
              <w:top w:val="nil"/>
              <w:left w:val="nil"/>
              <w:bottom w:val="nil"/>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19</w:t>
            </w:r>
          </w:p>
        </w:tc>
      </w:tr>
      <w:tr w:rsidR="00776BB9" w:rsidRPr="00C73365" w:rsidTr="00321ED7">
        <w:trPr>
          <w:trHeight w:val="253"/>
        </w:trPr>
        <w:tc>
          <w:tcPr>
            <w:tcW w:w="4303"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Autres charges</w:t>
            </w:r>
          </w:p>
        </w:tc>
        <w:tc>
          <w:tcPr>
            <w:tcW w:w="1549" w:type="dxa"/>
            <w:tcBorders>
              <w:top w:val="nil"/>
              <w:left w:val="nil"/>
              <w:bottom w:val="single" w:sz="8" w:space="0" w:color="7030A0"/>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55</w:t>
            </w:r>
          </w:p>
        </w:tc>
        <w:tc>
          <w:tcPr>
            <w:tcW w:w="1328" w:type="dxa"/>
            <w:tcBorders>
              <w:top w:val="nil"/>
              <w:left w:val="nil"/>
              <w:bottom w:val="single" w:sz="8" w:space="0" w:color="7030A0"/>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r w:rsidR="00776BB9" w:rsidRPr="00C73365">
              <w:rPr>
                <w:rFonts w:asciiTheme="minorHAnsi" w:hAnsiTheme="minorHAnsi" w:cstheme="minorHAnsi"/>
                <w:color w:val="000000"/>
                <w:szCs w:val="20"/>
                <w:lang w:val="fr-FR" w:eastAsia="fr-FR"/>
              </w:rPr>
              <w:t>38</w:t>
            </w:r>
          </w:p>
        </w:tc>
        <w:tc>
          <w:tcPr>
            <w:tcW w:w="1142" w:type="dxa"/>
            <w:tcBorders>
              <w:top w:val="nil"/>
              <w:left w:val="nil"/>
              <w:bottom w:val="single" w:sz="8" w:space="0" w:color="7030A0"/>
              <w:right w:val="nil"/>
            </w:tcBorders>
            <w:shd w:val="clear" w:color="auto" w:fill="auto"/>
            <w:vAlign w:val="center"/>
          </w:tcPr>
          <w:p w:rsidR="00776BB9" w:rsidRPr="00C73365" w:rsidRDefault="009544BC"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17</w:t>
            </w:r>
          </w:p>
        </w:tc>
      </w:tr>
      <w:tr w:rsidR="00776BB9" w:rsidRPr="00C73365" w:rsidTr="00321ED7">
        <w:trPr>
          <w:trHeight w:val="253"/>
        </w:trPr>
        <w:tc>
          <w:tcPr>
            <w:tcW w:w="4303"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 charges d</w:t>
            </w:r>
            <w:r w:rsidR="004572A0" w:rsidRPr="00C73365">
              <w:rPr>
                <w:rFonts w:asciiTheme="minorHAnsi" w:hAnsiTheme="minorHAnsi" w:cstheme="minorHAnsi"/>
                <w:b/>
                <w:bCs/>
                <w:color w:val="7030A0"/>
                <w:szCs w:val="20"/>
                <w:lang w:val="fr-FR" w:eastAsia="fr-FR"/>
              </w:rPr>
              <w:t>’</w:t>
            </w:r>
            <w:r w:rsidRPr="00C73365">
              <w:rPr>
                <w:rFonts w:asciiTheme="minorHAnsi" w:hAnsiTheme="minorHAnsi" w:cstheme="minorHAnsi"/>
                <w:b/>
                <w:bCs/>
                <w:color w:val="7030A0"/>
                <w:szCs w:val="20"/>
                <w:lang w:val="fr-FR" w:eastAsia="fr-FR"/>
              </w:rPr>
              <w:t>exploitation</w:t>
            </w:r>
          </w:p>
        </w:tc>
        <w:tc>
          <w:tcPr>
            <w:tcW w:w="1549" w:type="dxa"/>
            <w:tcBorders>
              <w:top w:val="nil"/>
              <w:left w:val="nil"/>
              <w:bottom w:val="single" w:sz="8" w:space="0" w:color="7030A0"/>
              <w:right w:val="nil"/>
            </w:tcBorders>
            <w:shd w:val="clear" w:color="auto" w:fill="auto"/>
            <w:noWrap/>
            <w:vAlign w:val="center"/>
          </w:tcPr>
          <w:p w:rsidR="00776BB9" w:rsidRPr="00C73365" w:rsidRDefault="009544BC"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w:t>
            </w:r>
            <w:r w:rsidR="00776BB9" w:rsidRPr="00C73365">
              <w:rPr>
                <w:rFonts w:asciiTheme="minorHAnsi" w:hAnsiTheme="minorHAnsi" w:cstheme="minorHAnsi"/>
                <w:b/>
                <w:bCs/>
                <w:color w:val="7030A0"/>
                <w:szCs w:val="20"/>
              </w:rPr>
              <w:t>14 507</w:t>
            </w:r>
          </w:p>
        </w:tc>
        <w:tc>
          <w:tcPr>
            <w:tcW w:w="1328" w:type="dxa"/>
            <w:tcBorders>
              <w:top w:val="nil"/>
              <w:left w:val="nil"/>
              <w:bottom w:val="single" w:sz="8" w:space="0" w:color="7030A0"/>
              <w:right w:val="nil"/>
            </w:tcBorders>
            <w:shd w:val="clear" w:color="auto" w:fill="auto"/>
            <w:vAlign w:val="center"/>
            <w:hideMark/>
          </w:tcPr>
          <w:p w:rsidR="00776BB9" w:rsidRPr="00C73365" w:rsidRDefault="009544BC"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w:t>
            </w:r>
            <w:r w:rsidR="00776BB9" w:rsidRPr="00C73365">
              <w:rPr>
                <w:rFonts w:asciiTheme="minorHAnsi" w:hAnsiTheme="minorHAnsi" w:cstheme="minorHAnsi"/>
                <w:b/>
                <w:bCs/>
                <w:color w:val="7030A0"/>
                <w:szCs w:val="20"/>
                <w:lang w:val="fr-FR" w:eastAsia="fr-FR"/>
              </w:rPr>
              <w:t>18 387</w:t>
            </w:r>
          </w:p>
        </w:tc>
        <w:tc>
          <w:tcPr>
            <w:tcW w:w="1142" w:type="dxa"/>
            <w:tcBorders>
              <w:top w:val="nil"/>
              <w:left w:val="nil"/>
              <w:bottom w:val="single" w:sz="8" w:space="0" w:color="7030A0"/>
              <w:right w:val="nil"/>
            </w:tcBorders>
            <w:shd w:val="clear" w:color="auto" w:fill="auto"/>
            <w:vAlign w:val="center"/>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3 880</w:t>
            </w:r>
          </w:p>
        </w:tc>
      </w:tr>
    </w:tbl>
    <w:p w:rsidR="00776BB9" w:rsidRPr="00C73365" w:rsidRDefault="00776BB9">
      <w:pPr>
        <w:rPr>
          <w:rFonts w:asciiTheme="minorHAnsi" w:hAnsiTheme="minorHAnsi" w:cstheme="minorHAnsi"/>
          <w:szCs w:val="22"/>
          <w:lang w:val="fr-FR"/>
        </w:rPr>
      </w:pPr>
    </w:p>
    <w:p w:rsidR="006B5037"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31 </w:t>
      </w:r>
      <w:r w:rsidR="008C1A4A">
        <w:rPr>
          <w:rFonts w:asciiTheme="minorHAnsi" w:hAnsiTheme="minorHAnsi" w:cstheme="minorHAnsi"/>
          <w:lang w:val="fr-FR"/>
        </w:rPr>
        <w:t>d</w:t>
      </w:r>
      <w:r w:rsidRPr="00C73365">
        <w:rPr>
          <w:rFonts w:asciiTheme="minorHAnsi" w:hAnsiTheme="minorHAnsi" w:cstheme="minorHAnsi"/>
          <w:lang w:val="fr-FR"/>
        </w:rPr>
        <w:t xml:space="preserve">écembre 2017, les charges d’exploitation se sont établies à </w:t>
      </w:r>
      <w:r w:rsidR="009544BC" w:rsidRPr="00C73365">
        <w:rPr>
          <w:rFonts w:asciiTheme="minorHAnsi" w:hAnsiTheme="minorHAnsi" w:cstheme="minorHAnsi"/>
          <w:lang w:val="fr-FR"/>
        </w:rPr>
        <w:t>-</w:t>
      </w:r>
      <w:r w:rsidRPr="00C73365">
        <w:rPr>
          <w:rFonts w:asciiTheme="minorHAnsi" w:hAnsiTheme="minorHAnsi" w:cstheme="minorHAnsi"/>
          <w:lang w:val="fr-FR"/>
        </w:rPr>
        <w:t xml:space="preserve">14 507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par rapport à </w:t>
      </w:r>
      <w:r w:rsidR="009544BC" w:rsidRPr="00C73365">
        <w:rPr>
          <w:rFonts w:asciiTheme="minorHAnsi" w:hAnsiTheme="minorHAnsi" w:cstheme="minorHAnsi"/>
          <w:lang w:val="fr-FR"/>
        </w:rPr>
        <w:t>-</w:t>
      </w:r>
      <w:r w:rsidRPr="00C73365">
        <w:rPr>
          <w:rFonts w:asciiTheme="minorHAnsi" w:hAnsiTheme="minorHAnsi" w:cstheme="minorHAnsi"/>
          <w:lang w:val="fr-FR"/>
        </w:rPr>
        <w:t xml:space="preserve">18 387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31 </w:t>
      </w:r>
      <w:r w:rsidR="008C1A4A">
        <w:rPr>
          <w:rFonts w:asciiTheme="minorHAnsi" w:hAnsiTheme="minorHAnsi" w:cstheme="minorHAnsi"/>
          <w:lang w:val="fr-FR"/>
        </w:rPr>
        <w:t>d</w:t>
      </w:r>
      <w:r w:rsidRPr="00C73365">
        <w:rPr>
          <w:rFonts w:asciiTheme="minorHAnsi" w:hAnsiTheme="minorHAnsi" w:cstheme="minorHAnsi"/>
          <w:lang w:val="fr-FR"/>
        </w:rPr>
        <w:t>écembre 2016.</w:t>
      </w:r>
      <w:r w:rsidR="00910EDB" w:rsidRPr="00C73365">
        <w:rPr>
          <w:rFonts w:asciiTheme="minorHAnsi" w:hAnsiTheme="minorHAnsi" w:cstheme="minorHAnsi"/>
          <w:lang w:val="fr-FR"/>
        </w:rPr>
        <w:t xml:space="preserve"> </w:t>
      </w:r>
      <w:r w:rsidR="006B5037" w:rsidRPr="00C73365">
        <w:rPr>
          <w:rFonts w:asciiTheme="minorHAnsi" w:hAnsiTheme="minorHAnsi" w:cstheme="minorHAnsi"/>
          <w:lang w:val="fr-FR"/>
        </w:rPr>
        <w:t xml:space="preserve">Les charges d’exploitation sont à 72% composées des « autres achats et charges externes ». </w:t>
      </w:r>
      <w:r w:rsidR="00B5372B" w:rsidRPr="00C73365">
        <w:rPr>
          <w:rFonts w:asciiTheme="minorHAnsi" w:hAnsiTheme="minorHAnsi" w:cstheme="minorHAnsi"/>
          <w:lang w:val="fr-FR"/>
        </w:rPr>
        <w:t xml:space="preserve">61% de ce dernier montant concerne les études externes et sous-traitance (études cliniques, de toxicologie, développement de procédé industriel) retraçant </w:t>
      </w:r>
      <w:r w:rsidR="001F5078" w:rsidRPr="00C73365">
        <w:rPr>
          <w:rFonts w:asciiTheme="minorHAnsi" w:hAnsiTheme="minorHAnsi" w:cstheme="minorHAnsi"/>
          <w:lang w:val="fr-FR"/>
        </w:rPr>
        <w:t>les principales études en cours sur le produit le plus avancé ABX464 (soit l’étude 464-004 et 464-005 sur le HIV et l’étude UC-101 et UC-102 sur la maladie inflammatoire chronique de l’intestin) et sur les produits en développement ABX196 (Cancer) et ABX544 (Ebola) ainsi que les études de recherche</w:t>
      </w:r>
      <w:r w:rsidR="00E16C9A" w:rsidRPr="00C73365">
        <w:rPr>
          <w:rFonts w:asciiTheme="minorHAnsi" w:hAnsiTheme="minorHAnsi" w:cstheme="minorHAnsi"/>
          <w:lang w:val="fr-FR"/>
        </w:rPr>
        <w:t>.</w:t>
      </w:r>
      <w:r w:rsidR="001F5078" w:rsidRPr="00C73365">
        <w:rPr>
          <w:rFonts w:asciiTheme="minorHAnsi" w:hAnsiTheme="minorHAnsi" w:cstheme="minorHAnsi"/>
          <w:lang w:val="fr-FR"/>
        </w:rPr>
        <w:t xml:space="preserve"> </w:t>
      </w:r>
    </w:p>
    <w:p w:rsidR="006B5037" w:rsidRPr="00C73365" w:rsidRDefault="006B5037"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réduction des charges d’exploitation est due principalement à l’arrêt du développement de l’ABX203 fin 2016. L’étude clinique de phase III portant sur l’ABX203 </w:t>
      </w:r>
      <w:r w:rsidR="00A35783" w:rsidRPr="00C73365">
        <w:rPr>
          <w:rFonts w:asciiTheme="minorHAnsi" w:hAnsiTheme="minorHAnsi" w:cstheme="minorHAnsi"/>
          <w:lang w:val="fr-FR"/>
        </w:rPr>
        <w:t xml:space="preserve">(Hépatite B) </w:t>
      </w:r>
      <w:r w:rsidRPr="00C73365">
        <w:rPr>
          <w:rFonts w:asciiTheme="minorHAnsi" w:hAnsiTheme="minorHAnsi" w:cstheme="minorHAnsi"/>
          <w:lang w:val="fr-FR"/>
        </w:rPr>
        <w:t>a engendré près de 5 millions d’euros en 2016 qui n’ont pas été reproduits en 2017</w:t>
      </w:r>
    </w:p>
    <w:p w:rsidR="003D4024"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charges sociales comprennent une provision de 12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lié au titre du CICE 2017.</w:t>
      </w:r>
      <w:r w:rsidR="006B5037" w:rsidRPr="00C73365">
        <w:rPr>
          <w:rFonts w:asciiTheme="minorHAnsi" w:hAnsiTheme="minorHAnsi" w:cstheme="minorHAnsi"/>
          <w:lang w:val="fr-FR"/>
        </w:rPr>
        <w:t xml:space="preserve"> </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perte opérationnelle s’élève au 31 </w:t>
      </w:r>
      <w:r w:rsidR="008C1A4A">
        <w:rPr>
          <w:rFonts w:asciiTheme="minorHAnsi" w:hAnsiTheme="minorHAnsi" w:cstheme="minorHAnsi"/>
          <w:lang w:val="fr-FR"/>
        </w:rPr>
        <w:t>d</w:t>
      </w:r>
      <w:r w:rsidRPr="00C73365">
        <w:rPr>
          <w:rFonts w:asciiTheme="minorHAnsi" w:hAnsiTheme="minorHAnsi" w:cstheme="minorHAnsi"/>
          <w:lang w:val="fr-FR"/>
        </w:rPr>
        <w:t xml:space="preserve">écembre 2017 à </w:t>
      </w:r>
      <w:r w:rsidR="00C12F8B" w:rsidRPr="00C73365">
        <w:rPr>
          <w:rFonts w:asciiTheme="minorHAnsi" w:hAnsiTheme="minorHAnsi" w:cstheme="minorHAnsi"/>
          <w:lang w:val="fr-FR"/>
        </w:rPr>
        <w:t>-</w:t>
      </w:r>
      <w:r w:rsidRPr="00C73365">
        <w:rPr>
          <w:rFonts w:asciiTheme="minorHAnsi" w:hAnsiTheme="minorHAnsi" w:cstheme="minorHAnsi"/>
          <w:lang w:val="fr-FR"/>
        </w:rPr>
        <w:t xml:space="preserve">14 150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contre </w:t>
      </w:r>
      <w:r w:rsidR="00C12F8B" w:rsidRPr="00C73365">
        <w:rPr>
          <w:rFonts w:asciiTheme="minorHAnsi" w:hAnsiTheme="minorHAnsi" w:cstheme="minorHAnsi"/>
          <w:lang w:val="fr-FR"/>
        </w:rPr>
        <w:t>-</w:t>
      </w:r>
      <w:r w:rsidRPr="00C73365">
        <w:rPr>
          <w:rFonts w:asciiTheme="minorHAnsi" w:hAnsiTheme="minorHAnsi" w:cstheme="minorHAnsi"/>
          <w:lang w:val="fr-FR"/>
        </w:rPr>
        <w:t xml:space="preserve">18 </w:t>
      </w:r>
      <w:r w:rsidR="007C6805" w:rsidRPr="00C73365">
        <w:rPr>
          <w:rFonts w:asciiTheme="minorHAnsi" w:hAnsiTheme="minorHAnsi" w:cstheme="minorHAnsi"/>
          <w:lang w:val="fr-FR"/>
        </w:rPr>
        <w:t xml:space="preserve">236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au 31 </w:t>
      </w:r>
      <w:r w:rsidR="008C1A4A">
        <w:rPr>
          <w:rFonts w:asciiTheme="minorHAnsi" w:hAnsiTheme="minorHAnsi" w:cstheme="minorHAnsi"/>
          <w:lang w:val="fr-FR"/>
        </w:rPr>
        <w:t>d</w:t>
      </w:r>
      <w:r w:rsidRPr="00C73365">
        <w:rPr>
          <w:rFonts w:asciiTheme="minorHAnsi" w:hAnsiTheme="minorHAnsi" w:cstheme="minorHAnsi"/>
          <w:lang w:val="fr-FR"/>
        </w:rPr>
        <w:t>écembre 2016</w:t>
      </w:r>
      <w:r w:rsidR="003D4024" w:rsidRPr="00C73365">
        <w:rPr>
          <w:rFonts w:asciiTheme="minorHAnsi" w:hAnsiTheme="minorHAnsi" w:cstheme="minorHAnsi"/>
          <w:lang w:val="fr-FR"/>
        </w:rPr>
        <w:t xml:space="preserve">, </w:t>
      </w:r>
      <w:r w:rsidR="00D5000C" w:rsidRPr="00C73365">
        <w:rPr>
          <w:rFonts w:asciiTheme="minorHAnsi" w:hAnsiTheme="minorHAnsi" w:cstheme="minorHAnsi"/>
          <w:lang w:val="fr-FR"/>
        </w:rPr>
        <w:t>en</w:t>
      </w:r>
      <w:r w:rsidR="003D4024" w:rsidRPr="00C73365">
        <w:rPr>
          <w:rFonts w:asciiTheme="minorHAnsi" w:hAnsiTheme="minorHAnsi" w:cstheme="minorHAnsi"/>
          <w:lang w:val="fr-FR"/>
        </w:rPr>
        <w:t xml:space="preserve"> baisse </w:t>
      </w:r>
      <w:r w:rsidR="00D5000C" w:rsidRPr="00C73365">
        <w:rPr>
          <w:rFonts w:asciiTheme="minorHAnsi" w:hAnsiTheme="minorHAnsi" w:cstheme="minorHAnsi"/>
          <w:lang w:val="fr-FR"/>
        </w:rPr>
        <w:t>due</w:t>
      </w:r>
      <w:r w:rsidR="003D4024" w:rsidRPr="00C73365">
        <w:rPr>
          <w:rFonts w:asciiTheme="minorHAnsi" w:hAnsiTheme="minorHAnsi" w:cstheme="minorHAnsi"/>
          <w:lang w:val="fr-FR"/>
        </w:rPr>
        <w:t xml:space="preserve"> à la réduction des charges liées au produit ABX203</w:t>
      </w:r>
      <w:r w:rsidRPr="00C73365">
        <w:rPr>
          <w:rFonts w:asciiTheme="minorHAnsi" w:hAnsiTheme="minorHAnsi" w:cstheme="minorHAnsi"/>
          <w:lang w:val="fr-FR"/>
        </w:rPr>
        <w:t xml:space="preserve">. </w:t>
      </w:r>
    </w:p>
    <w:p w:rsidR="00776BB9" w:rsidRPr="00C73365" w:rsidRDefault="00776BB9" w:rsidP="004572A0">
      <w:pPr>
        <w:pStyle w:val="BodyText"/>
        <w:rPr>
          <w:rFonts w:asciiTheme="minorHAnsi" w:hAnsiTheme="minorHAnsi" w:cstheme="minorHAnsi"/>
          <w:lang w:val="fr-FR"/>
        </w:rPr>
        <w:sectPr w:rsidR="00776BB9" w:rsidRPr="00C73365" w:rsidSect="007C607C">
          <w:type w:val="continuous"/>
          <w:pgSz w:w="11907" w:h="16840" w:code="9"/>
          <w:pgMar w:top="1134" w:right="1134" w:bottom="1134" w:left="1134" w:header="709" w:footer="709" w:gutter="0"/>
          <w:cols w:space="708"/>
          <w:docGrid w:linePitch="360"/>
        </w:sectPr>
      </w:pPr>
    </w:p>
    <w:p w:rsidR="00776BB9" w:rsidRPr="00C73365" w:rsidRDefault="00776BB9" w:rsidP="00616826">
      <w:pPr>
        <w:pStyle w:val="ListParagraph"/>
        <w:numPr>
          <w:ilvl w:val="2"/>
          <w:numId w:val="9"/>
        </w:numPr>
        <w:spacing w:after="0"/>
        <w:outlineLvl w:val="2"/>
        <w:rPr>
          <w:rFonts w:asciiTheme="minorHAnsi" w:hAnsiTheme="minorHAnsi" w:cstheme="minorHAnsi"/>
          <w:b/>
          <w:color w:val="7030A0"/>
          <w:szCs w:val="22"/>
          <w:lang w:val="fr-FR"/>
        </w:rPr>
      </w:pPr>
      <w:bookmarkStart w:id="360" w:name="_Toc400469547"/>
      <w:r w:rsidRPr="00C73365">
        <w:rPr>
          <w:rFonts w:asciiTheme="minorHAnsi" w:hAnsiTheme="minorHAnsi" w:cstheme="minorHAnsi"/>
          <w:b/>
          <w:color w:val="7030A0"/>
          <w:szCs w:val="22"/>
          <w:lang w:val="fr-FR"/>
        </w:rPr>
        <w:lastRenderedPageBreak/>
        <w:t>Résultat financier</w:t>
      </w:r>
      <w:bookmarkEnd w:id="360"/>
    </w:p>
    <w:p w:rsidR="001A2235" w:rsidRPr="00C73365" w:rsidRDefault="001A2235" w:rsidP="001A2235">
      <w:pPr>
        <w:rPr>
          <w:rFonts w:asciiTheme="minorHAnsi" w:hAnsiTheme="minorHAnsi" w:cstheme="minorHAnsi"/>
          <w:lang w:val="fr-FR"/>
        </w:rPr>
      </w:pPr>
    </w:p>
    <w:tbl>
      <w:tblPr>
        <w:tblW w:w="7000" w:type="dxa"/>
        <w:tblLook w:val="04A0" w:firstRow="1" w:lastRow="0" w:firstColumn="1" w:lastColumn="0" w:noHBand="0" w:noVBand="1"/>
      </w:tblPr>
      <w:tblGrid>
        <w:gridCol w:w="3280"/>
        <w:gridCol w:w="1240"/>
        <w:gridCol w:w="1240"/>
        <w:gridCol w:w="1240"/>
      </w:tblGrid>
      <w:tr w:rsidR="00776BB9" w:rsidRPr="00C73365" w:rsidTr="00793DCB">
        <w:trPr>
          <w:trHeight w:val="300"/>
        </w:trPr>
        <w:tc>
          <w:tcPr>
            <w:tcW w:w="3280" w:type="dxa"/>
            <w:tcBorders>
              <w:top w:val="single" w:sz="12" w:space="0" w:color="7030A0"/>
              <w:left w:val="nil"/>
              <w:bottom w:val="nil"/>
              <w:right w:val="nil"/>
            </w:tcBorders>
            <w:shd w:val="clear" w:color="auto" w:fill="auto"/>
            <w:vAlign w:val="center"/>
            <w:hideMark/>
          </w:tcPr>
          <w:p w:rsidR="00776BB9" w:rsidRPr="00C73365" w:rsidRDefault="00776BB9" w:rsidP="00A96CCA">
            <w:pPr>
              <w:spacing w:after="0"/>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Eléments du Compte de Résultat</w:t>
            </w:r>
          </w:p>
        </w:tc>
        <w:tc>
          <w:tcPr>
            <w:tcW w:w="124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24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31/12/2016</w:t>
            </w:r>
          </w:p>
        </w:tc>
        <w:tc>
          <w:tcPr>
            <w:tcW w:w="124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Variation</w:t>
            </w:r>
          </w:p>
        </w:tc>
      </w:tr>
      <w:tr w:rsidR="00776BB9" w:rsidRPr="00C73365" w:rsidTr="00793DCB">
        <w:trPr>
          <w:trHeight w:val="300"/>
        </w:trPr>
        <w:tc>
          <w:tcPr>
            <w:tcW w:w="328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40" w:type="dxa"/>
            <w:vMerge/>
            <w:tcBorders>
              <w:top w:val="single" w:sz="12" w:space="0" w:color="7030A0"/>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7030A0"/>
                <w:szCs w:val="20"/>
              </w:rPr>
            </w:pPr>
          </w:p>
        </w:tc>
        <w:tc>
          <w:tcPr>
            <w:tcW w:w="1240" w:type="dxa"/>
            <w:vMerge/>
            <w:tcBorders>
              <w:top w:val="single" w:sz="12" w:space="0" w:color="7030A0"/>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000000"/>
                <w:szCs w:val="20"/>
              </w:rPr>
            </w:pPr>
          </w:p>
        </w:tc>
        <w:tc>
          <w:tcPr>
            <w:tcW w:w="1240" w:type="dxa"/>
            <w:vMerge/>
            <w:tcBorders>
              <w:top w:val="single" w:sz="12" w:space="0" w:color="7030A0"/>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000000"/>
                <w:szCs w:val="20"/>
              </w:rPr>
            </w:pPr>
          </w:p>
        </w:tc>
      </w:tr>
      <w:tr w:rsidR="00776BB9" w:rsidRPr="00C73365" w:rsidTr="00793DCB">
        <w:trPr>
          <w:trHeight w:val="288"/>
        </w:trPr>
        <w:tc>
          <w:tcPr>
            <w:tcW w:w="32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Produits financiers</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116</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301</w:t>
            </w:r>
          </w:p>
        </w:tc>
        <w:tc>
          <w:tcPr>
            <w:tcW w:w="1240"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-185</w:t>
            </w:r>
          </w:p>
        </w:tc>
      </w:tr>
      <w:tr w:rsidR="00776BB9" w:rsidRPr="00C73365" w:rsidTr="00793DCB">
        <w:trPr>
          <w:trHeight w:val="300"/>
        </w:trPr>
        <w:tc>
          <w:tcPr>
            <w:tcW w:w="32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Charges financières</w:t>
            </w:r>
          </w:p>
        </w:tc>
        <w:tc>
          <w:tcPr>
            <w:tcW w:w="1240" w:type="dxa"/>
            <w:tcBorders>
              <w:top w:val="nil"/>
              <w:left w:val="nil"/>
              <w:bottom w:val="single" w:sz="8" w:space="0" w:color="7030A0"/>
              <w:right w:val="nil"/>
            </w:tcBorders>
            <w:shd w:val="clear" w:color="auto" w:fill="auto"/>
            <w:vAlign w:val="center"/>
            <w:hideMark/>
          </w:tcPr>
          <w:p w:rsidR="00776BB9" w:rsidRPr="00C73365" w:rsidRDefault="00F77970"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39</w:t>
            </w:r>
          </w:p>
        </w:tc>
        <w:tc>
          <w:tcPr>
            <w:tcW w:w="1240" w:type="dxa"/>
            <w:tcBorders>
              <w:top w:val="nil"/>
              <w:left w:val="nil"/>
              <w:bottom w:val="single" w:sz="8" w:space="0" w:color="7030A0"/>
              <w:right w:val="nil"/>
            </w:tcBorders>
            <w:shd w:val="clear" w:color="auto" w:fill="auto"/>
            <w:vAlign w:val="center"/>
            <w:hideMark/>
          </w:tcPr>
          <w:p w:rsidR="00776BB9" w:rsidRPr="00C73365" w:rsidRDefault="00F77970"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42</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w:t>
            </w:r>
          </w:p>
        </w:tc>
      </w:tr>
      <w:tr w:rsidR="00776BB9" w:rsidRPr="00C73365" w:rsidTr="00793DCB">
        <w:trPr>
          <w:trHeight w:val="300"/>
        </w:trPr>
        <w:tc>
          <w:tcPr>
            <w:tcW w:w="32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Résultat Financier</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77</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258</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-182</w:t>
            </w:r>
          </w:p>
        </w:tc>
      </w:tr>
    </w:tbl>
    <w:p w:rsidR="00D852BD" w:rsidRPr="00C73365" w:rsidRDefault="00D852BD" w:rsidP="00D852BD">
      <w:pPr>
        <w:spacing w:after="0"/>
        <w:rPr>
          <w:rFonts w:asciiTheme="minorHAnsi" w:hAnsiTheme="minorHAnsi" w:cstheme="minorHAnsi"/>
          <w:lang w:val="fr-FR"/>
        </w:rPr>
      </w:pPr>
    </w:p>
    <w:p w:rsidR="00776BB9" w:rsidRPr="00C73365" w:rsidRDefault="00776BB9" w:rsidP="004572A0">
      <w:pPr>
        <w:pStyle w:val="BodyText"/>
        <w:rPr>
          <w:rFonts w:asciiTheme="minorHAnsi" w:hAnsiTheme="minorHAnsi" w:cstheme="minorHAnsi"/>
          <w:lang w:val="fr-FR"/>
        </w:rPr>
      </w:pPr>
      <w:bookmarkStart w:id="361" w:name="_Hlk509825497"/>
      <w:r w:rsidRPr="00C73365">
        <w:rPr>
          <w:rFonts w:asciiTheme="minorHAnsi" w:hAnsiTheme="minorHAnsi" w:cstheme="minorHAnsi"/>
          <w:lang w:val="fr-FR"/>
        </w:rPr>
        <w:t xml:space="preserve">Au 31/12/2017, les charges financières comprennent 31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d’intérêts courus sur le contrat BPI CaReNA (31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en 2016) et 8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de perte de change (12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en 2016).</w:t>
      </w:r>
    </w:p>
    <w:bookmarkEnd w:id="361"/>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Au 31/12/2017, les produits financiers se décomposent ainsi :</w:t>
      </w:r>
    </w:p>
    <w:tbl>
      <w:tblPr>
        <w:tblW w:w="6660" w:type="dxa"/>
        <w:tblCellMar>
          <w:left w:w="70" w:type="dxa"/>
          <w:right w:w="70" w:type="dxa"/>
        </w:tblCellMar>
        <w:tblLook w:val="04A0" w:firstRow="1" w:lastRow="0" w:firstColumn="1" w:lastColumn="0" w:noHBand="0" w:noVBand="1"/>
      </w:tblPr>
      <w:tblGrid>
        <w:gridCol w:w="5420"/>
        <w:gridCol w:w="1240"/>
      </w:tblGrid>
      <w:tr w:rsidR="00776BB9" w:rsidRPr="00C73365" w:rsidTr="00793DCB">
        <w:trPr>
          <w:trHeight w:val="312"/>
        </w:trPr>
        <w:tc>
          <w:tcPr>
            <w:tcW w:w="5420"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p>
        </w:tc>
        <w:tc>
          <w:tcPr>
            <w:tcW w:w="1240"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Montant</w:t>
            </w:r>
          </w:p>
        </w:tc>
      </w:tr>
      <w:tr w:rsidR="00776BB9" w:rsidRPr="00C73365" w:rsidTr="00793DCB">
        <w:trPr>
          <w:trHeight w:val="288"/>
        </w:trPr>
        <w:tc>
          <w:tcPr>
            <w:tcW w:w="5420" w:type="dxa"/>
            <w:tcBorders>
              <w:top w:val="nil"/>
              <w:left w:val="nil"/>
              <w:bottom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Intérêts créditeurs CAT </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110 </w:t>
            </w:r>
            <w:r w:rsidR="00EF089C" w:rsidRPr="00C73365">
              <w:rPr>
                <w:rFonts w:asciiTheme="minorHAnsi" w:hAnsiTheme="minorHAnsi" w:cstheme="minorHAnsi"/>
                <w:color w:val="000000"/>
                <w:szCs w:val="20"/>
                <w:lang w:val="fr-FR" w:eastAsia="fr-FR"/>
              </w:rPr>
              <w:t>K€</w:t>
            </w:r>
          </w:p>
        </w:tc>
      </w:tr>
      <w:tr w:rsidR="00776BB9" w:rsidRPr="00C73365" w:rsidTr="00793DCB">
        <w:trPr>
          <w:trHeight w:val="300"/>
        </w:trPr>
        <w:tc>
          <w:tcPr>
            <w:tcW w:w="542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Gain de change</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6 </w:t>
            </w:r>
            <w:r w:rsidR="00EF089C" w:rsidRPr="00C73365">
              <w:rPr>
                <w:rFonts w:asciiTheme="minorHAnsi" w:hAnsiTheme="minorHAnsi" w:cstheme="minorHAnsi"/>
                <w:color w:val="000000"/>
                <w:szCs w:val="20"/>
                <w:lang w:val="fr-FR" w:eastAsia="fr-FR"/>
              </w:rPr>
              <w:t>K€</w:t>
            </w:r>
          </w:p>
        </w:tc>
      </w:tr>
    </w:tbl>
    <w:p w:rsidR="00776BB9" w:rsidRPr="00C73365" w:rsidRDefault="00776BB9">
      <w:pPr>
        <w:rPr>
          <w:rFonts w:asciiTheme="minorHAnsi" w:hAnsiTheme="minorHAnsi" w:cstheme="minorHAnsi"/>
          <w:lang w:val="fr-FR"/>
        </w:rPr>
      </w:pPr>
    </w:p>
    <w:p w:rsidR="00776BB9" w:rsidRPr="00C73365" w:rsidRDefault="00776BB9" w:rsidP="00616826">
      <w:pPr>
        <w:pStyle w:val="ListParagraph"/>
        <w:numPr>
          <w:ilvl w:val="2"/>
          <w:numId w:val="9"/>
        </w:numPr>
        <w:spacing w:after="0"/>
        <w:outlineLvl w:val="2"/>
        <w:rPr>
          <w:rFonts w:asciiTheme="minorHAnsi" w:hAnsiTheme="minorHAnsi" w:cstheme="minorHAnsi"/>
          <w:b/>
          <w:color w:val="7030A0"/>
          <w:szCs w:val="22"/>
          <w:lang w:val="fr-FR"/>
        </w:rPr>
      </w:pPr>
      <w:bookmarkStart w:id="362" w:name="_Toc400469549"/>
      <w:r w:rsidRPr="00C73365">
        <w:rPr>
          <w:rFonts w:asciiTheme="minorHAnsi" w:hAnsiTheme="minorHAnsi" w:cstheme="minorHAnsi"/>
          <w:b/>
          <w:color w:val="7030A0"/>
          <w:szCs w:val="22"/>
          <w:lang w:val="fr-FR"/>
        </w:rPr>
        <w:t>Résultat net</w:t>
      </w:r>
      <w:bookmarkEnd w:id="362"/>
    </w:p>
    <w:p w:rsidR="00776BB9" w:rsidRPr="00C73365" w:rsidRDefault="00776BB9" w:rsidP="00A96CCA">
      <w:pPr>
        <w:pStyle w:val="ConmainL3"/>
        <w:keepLines/>
        <w:tabs>
          <w:tab w:val="clear" w:pos="360"/>
        </w:tabs>
        <w:spacing w:after="120"/>
        <w:outlineLvl w:val="9"/>
        <w:rPr>
          <w:rFonts w:asciiTheme="minorHAnsi" w:hAnsiTheme="minorHAnsi" w:cstheme="minorHAnsi"/>
          <w:b/>
          <w:color w:val="7030A0"/>
          <w:lang w:val="fr-FR"/>
        </w:rPr>
      </w:pPr>
    </w:p>
    <w:tbl>
      <w:tblPr>
        <w:tblW w:w="7000" w:type="dxa"/>
        <w:tblLook w:val="04A0" w:firstRow="1" w:lastRow="0" w:firstColumn="1" w:lastColumn="0" w:noHBand="0" w:noVBand="1"/>
      </w:tblPr>
      <w:tblGrid>
        <w:gridCol w:w="3280"/>
        <w:gridCol w:w="1240"/>
        <w:gridCol w:w="1240"/>
        <w:gridCol w:w="1240"/>
      </w:tblGrid>
      <w:tr w:rsidR="00776BB9" w:rsidRPr="00C73365" w:rsidTr="00793DCB">
        <w:trPr>
          <w:trHeight w:val="300"/>
        </w:trPr>
        <w:tc>
          <w:tcPr>
            <w:tcW w:w="3280" w:type="dxa"/>
            <w:tcBorders>
              <w:top w:val="single" w:sz="12" w:space="0" w:color="7030A0"/>
              <w:left w:val="nil"/>
              <w:bottom w:val="nil"/>
              <w:right w:val="nil"/>
            </w:tcBorders>
            <w:shd w:val="clear" w:color="auto" w:fill="auto"/>
            <w:vAlign w:val="center"/>
            <w:hideMark/>
          </w:tcPr>
          <w:p w:rsidR="00776BB9" w:rsidRPr="00C73365" w:rsidRDefault="00776BB9" w:rsidP="00A96CCA">
            <w:pPr>
              <w:spacing w:after="0"/>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Eléments du Compte de Résultat</w:t>
            </w:r>
          </w:p>
        </w:tc>
        <w:tc>
          <w:tcPr>
            <w:tcW w:w="124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24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31/12/2016</w:t>
            </w:r>
          </w:p>
        </w:tc>
        <w:tc>
          <w:tcPr>
            <w:tcW w:w="1240"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Variation</w:t>
            </w:r>
          </w:p>
        </w:tc>
      </w:tr>
      <w:tr w:rsidR="00776BB9" w:rsidRPr="00C73365" w:rsidTr="00793DCB">
        <w:trPr>
          <w:trHeight w:val="300"/>
        </w:trPr>
        <w:tc>
          <w:tcPr>
            <w:tcW w:w="328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40" w:type="dxa"/>
            <w:vMerge/>
            <w:tcBorders>
              <w:top w:val="single" w:sz="12" w:space="0" w:color="7030A0"/>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7030A0"/>
                <w:szCs w:val="20"/>
              </w:rPr>
            </w:pPr>
          </w:p>
        </w:tc>
        <w:tc>
          <w:tcPr>
            <w:tcW w:w="1240" w:type="dxa"/>
            <w:vMerge/>
            <w:tcBorders>
              <w:top w:val="single" w:sz="12" w:space="0" w:color="7030A0"/>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000000"/>
                <w:szCs w:val="20"/>
              </w:rPr>
            </w:pPr>
          </w:p>
        </w:tc>
        <w:tc>
          <w:tcPr>
            <w:tcW w:w="1240" w:type="dxa"/>
            <w:vMerge/>
            <w:tcBorders>
              <w:top w:val="single" w:sz="12" w:space="0" w:color="7030A0"/>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000000"/>
                <w:szCs w:val="20"/>
              </w:rPr>
            </w:pPr>
          </w:p>
        </w:tc>
      </w:tr>
      <w:tr w:rsidR="00776BB9" w:rsidRPr="00C73365" w:rsidTr="00793DCB">
        <w:trPr>
          <w:trHeight w:val="300"/>
        </w:trPr>
        <w:tc>
          <w:tcPr>
            <w:tcW w:w="32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Résultat courant avant impôts</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-14 073</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-17 978</w:t>
            </w:r>
          </w:p>
        </w:tc>
        <w:tc>
          <w:tcPr>
            <w:tcW w:w="1240"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3 905</w:t>
            </w:r>
          </w:p>
        </w:tc>
      </w:tr>
      <w:tr w:rsidR="00776BB9" w:rsidRPr="00C73365" w:rsidTr="00793DCB">
        <w:trPr>
          <w:trHeight w:val="288"/>
        </w:trPr>
        <w:tc>
          <w:tcPr>
            <w:tcW w:w="32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Résultat exceptionnel</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159</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152</w:t>
            </w:r>
          </w:p>
        </w:tc>
        <w:tc>
          <w:tcPr>
            <w:tcW w:w="1240"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w:t>
            </w:r>
          </w:p>
        </w:tc>
      </w:tr>
      <w:tr w:rsidR="00776BB9" w:rsidRPr="00C73365" w:rsidTr="00793DCB">
        <w:trPr>
          <w:trHeight w:val="300"/>
        </w:trPr>
        <w:tc>
          <w:tcPr>
            <w:tcW w:w="32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Impôts sur les bénéfices (CIR)</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2 692</w:t>
            </w:r>
          </w:p>
        </w:tc>
        <w:tc>
          <w:tcPr>
            <w:tcW w:w="1240"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3 519</w:t>
            </w:r>
          </w:p>
        </w:tc>
        <w:tc>
          <w:tcPr>
            <w:tcW w:w="1240" w:type="dxa"/>
            <w:tcBorders>
              <w:top w:val="nil"/>
              <w:left w:val="nil"/>
              <w:bottom w:val="single" w:sz="8" w:space="0" w:color="7030A0"/>
              <w:right w:val="nil"/>
            </w:tcBorders>
            <w:shd w:val="clear" w:color="auto" w:fill="auto"/>
            <w:vAlign w:val="center"/>
            <w:hideMark/>
          </w:tcPr>
          <w:p w:rsidR="00776BB9" w:rsidRPr="00C73365" w:rsidRDefault="00C12F8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w:t>
            </w:r>
            <w:r w:rsidR="00776BB9" w:rsidRPr="00C73365">
              <w:rPr>
                <w:rFonts w:asciiTheme="minorHAnsi" w:hAnsiTheme="minorHAnsi" w:cstheme="minorHAnsi"/>
                <w:color w:val="000000"/>
                <w:szCs w:val="20"/>
              </w:rPr>
              <w:t>827</w:t>
            </w:r>
          </w:p>
        </w:tc>
      </w:tr>
      <w:tr w:rsidR="00776BB9" w:rsidRPr="00C73365" w:rsidTr="00793DCB">
        <w:trPr>
          <w:trHeight w:val="300"/>
        </w:trPr>
        <w:tc>
          <w:tcPr>
            <w:tcW w:w="32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Perte</w:t>
            </w:r>
          </w:p>
        </w:tc>
        <w:tc>
          <w:tcPr>
            <w:tcW w:w="1240" w:type="dxa"/>
            <w:tcBorders>
              <w:top w:val="single" w:sz="8" w:space="0" w:color="7030A0"/>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-11 223</w:t>
            </w:r>
          </w:p>
        </w:tc>
        <w:tc>
          <w:tcPr>
            <w:tcW w:w="1240" w:type="dxa"/>
            <w:tcBorders>
              <w:top w:val="single" w:sz="8" w:space="0" w:color="7030A0"/>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-14 308</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3 085</w:t>
            </w:r>
          </w:p>
        </w:tc>
      </w:tr>
    </w:tbl>
    <w:p w:rsidR="00776BB9" w:rsidRPr="00C73365" w:rsidRDefault="00776BB9" w:rsidP="00A96CCA">
      <w:pPr>
        <w:ind w:right="-2"/>
        <w:rPr>
          <w:rFonts w:asciiTheme="minorHAnsi" w:eastAsia="MS Mincho" w:hAnsiTheme="minorHAnsi" w:cstheme="minorHAnsi"/>
          <w:b/>
          <w:color w:val="7030A0"/>
          <w:szCs w:val="20"/>
          <w:lang w:val="fr-FR" w:eastAsia="fr-FR"/>
        </w:rPr>
      </w:pPr>
    </w:p>
    <w:p w:rsidR="00776BB9" w:rsidRPr="00C73365" w:rsidRDefault="00776BB9" w:rsidP="004572A0">
      <w:pPr>
        <w:pStyle w:val="BodyText"/>
        <w:rPr>
          <w:rFonts w:asciiTheme="minorHAnsi" w:eastAsia="MS Mincho" w:hAnsiTheme="minorHAnsi" w:cstheme="minorHAnsi"/>
          <w:b/>
          <w:color w:val="9032B8"/>
          <w:lang w:val="fr-FR" w:eastAsia="fr-FR"/>
        </w:rPr>
      </w:pPr>
      <w:r w:rsidRPr="00C73365">
        <w:rPr>
          <w:rFonts w:asciiTheme="minorHAnsi" w:eastAsia="MS Mincho" w:hAnsiTheme="minorHAnsi" w:cstheme="minorHAnsi"/>
          <w:b/>
          <w:lang w:val="fr-FR" w:eastAsia="fr-FR"/>
        </w:rPr>
        <w:t>Résultat exceptionnel</w:t>
      </w:r>
    </w:p>
    <w:p w:rsidR="00D852BD" w:rsidRPr="00C73365" w:rsidRDefault="00776BB9" w:rsidP="004572A0">
      <w:pPr>
        <w:pStyle w:val="BodyText"/>
        <w:rPr>
          <w:rFonts w:asciiTheme="minorHAnsi" w:eastAsia="MS Mincho" w:hAnsiTheme="minorHAnsi" w:cstheme="minorHAnsi"/>
          <w:lang w:val="fr-FR" w:eastAsia="fr-FR"/>
        </w:rPr>
      </w:pPr>
      <w:r w:rsidRPr="00C73365">
        <w:rPr>
          <w:rFonts w:asciiTheme="minorHAnsi" w:hAnsiTheme="minorHAnsi" w:cstheme="minorHAnsi"/>
          <w:lang w:val="fr-FR"/>
        </w:rPr>
        <w:t xml:space="preserve">Au 31/12/2017, compte-tenu du cours de bourse, la Société a comptabilisé des plus-values réalisées sur les cessions d’actions propres à hauteur de 338 </w:t>
      </w:r>
      <w:r w:rsidR="00EF089C" w:rsidRPr="00C73365">
        <w:rPr>
          <w:rFonts w:asciiTheme="minorHAnsi" w:hAnsiTheme="minorHAnsi" w:cstheme="minorHAnsi"/>
          <w:lang w:val="fr-FR"/>
        </w:rPr>
        <w:t>K€</w:t>
      </w:r>
      <w:r w:rsidR="00D852BD" w:rsidRPr="00C73365">
        <w:rPr>
          <w:rFonts w:asciiTheme="minorHAnsi" w:hAnsiTheme="minorHAnsi" w:cstheme="minorHAnsi"/>
          <w:lang w:val="fr-FR"/>
        </w:rPr>
        <w:t xml:space="preserve"> (425 </w:t>
      </w:r>
      <w:r w:rsidR="00EF089C" w:rsidRPr="00C73365">
        <w:rPr>
          <w:rFonts w:asciiTheme="minorHAnsi" w:hAnsiTheme="minorHAnsi" w:cstheme="minorHAnsi"/>
          <w:lang w:val="fr-FR"/>
        </w:rPr>
        <w:t>K€</w:t>
      </w:r>
      <w:r w:rsidR="00D852BD" w:rsidRPr="00C73365">
        <w:rPr>
          <w:rFonts w:asciiTheme="minorHAnsi" w:hAnsiTheme="minorHAnsi" w:cstheme="minorHAnsi"/>
          <w:lang w:val="fr-FR"/>
        </w:rPr>
        <w:t xml:space="preserve"> en 2016) et </w:t>
      </w:r>
      <w:r w:rsidR="00D852BD" w:rsidRPr="00C73365">
        <w:rPr>
          <w:rFonts w:asciiTheme="minorHAnsi" w:eastAsia="MS Mincho" w:hAnsiTheme="minorHAnsi" w:cstheme="minorHAnsi"/>
          <w:lang w:val="fr-FR" w:eastAsia="fr-FR"/>
        </w:rPr>
        <w:t xml:space="preserve">des moins-values réalisées sur les cessions d’actions propres à </w:t>
      </w:r>
      <w:r w:rsidR="00CC7B0D" w:rsidRPr="00C73365">
        <w:rPr>
          <w:rFonts w:asciiTheme="minorHAnsi" w:eastAsia="MS Mincho" w:hAnsiTheme="minorHAnsi" w:cstheme="minorHAnsi"/>
          <w:lang w:val="fr-FR" w:eastAsia="fr-FR"/>
        </w:rPr>
        <w:t>-</w:t>
      </w:r>
      <w:r w:rsidR="00D852BD" w:rsidRPr="00C73365">
        <w:rPr>
          <w:rFonts w:asciiTheme="minorHAnsi" w:eastAsia="MS Mincho" w:hAnsiTheme="minorHAnsi" w:cstheme="minorHAnsi"/>
          <w:lang w:val="fr-FR" w:eastAsia="fr-FR"/>
        </w:rPr>
        <w:t xml:space="preserve">86 </w:t>
      </w:r>
      <w:r w:rsidR="00EF089C" w:rsidRPr="00C73365">
        <w:rPr>
          <w:rFonts w:asciiTheme="minorHAnsi" w:eastAsia="MS Mincho" w:hAnsiTheme="minorHAnsi" w:cstheme="minorHAnsi"/>
          <w:lang w:val="fr-FR" w:eastAsia="fr-FR"/>
        </w:rPr>
        <w:t>K€</w:t>
      </w:r>
      <w:r w:rsidR="00D852BD" w:rsidRPr="00C73365">
        <w:rPr>
          <w:rFonts w:asciiTheme="minorHAnsi" w:eastAsia="MS Mincho" w:hAnsiTheme="minorHAnsi" w:cstheme="minorHAnsi"/>
          <w:lang w:val="fr-FR" w:eastAsia="fr-FR"/>
        </w:rPr>
        <w:t xml:space="preserve"> (</w:t>
      </w:r>
      <w:r w:rsidR="00CC7B0D" w:rsidRPr="00C73365">
        <w:rPr>
          <w:rFonts w:asciiTheme="minorHAnsi" w:eastAsia="MS Mincho" w:hAnsiTheme="minorHAnsi" w:cstheme="minorHAnsi"/>
          <w:lang w:val="fr-FR" w:eastAsia="fr-FR"/>
        </w:rPr>
        <w:t>-</w:t>
      </w:r>
      <w:r w:rsidR="00D852BD" w:rsidRPr="00C73365">
        <w:rPr>
          <w:rFonts w:asciiTheme="minorHAnsi" w:eastAsia="MS Mincho" w:hAnsiTheme="minorHAnsi" w:cstheme="minorHAnsi"/>
          <w:lang w:val="fr-FR" w:eastAsia="fr-FR"/>
        </w:rPr>
        <w:t>514</w:t>
      </w:r>
      <w:r w:rsidR="00EF089C" w:rsidRPr="00C73365">
        <w:rPr>
          <w:rFonts w:asciiTheme="minorHAnsi" w:eastAsia="MS Mincho" w:hAnsiTheme="minorHAnsi" w:cstheme="minorHAnsi"/>
          <w:lang w:val="fr-FR" w:eastAsia="fr-FR"/>
        </w:rPr>
        <w:t>K€</w:t>
      </w:r>
      <w:r w:rsidR="00D852BD" w:rsidRPr="00C73365">
        <w:rPr>
          <w:rFonts w:asciiTheme="minorHAnsi" w:eastAsia="MS Mincho" w:hAnsiTheme="minorHAnsi" w:cstheme="minorHAnsi"/>
          <w:lang w:val="fr-FR" w:eastAsia="fr-FR"/>
        </w:rPr>
        <w:t xml:space="preserve"> en 2016).</w:t>
      </w:r>
    </w:p>
    <w:p w:rsidR="00D852BD" w:rsidRPr="00C73365" w:rsidRDefault="00D852BD"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Au 31/12/2017, une provision pour dépréciation de 91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a été constatée au 31 décembre 2017 concernant les titres auto-détenus. </w:t>
      </w:r>
    </w:p>
    <w:p w:rsidR="00D852BD" w:rsidRPr="00C73365" w:rsidRDefault="00D852BD"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résultat exceptionnel au 31/12/2017 est de 159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776BB9" w:rsidRPr="00C73365" w:rsidRDefault="00776BB9" w:rsidP="004572A0">
      <w:pPr>
        <w:pStyle w:val="BodyText"/>
        <w:rPr>
          <w:rFonts w:asciiTheme="minorHAnsi" w:eastAsia="MS Mincho" w:hAnsiTheme="minorHAnsi" w:cstheme="minorHAnsi"/>
          <w:b/>
          <w:lang w:val="fr-FR" w:eastAsia="fr-FR"/>
        </w:rPr>
      </w:pPr>
      <w:r w:rsidRPr="00C73365">
        <w:rPr>
          <w:rFonts w:asciiTheme="minorHAnsi" w:hAnsiTheme="minorHAnsi" w:cstheme="minorHAnsi"/>
          <w:b/>
          <w:lang w:val="fr-FR" w:eastAsia="fr-FR"/>
        </w:rPr>
        <w:t>Impôts sur les bénéfices (CIR)</w:t>
      </w:r>
    </w:p>
    <w:p w:rsidR="00776BB9" w:rsidRPr="00C73365" w:rsidRDefault="00776BB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CIR est estimé pour l’année 2017 est de 2 632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776BB9" w:rsidRPr="00C73365" w:rsidRDefault="00776BB9" w:rsidP="004572A0">
      <w:pPr>
        <w:pStyle w:val="BodyText"/>
        <w:rPr>
          <w:rFonts w:asciiTheme="minorHAnsi" w:eastAsia="MS Mincho" w:hAnsiTheme="minorHAnsi" w:cstheme="minorHAnsi"/>
          <w:b/>
          <w:color w:val="9032B8"/>
          <w:lang w:val="fr-FR" w:eastAsia="fr-FR"/>
        </w:rPr>
      </w:pPr>
      <w:r w:rsidRPr="00C73365">
        <w:rPr>
          <w:rFonts w:asciiTheme="minorHAnsi" w:eastAsia="MS Mincho" w:hAnsiTheme="minorHAnsi" w:cstheme="minorHAnsi"/>
          <w:b/>
          <w:lang w:val="fr-FR" w:eastAsia="fr-FR"/>
        </w:rPr>
        <w:t>Résultat Net</w:t>
      </w:r>
    </w:p>
    <w:p w:rsidR="00776BB9" w:rsidRPr="00C73365" w:rsidRDefault="00776BB9" w:rsidP="004572A0">
      <w:pPr>
        <w:pStyle w:val="BodyText"/>
        <w:rPr>
          <w:rFonts w:asciiTheme="minorHAnsi" w:hAnsiTheme="minorHAnsi" w:cstheme="minorHAnsi"/>
          <w:lang w:val="fr-FR"/>
        </w:rPr>
      </w:pPr>
      <w:r w:rsidRPr="00C73365">
        <w:rPr>
          <w:rFonts w:asciiTheme="minorHAnsi" w:eastAsia="MS Mincho" w:hAnsiTheme="minorHAnsi" w:cstheme="minorHAnsi"/>
          <w:lang w:val="fr-FR" w:eastAsia="fr-FR"/>
        </w:rPr>
        <w:t>La perte nette s’établit à</w:t>
      </w:r>
      <w:r w:rsidR="00D852BD" w:rsidRPr="00C73365">
        <w:rPr>
          <w:rFonts w:asciiTheme="minorHAnsi" w:eastAsia="MS Mincho" w:hAnsiTheme="minorHAnsi" w:cstheme="minorHAnsi"/>
          <w:lang w:val="fr-FR" w:eastAsia="fr-FR"/>
        </w:rPr>
        <w:t xml:space="preserve"> </w:t>
      </w:r>
      <w:r w:rsidR="00CC7B0D"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11 223 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w:t>
      </w:r>
      <w:r w:rsidR="00CC7B0D"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 xml:space="preserve">14 308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sur la même période en 2016) </w:t>
      </w:r>
      <w:r w:rsidRPr="00C73365">
        <w:rPr>
          <w:rFonts w:asciiTheme="minorHAnsi" w:hAnsiTheme="minorHAnsi" w:cstheme="minorHAnsi"/>
          <w:lang w:val="fr-FR"/>
        </w:rPr>
        <w:t xml:space="preserve">reflète le contrôle rigoureux des dépenses ainsi que l’arrêt du développement d’ABX203 depuis le </w:t>
      </w:r>
      <w:r w:rsidR="00CC7B0D" w:rsidRPr="00C73365">
        <w:rPr>
          <w:rFonts w:asciiTheme="minorHAnsi" w:hAnsiTheme="minorHAnsi" w:cstheme="minorHAnsi"/>
          <w:lang w:val="fr-FR"/>
        </w:rPr>
        <w:t>second</w:t>
      </w:r>
      <w:r w:rsidRPr="00C73365">
        <w:rPr>
          <w:rFonts w:asciiTheme="minorHAnsi" w:hAnsiTheme="minorHAnsi" w:cstheme="minorHAnsi"/>
          <w:lang w:val="fr-FR"/>
        </w:rPr>
        <w:t xml:space="preserve"> semestre 2016.</w:t>
      </w:r>
    </w:p>
    <w:p w:rsidR="00D852BD" w:rsidRPr="00C73365" w:rsidRDefault="00D852BD" w:rsidP="00A96CCA">
      <w:pPr>
        <w:ind w:right="-2"/>
        <w:rPr>
          <w:rFonts w:asciiTheme="minorHAnsi" w:hAnsiTheme="minorHAnsi" w:cstheme="minorHAnsi"/>
          <w:color w:val="000000"/>
          <w:lang w:val="fr-FR"/>
        </w:rPr>
      </w:pPr>
    </w:p>
    <w:p w:rsidR="00D852BD" w:rsidRPr="00C73365" w:rsidRDefault="00D852BD" w:rsidP="00A96CCA">
      <w:pPr>
        <w:ind w:right="-2"/>
        <w:rPr>
          <w:rFonts w:asciiTheme="minorHAnsi" w:hAnsiTheme="minorHAnsi" w:cstheme="minorHAnsi"/>
          <w:color w:val="000000"/>
          <w:lang w:val="fr-FR"/>
        </w:rPr>
      </w:pPr>
    </w:p>
    <w:p w:rsidR="00D852BD" w:rsidRPr="00C73365" w:rsidRDefault="00D852BD" w:rsidP="00A96CCA">
      <w:pPr>
        <w:ind w:right="-2"/>
        <w:rPr>
          <w:rFonts w:asciiTheme="minorHAnsi" w:hAnsiTheme="minorHAnsi" w:cstheme="minorHAnsi"/>
          <w:color w:val="000000"/>
          <w:lang w:val="fr-FR"/>
        </w:rPr>
      </w:pPr>
    </w:p>
    <w:p w:rsidR="00D852BD" w:rsidRPr="00C73365" w:rsidRDefault="00D852BD" w:rsidP="00A96CCA">
      <w:pPr>
        <w:ind w:right="-2"/>
        <w:rPr>
          <w:rFonts w:asciiTheme="minorHAnsi" w:hAnsiTheme="minorHAnsi" w:cstheme="minorHAnsi"/>
          <w:color w:val="000000"/>
          <w:lang w:val="fr-FR"/>
        </w:rPr>
      </w:pPr>
    </w:p>
    <w:p w:rsidR="00D852BD" w:rsidRPr="00C73365" w:rsidRDefault="00D852BD" w:rsidP="00A96CCA">
      <w:pPr>
        <w:ind w:right="-2"/>
        <w:rPr>
          <w:rFonts w:asciiTheme="minorHAnsi" w:hAnsiTheme="minorHAnsi" w:cstheme="minorHAnsi"/>
          <w:color w:val="000000"/>
          <w:lang w:val="fr-FR"/>
        </w:rPr>
      </w:pPr>
    </w:p>
    <w:p w:rsidR="00D852BD" w:rsidRPr="00C73365" w:rsidRDefault="00D852BD" w:rsidP="00A96CCA">
      <w:pPr>
        <w:ind w:right="-2"/>
        <w:rPr>
          <w:rFonts w:asciiTheme="minorHAnsi" w:hAnsiTheme="minorHAnsi" w:cstheme="minorHAnsi"/>
          <w:color w:val="000000"/>
          <w:lang w:val="fr-FR"/>
        </w:rPr>
      </w:pPr>
    </w:p>
    <w:p w:rsidR="00D852BD" w:rsidRPr="00C73365" w:rsidRDefault="00D852BD" w:rsidP="00A96CCA">
      <w:pPr>
        <w:ind w:right="-2"/>
        <w:rPr>
          <w:rFonts w:asciiTheme="minorHAnsi" w:hAnsiTheme="minorHAnsi" w:cstheme="minorHAnsi"/>
          <w:color w:val="000000"/>
          <w:lang w:val="fr-FR"/>
        </w:rPr>
      </w:pPr>
    </w:p>
    <w:p w:rsidR="00776BB9" w:rsidRPr="00C73365" w:rsidRDefault="00776BB9" w:rsidP="00616826">
      <w:pPr>
        <w:pStyle w:val="ListParagraph"/>
        <w:numPr>
          <w:ilvl w:val="2"/>
          <w:numId w:val="9"/>
        </w:numPr>
        <w:spacing w:after="0"/>
        <w:outlineLvl w:val="2"/>
        <w:rPr>
          <w:rFonts w:asciiTheme="minorHAnsi" w:hAnsiTheme="minorHAnsi" w:cstheme="minorHAnsi"/>
          <w:b/>
          <w:color w:val="7030A0"/>
          <w:szCs w:val="22"/>
          <w:lang w:val="fr-FR"/>
        </w:rPr>
      </w:pPr>
      <w:bookmarkStart w:id="363" w:name="_Toc291615192"/>
      <w:bookmarkStart w:id="364" w:name="_Toc400469550"/>
      <w:r w:rsidRPr="00C73365">
        <w:rPr>
          <w:rFonts w:asciiTheme="minorHAnsi" w:hAnsiTheme="minorHAnsi" w:cstheme="minorHAnsi"/>
          <w:b/>
          <w:color w:val="7030A0"/>
          <w:szCs w:val="22"/>
          <w:lang w:val="fr-FR"/>
        </w:rPr>
        <w:t xml:space="preserve">Principaux éléments bilanciels sociaux de la Société </w:t>
      </w:r>
      <w:bookmarkEnd w:id="363"/>
      <w:bookmarkEnd w:id="364"/>
      <w:r w:rsidR="00EF089C" w:rsidRPr="00C73365">
        <w:rPr>
          <w:rFonts w:asciiTheme="minorHAnsi" w:hAnsiTheme="minorHAnsi" w:cstheme="minorHAnsi"/>
          <w:b/>
          <w:color w:val="7030A0"/>
          <w:szCs w:val="22"/>
          <w:lang w:val="fr-FR"/>
        </w:rPr>
        <w:t>ABIVAX</w:t>
      </w:r>
      <w:r w:rsidRPr="00C73365">
        <w:rPr>
          <w:rFonts w:asciiTheme="minorHAnsi" w:hAnsiTheme="minorHAnsi" w:cstheme="minorHAnsi"/>
          <w:b/>
          <w:color w:val="7030A0"/>
          <w:szCs w:val="22"/>
          <w:lang w:val="fr-FR"/>
        </w:rPr>
        <w:t xml:space="preserve"> </w:t>
      </w:r>
    </w:p>
    <w:tbl>
      <w:tblPr>
        <w:tblW w:w="8222" w:type="dxa"/>
        <w:tblCellMar>
          <w:left w:w="70" w:type="dxa"/>
          <w:right w:w="70" w:type="dxa"/>
        </w:tblCellMar>
        <w:tblLook w:val="04A0" w:firstRow="1" w:lastRow="0" w:firstColumn="1" w:lastColumn="0" w:noHBand="0" w:noVBand="1"/>
      </w:tblPr>
      <w:tblGrid>
        <w:gridCol w:w="3760"/>
        <w:gridCol w:w="1529"/>
        <w:gridCol w:w="1529"/>
        <w:gridCol w:w="1404"/>
      </w:tblGrid>
      <w:tr w:rsidR="00776BB9" w:rsidRPr="00C73365" w:rsidTr="00793DCB">
        <w:trPr>
          <w:trHeight w:val="288"/>
        </w:trPr>
        <w:tc>
          <w:tcPr>
            <w:tcW w:w="3760" w:type="dxa"/>
            <w:tcBorders>
              <w:top w:val="single" w:sz="12" w:space="0" w:color="7030A0"/>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lang w:val="fr-FR" w:eastAsia="fr-FR"/>
              </w:rPr>
            </w:pPr>
            <w:bookmarkStart w:id="365" w:name="_Toc400469551"/>
            <w:r w:rsidRPr="00C73365">
              <w:rPr>
                <w:rFonts w:asciiTheme="minorHAnsi" w:hAnsiTheme="minorHAnsi" w:cstheme="minorHAnsi"/>
                <w:b/>
                <w:bCs/>
                <w:color w:val="7030A0"/>
                <w:szCs w:val="20"/>
                <w:lang w:val="fr-FR" w:eastAsia="fr-FR"/>
              </w:rPr>
              <w:t>ACTIF</w:t>
            </w:r>
          </w:p>
        </w:tc>
        <w:tc>
          <w:tcPr>
            <w:tcW w:w="1529" w:type="dxa"/>
            <w:tcBorders>
              <w:top w:val="single" w:sz="12" w:space="0" w:color="7030A0"/>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529" w:type="dxa"/>
            <w:tcBorders>
              <w:top w:val="single" w:sz="12" w:space="0" w:color="7030A0"/>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31/12/2016</w:t>
            </w:r>
          </w:p>
        </w:tc>
        <w:tc>
          <w:tcPr>
            <w:tcW w:w="1404" w:type="dxa"/>
            <w:tcBorders>
              <w:top w:val="single" w:sz="12" w:space="0" w:color="7030A0"/>
              <w:left w:val="nil"/>
              <w:right w:val="nil"/>
            </w:tcBorders>
            <w:vAlign w:val="center"/>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31/12/2015</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Social</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Social</w:t>
            </w:r>
          </w:p>
        </w:tc>
        <w:tc>
          <w:tcPr>
            <w:tcW w:w="1404" w:type="dxa"/>
            <w:tcBorders>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Social</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Actif immobilisé</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szCs w:val="20"/>
                <w:lang w:val="fr-FR" w:eastAsia="fr-FR"/>
              </w:rPr>
            </w:pP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szCs w:val="20"/>
                <w:lang w:val="fr-FR" w:eastAsia="fr-FR"/>
              </w:rPr>
            </w:pP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Immobilisations incorporelles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32 005</w:t>
            </w: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32 005</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32 008</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Immobilisations corporelles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202</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191</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171</w:t>
            </w:r>
          </w:p>
        </w:tc>
      </w:tr>
      <w:tr w:rsidR="00776BB9" w:rsidRPr="00C73365" w:rsidTr="00793DCB">
        <w:trPr>
          <w:trHeight w:val="288"/>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Immobilisations financières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731</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560</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933</w:t>
            </w:r>
          </w:p>
        </w:tc>
      </w:tr>
      <w:tr w:rsidR="00776BB9" w:rsidRPr="00C73365" w:rsidTr="00793DCB">
        <w:trPr>
          <w:trHeight w:val="288"/>
        </w:trPr>
        <w:tc>
          <w:tcPr>
            <w:tcW w:w="3760" w:type="dxa"/>
            <w:tcBorders>
              <w:top w:val="single" w:sz="8" w:space="0" w:color="7030A0"/>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single" w:sz="8" w:space="0" w:color="7030A0"/>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32 939</w:t>
            </w:r>
          </w:p>
        </w:tc>
        <w:tc>
          <w:tcPr>
            <w:tcW w:w="1529" w:type="dxa"/>
            <w:tcBorders>
              <w:top w:val="single" w:sz="8" w:space="0" w:color="7030A0"/>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32 757</w:t>
            </w:r>
          </w:p>
        </w:tc>
        <w:tc>
          <w:tcPr>
            <w:tcW w:w="1404" w:type="dxa"/>
            <w:tcBorders>
              <w:top w:val="single" w:sz="8" w:space="0" w:color="7030A0"/>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33 113</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Actif circulant</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szCs w:val="20"/>
                <w:lang w:val="fr-FR" w:eastAsia="fr-FR"/>
              </w:rPr>
            </w:pP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szCs w:val="20"/>
                <w:lang w:val="fr-FR" w:eastAsia="fr-FR"/>
              </w:rPr>
            </w:pP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Créances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3 647</w:t>
            </w: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4 803</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3 909</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Instruments de trésorerie </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szCs w:val="20"/>
                <w:lang w:val="fr-FR" w:eastAsia="fr-FR"/>
              </w:rPr>
            </w:pP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szCs w:val="20"/>
                <w:lang w:val="fr-FR" w:eastAsia="fr-FR"/>
              </w:rPr>
            </w:pP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Valeurs mobilières de placement</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15 151</w:t>
            </w: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15 050</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39 008</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Disponibilités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1 881</w:t>
            </w: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7 937</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119</w:t>
            </w:r>
          </w:p>
        </w:tc>
      </w:tr>
      <w:tr w:rsidR="00776BB9" w:rsidRPr="00C73365" w:rsidTr="00793DCB">
        <w:trPr>
          <w:trHeight w:val="288"/>
        </w:trPr>
        <w:tc>
          <w:tcPr>
            <w:tcW w:w="3760" w:type="dxa"/>
            <w:tcBorders>
              <w:top w:val="nil"/>
              <w:left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Charges constatées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avance</w:t>
            </w:r>
          </w:p>
        </w:tc>
        <w:tc>
          <w:tcPr>
            <w:tcW w:w="1529" w:type="dxa"/>
            <w:tcBorders>
              <w:top w:val="nil"/>
              <w:left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186</w:t>
            </w:r>
          </w:p>
        </w:tc>
        <w:tc>
          <w:tcPr>
            <w:tcW w:w="1529" w:type="dxa"/>
            <w:tcBorders>
              <w:top w:val="nil"/>
              <w:left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51</w:t>
            </w:r>
          </w:p>
        </w:tc>
        <w:tc>
          <w:tcPr>
            <w:tcW w:w="1404" w:type="dxa"/>
            <w:tcBorders>
              <w:top w:val="nil"/>
              <w:left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118</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Avances et acomptes versés sur commande</w:t>
            </w:r>
          </w:p>
        </w:tc>
        <w:tc>
          <w:tcPr>
            <w:tcW w:w="1529" w:type="dxa"/>
            <w:tcBorders>
              <w:top w:val="nil"/>
              <w:left w:val="nil"/>
              <w:bottom w:val="single" w:sz="8" w:space="0" w:color="7030A0"/>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12</w:t>
            </w:r>
          </w:p>
        </w:tc>
        <w:tc>
          <w:tcPr>
            <w:tcW w:w="1529" w:type="dxa"/>
            <w:tcBorders>
              <w:top w:val="nil"/>
              <w:left w:val="nil"/>
              <w:bottom w:val="single" w:sz="8" w:space="0" w:color="7030A0"/>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20 876</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27 841</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5 640</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Ecart de conversion actif</w:t>
            </w:r>
          </w:p>
        </w:tc>
        <w:tc>
          <w:tcPr>
            <w:tcW w:w="1529" w:type="dxa"/>
            <w:tcBorders>
              <w:top w:val="nil"/>
              <w:left w:val="nil"/>
              <w:bottom w:val="single" w:sz="8" w:space="0" w:color="7030A0"/>
              <w:right w:val="nil"/>
            </w:tcBorders>
            <w:shd w:val="clear" w:color="auto" w:fill="auto"/>
            <w:noWrap/>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p>
        </w:tc>
        <w:tc>
          <w:tcPr>
            <w:tcW w:w="1529" w:type="dxa"/>
            <w:tcBorders>
              <w:top w:val="nil"/>
              <w:left w:val="nil"/>
              <w:bottom w:val="single" w:sz="8" w:space="0" w:color="7030A0"/>
              <w:right w:val="nil"/>
            </w:tcBorders>
            <w:shd w:val="clear" w:color="auto" w:fill="auto"/>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 Général</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53 815 </w:t>
            </w:r>
          </w:p>
        </w:tc>
        <w:tc>
          <w:tcPr>
            <w:tcW w:w="1529" w:type="dxa"/>
            <w:tcBorders>
              <w:top w:val="nil"/>
              <w:left w:val="nil"/>
              <w:bottom w:val="single" w:sz="8" w:space="0" w:color="7030A0"/>
              <w:right w:val="nil"/>
            </w:tcBorders>
            <w:shd w:val="clear" w:color="auto" w:fill="auto"/>
            <w:vAlign w:val="center"/>
            <w:hideMark/>
          </w:tcPr>
          <w:p w:rsidR="00776BB9" w:rsidRPr="00C73365" w:rsidRDefault="00654FB8"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60 597</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76 268</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PASSIF</w:t>
            </w:r>
          </w:p>
        </w:tc>
        <w:tc>
          <w:tcPr>
            <w:tcW w:w="1529" w:type="dxa"/>
            <w:vMerge w:val="restart"/>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Social</w:t>
            </w:r>
          </w:p>
        </w:tc>
        <w:tc>
          <w:tcPr>
            <w:tcW w:w="1529" w:type="dxa"/>
            <w:vMerge w:val="restart"/>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31/12/2016</w:t>
            </w:r>
          </w:p>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Social</w:t>
            </w:r>
          </w:p>
        </w:tc>
        <w:tc>
          <w:tcPr>
            <w:tcW w:w="1404" w:type="dxa"/>
            <w:tcBorders>
              <w:top w:val="single" w:sz="8" w:space="0" w:color="7030A0"/>
              <w:left w:val="nil"/>
              <w:right w:val="nil"/>
            </w:tcBorders>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31/12/2015</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vMerge/>
            <w:tcBorders>
              <w:top w:val="nil"/>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7030A0"/>
                <w:szCs w:val="20"/>
                <w:lang w:val="fr-FR" w:eastAsia="fr-FR"/>
              </w:rPr>
            </w:pPr>
          </w:p>
        </w:tc>
        <w:tc>
          <w:tcPr>
            <w:tcW w:w="1529" w:type="dxa"/>
            <w:vMerge/>
            <w:tcBorders>
              <w:top w:val="nil"/>
              <w:left w:val="nil"/>
              <w:bottom w:val="single" w:sz="8" w:space="0" w:color="7030A0"/>
              <w:right w:val="nil"/>
            </w:tcBorders>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p>
        </w:tc>
        <w:tc>
          <w:tcPr>
            <w:tcW w:w="1404" w:type="dxa"/>
            <w:tcBorders>
              <w:top w:val="nil"/>
              <w:left w:val="nil"/>
              <w:bottom w:val="single" w:sz="8" w:space="0" w:color="7030A0"/>
              <w:right w:val="nil"/>
            </w:tcBorders>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Social</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Capitaux propres</w:t>
            </w: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43 916</w:t>
            </w: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54 510</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68 759</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Avances conditionnées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4 264</w:t>
            </w: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2 208</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2 979</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Provisions pour risques et charges</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27</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16</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370</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48 207</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56 734</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72 108</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Dettes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p>
        </w:tc>
        <w:tc>
          <w:tcPr>
            <w:tcW w:w="1529" w:type="dxa"/>
            <w:tcBorders>
              <w:top w:val="nil"/>
              <w:left w:val="nil"/>
              <w:bottom w:val="nil"/>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szCs w:val="20"/>
                <w:lang w:val="fr-FR" w:eastAsia="fr-FR"/>
              </w:rPr>
            </w:pP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szCs w:val="20"/>
                <w:lang w:val="fr-FR" w:eastAsia="fr-FR"/>
              </w:rPr>
            </w:pP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Emprunts obligataires convertibles </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92</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61</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Emprunts et dettes financières – Autres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170</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255</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405</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Fournisseurs et comptes rattachés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4 219</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2 571</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2 808</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Dettes fiscales et sociales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1 102</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974</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915</w:t>
            </w:r>
          </w:p>
        </w:tc>
      </w:tr>
      <w:tr w:rsidR="00776BB9" w:rsidRPr="00C73365" w:rsidTr="00793DCB">
        <w:trPr>
          <w:trHeight w:val="276"/>
        </w:trPr>
        <w:tc>
          <w:tcPr>
            <w:tcW w:w="376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Autres dettes</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22</w:t>
            </w:r>
          </w:p>
        </w:tc>
        <w:tc>
          <w:tcPr>
            <w:tcW w:w="1529" w:type="dxa"/>
            <w:tcBorders>
              <w:top w:val="nil"/>
              <w:left w:val="nil"/>
              <w:bottom w:val="nil"/>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w:t>
            </w:r>
          </w:p>
        </w:tc>
        <w:tc>
          <w:tcPr>
            <w:tcW w:w="1404" w:type="dxa"/>
            <w:tcBorders>
              <w:top w:val="nil"/>
              <w:left w:val="nil"/>
              <w:bottom w:val="nil"/>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Produits constatés d’avance</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5 604</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3 863</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4 160</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Ecart de conversion passif</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szCs w:val="20"/>
              </w:rPr>
              <w:t>4</w:t>
            </w:r>
          </w:p>
        </w:tc>
        <w:tc>
          <w:tcPr>
            <w:tcW w:w="1529"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r>
      <w:tr w:rsidR="00776BB9" w:rsidRPr="00C73365" w:rsidTr="00793DCB">
        <w:trPr>
          <w:trHeight w:val="288"/>
        </w:trPr>
        <w:tc>
          <w:tcPr>
            <w:tcW w:w="376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 Général</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53 815</w:t>
            </w:r>
          </w:p>
        </w:tc>
        <w:tc>
          <w:tcPr>
            <w:tcW w:w="1529"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60 597</w:t>
            </w:r>
          </w:p>
        </w:tc>
        <w:tc>
          <w:tcPr>
            <w:tcW w:w="1404" w:type="dxa"/>
            <w:tcBorders>
              <w:top w:val="nil"/>
              <w:left w:val="nil"/>
              <w:bottom w:val="single" w:sz="8" w:space="0" w:color="7030A0"/>
              <w:right w:val="nil"/>
            </w:tcBorders>
            <w:vAlign w:val="center"/>
          </w:tcPr>
          <w:p w:rsidR="00776BB9" w:rsidRPr="00C73365" w:rsidRDefault="00776BB9"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76 268</w:t>
            </w:r>
          </w:p>
        </w:tc>
      </w:tr>
    </w:tbl>
    <w:p w:rsidR="00776BB9" w:rsidRPr="00C73365" w:rsidRDefault="00776BB9" w:rsidP="00A96CCA">
      <w:pPr>
        <w:rPr>
          <w:rFonts w:asciiTheme="minorHAnsi" w:hAnsiTheme="minorHAnsi" w:cstheme="minorHAnsi"/>
          <w:b/>
          <w:color w:val="7030A0"/>
          <w:sz w:val="24"/>
          <w:szCs w:val="20"/>
          <w:lang w:val="fr-FR"/>
        </w:rPr>
      </w:pPr>
    </w:p>
    <w:p w:rsidR="00776BB9" w:rsidRPr="00C73365" w:rsidRDefault="00776BB9" w:rsidP="004572A0">
      <w:pPr>
        <w:pStyle w:val="BodyText"/>
        <w:rPr>
          <w:rFonts w:asciiTheme="minorHAnsi" w:hAnsiTheme="minorHAnsi" w:cstheme="minorHAnsi"/>
          <w:b/>
          <w:lang w:val="fr-FR"/>
        </w:rPr>
      </w:pPr>
      <w:r w:rsidRPr="00C73365">
        <w:rPr>
          <w:rFonts w:asciiTheme="minorHAnsi" w:hAnsiTheme="minorHAnsi" w:cstheme="minorHAnsi"/>
          <w:b/>
          <w:lang w:val="fr-FR"/>
        </w:rPr>
        <w:t>EXPOS</w:t>
      </w:r>
      <w:r w:rsidR="00886435">
        <w:rPr>
          <w:rFonts w:asciiTheme="minorHAnsi" w:hAnsiTheme="minorHAnsi" w:cstheme="minorHAnsi"/>
          <w:b/>
          <w:lang w:val="fr-FR"/>
        </w:rPr>
        <w:t>É</w:t>
      </w:r>
      <w:r w:rsidRPr="00C73365">
        <w:rPr>
          <w:rFonts w:asciiTheme="minorHAnsi" w:hAnsiTheme="minorHAnsi" w:cstheme="minorHAnsi"/>
          <w:b/>
          <w:lang w:val="fr-FR"/>
        </w:rPr>
        <w:t xml:space="preserve"> SUR LE BILAN AU 31/12/2017</w:t>
      </w:r>
    </w:p>
    <w:p w:rsidR="00776BB9" w:rsidRPr="00C73365" w:rsidRDefault="00776BB9" w:rsidP="004572A0">
      <w:pPr>
        <w:pStyle w:val="BodyText"/>
        <w:rPr>
          <w:rFonts w:asciiTheme="minorHAnsi" w:hAnsiTheme="minorHAnsi" w:cstheme="minorHAnsi"/>
          <w:b/>
          <w:lang w:val="fr-FR"/>
        </w:rPr>
      </w:pPr>
      <w:r w:rsidRPr="00C73365">
        <w:rPr>
          <w:rFonts w:asciiTheme="minorHAnsi" w:hAnsiTheme="minorHAnsi" w:cstheme="minorHAnsi"/>
          <w:b/>
          <w:lang w:val="fr-FR"/>
        </w:rPr>
        <w:t>Immobilisations incorporelles</w:t>
      </w:r>
    </w:p>
    <w:p w:rsidR="00B1789A"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Les actifs de la société à la fin 201</w:t>
      </w:r>
      <w:r w:rsidR="00973469" w:rsidRPr="00C73365">
        <w:rPr>
          <w:rFonts w:asciiTheme="minorHAnsi" w:hAnsiTheme="minorHAnsi" w:cstheme="minorHAnsi"/>
          <w:lang w:val="fr-FR"/>
        </w:rPr>
        <w:t>7</w:t>
      </w:r>
      <w:r w:rsidRPr="00C73365">
        <w:rPr>
          <w:rFonts w:asciiTheme="minorHAnsi" w:hAnsiTheme="minorHAnsi" w:cstheme="minorHAnsi"/>
          <w:lang w:val="fr-FR"/>
        </w:rPr>
        <w:t xml:space="preserve"> comportaient des survaleurs, classées en Immobilisations Incorporelles, résultant </w:t>
      </w:r>
      <w:r w:rsidR="00973469" w:rsidRPr="00C73365">
        <w:rPr>
          <w:rFonts w:asciiTheme="minorHAnsi" w:hAnsiTheme="minorHAnsi" w:cstheme="minorHAnsi"/>
          <w:lang w:val="fr-FR"/>
        </w:rPr>
        <w:t>des apports de</w:t>
      </w:r>
      <w:r w:rsidRPr="00C73365">
        <w:rPr>
          <w:rFonts w:asciiTheme="minorHAnsi" w:hAnsiTheme="minorHAnsi" w:cstheme="minorHAnsi"/>
          <w:lang w:val="fr-FR"/>
        </w:rPr>
        <w:t xml:space="preserve"> Wittycell (plateforme </w:t>
      </w:r>
      <w:r w:rsidR="00973469" w:rsidRPr="00C73365">
        <w:rPr>
          <w:rFonts w:asciiTheme="minorHAnsi" w:hAnsiTheme="minorHAnsi" w:cstheme="minorHAnsi"/>
          <w:lang w:val="fr-FR"/>
        </w:rPr>
        <w:t>« </w:t>
      </w:r>
      <w:r w:rsidRPr="00C73365">
        <w:rPr>
          <w:rFonts w:asciiTheme="minorHAnsi" w:hAnsiTheme="minorHAnsi" w:cstheme="minorHAnsi"/>
          <w:lang w:val="fr-FR"/>
        </w:rPr>
        <w:t>stimulateur immunitaire</w:t>
      </w:r>
      <w:r w:rsidR="00973469" w:rsidRPr="00C73365">
        <w:rPr>
          <w:rFonts w:asciiTheme="minorHAnsi" w:hAnsiTheme="minorHAnsi" w:cstheme="minorHAnsi"/>
          <w:lang w:val="fr-FR"/>
        </w:rPr>
        <w:t> »</w:t>
      </w:r>
      <w:r w:rsidRPr="00C73365">
        <w:rPr>
          <w:rFonts w:asciiTheme="minorHAnsi" w:hAnsiTheme="minorHAnsi" w:cstheme="minorHAnsi"/>
          <w:lang w:val="fr-FR"/>
        </w:rPr>
        <w:t xml:space="preserve"> dont </w:t>
      </w:r>
      <w:r w:rsidR="00E32CFE" w:rsidRPr="00C73365">
        <w:rPr>
          <w:rFonts w:asciiTheme="minorHAnsi" w:hAnsiTheme="minorHAnsi" w:cstheme="minorHAnsi"/>
          <w:lang w:val="fr-FR"/>
        </w:rPr>
        <w:t>ABX196</w:t>
      </w:r>
      <w:r w:rsidRPr="00C73365">
        <w:rPr>
          <w:rFonts w:asciiTheme="minorHAnsi" w:hAnsiTheme="minorHAnsi" w:cstheme="minorHAnsi"/>
          <w:lang w:val="fr-FR"/>
        </w:rPr>
        <w:t xml:space="preserve"> est issue) et Splicos (plateforme </w:t>
      </w:r>
      <w:r w:rsidR="00973469" w:rsidRPr="00C73365">
        <w:rPr>
          <w:rFonts w:asciiTheme="minorHAnsi" w:hAnsiTheme="minorHAnsi" w:cstheme="minorHAnsi"/>
          <w:lang w:val="fr-FR"/>
        </w:rPr>
        <w:t>« </w:t>
      </w:r>
      <w:r w:rsidRPr="00C73365">
        <w:rPr>
          <w:rFonts w:asciiTheme="minorHAnsi" w:hAnsiTheme="minorHAnsi" w:cstheme="minorHAnsi"/>
          <w:lang w:val="fr-FR"/>
        </w:rPr>
        <w:t>antivirale</w:t>
      </w:r>
      <w:r w:rsidR="00973469" w:rsidRPr="00C73365">
        <w:rPr>
          <w:rFonts w:asciiTheme="minorHAnsi" w:hAnsiTheme="minorHAnsi" w:cstheme="minorHAnsi"/>
          <w:lang w:val="fr-FR"/>
        </w:rPr>
        <w:t> »</w:t>
      </w:r>
      <w:r w:rsidRPr="00C73365">
        <w:rPr>
          <w:rFonts w:asciiTheme="minorHAnsi" w:hAnsiTheme="minorHAnsi" w:cstheme="minorHAnsi"/>
          <w:lang w:val="fr-FR"/>
        </w:rPr>
        <w:t xml:space="preserve"> dont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est issue)</w:t>
      </w:r>
      <w:r w:rsidR="00973469" w:rsidRPr="00C73365">
        <w:rPr>
          <w:rFonts w:asciiTheme="minorHAnsi" w:hAnsiTheme="minorHAnsi" w:cstheme="minorHAnsi"/>
          <w:lang w:val="fr-FR"/>
        </w:rPr>
        <w:t xml:space="preserve"> à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w:t>
      </w:r>
      <w:r w:rsidR="00973469" w:rsidRPr="00C73365">
        <w:rPr>
          <w:rFonts w:asciiTheme="minorHAnsi" w:hAnsiTheme="minorHAnsi" w:cstheme="minorHAnsi"/>
          <w:lang w:val="fr-FR"/>
        </w:rPr>
        <w:t xml:space="preserve">L’opération d’apports en nature des sociétés SPLICOS, WITTYCELL et ZOPHIS à </w:t>
      </w:r>
      <w:r w:rsidR="00EF089C" w:rsidRPr="00C73365">
        <w:rPr>
          <w:rFonts w:asciiTheme="minorHAnsi" w:hAnsiTheme="minorHAnsi" w:cstheme="minorHAnsi"/>
          <w:lang w:val="fr-FR"/>
        </w:rPr>
        <w:t>ABIVAX</w:t>
      </w:r>
      <w:r w:rsidR="00973469" w:rsidRPr="00C73365">
        <w:rPr>
          <w:rFonts w:asciiTheme="minorHAnsi" w:hAnsiTheme="minorHAnsi" w:cstheme="minorHAnsi"/>
          <w:lang w:val="fr-FR"/>
        </w:rPr>
        <w:t xml:space="preserve"> ayant eu lieu en 2014 par une transmission universelle de patrimoine. </w:t>
      </w:r>
      <w:r w:rsidRPr="00C73365">
        <w:rPr>
          <w:rFonts w:asciiTheme="minorHAnsi" w:hAnsiTheme="minorHAnsi" w:cstheme="minorHAnsi"/>
          <w:lang w:val="fr-FR"/>
        </w:rPr>
        <w:t>Ces survaleurs s</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élevaient à 32 </w:t>
      </w:r>
      <w:r w:rsidR="00EF089C" w:rsidRPr="00C73365">
        <w:rPr>
          <w:rFonts w:asciiTheme="minorHAnsi" w:hAnsiTheme="minorHAnsi" w:cstheme="minorHAnsi"/>
          <w:lang w:val="fr-FR"/>
        </w:rPr>
        <w:t>M€</w:t>
      </w:r>
      <w:r w:rsidRPr="00C73365">
        <w:rPr>
          <w:rFonts w:asciiTheme="minorHAnsi" w:hAnsiTheme="minorHAnsi" w:cstheme="minorHAnsi"/>
          <w:lang w:val="fr-FR"/>
        </w:rPr>
        <w:t xml:space="preserve"> à la fin 2014</w:t>
      </w:r>
      <w:r w:rsidR="00973469" w:rsidRPr="00C73365">
        <w:rPr>
          <w:rFonts w:asciiTheme="minorHAnsi" w:hAnsiTheme="minorHAnsi" w:cstheme="minorHAnsi"/>
          <w:lang w:val="fr-FR"/>
        </w:rPr>
        <w:t>.</w:t>
      </w:r>
      <w:r w:rsidR="000E1807" w:rsidRPr="00C73365">
        <w:rPr>
          <w:rFonts w:asciiTheme="minorHAnsi" w:hAnsiTheme="minorHAnsi" w:cstheme="minorHAnsi"/>
          <w:lang w:val="fr-FR"/>
        </w:rPr>
        <w:t xml:space="preserve"> </w:t>
      </w:r>
      <w:r w:rsidR="00B1789A" w:rsidRPr="00C73365">
        <w:rPr>
          <w:rFonts w:asciiTheme="minorHAnsi" w:hAnsiTheme="minorHAnsi" w:cstheme="minorHAnsi"/>
          <w:lang w:val="fr-FR"/>
        </w:rPr>
        <w:t>Du fait du potentiel de valorisation de la molécule de tête de chaque plateforme (</w:t>
      </w:r>
      <w:r w:rsidR="00E32CFE" w:rsidRPr="00C73365">
        <w:rPr>
          <w:rFonts w:asciiTheme="minorHAnsi" w:hAnsiTheme="minorHAnsi" w:cstheme="minorHAnsi"/>
          <w:lang w:val="fr-FR"/>
        </w:rPr>
        <w:t>ABX464</w:t>
      </w:r>
      <w:r w:rsidR="00B1789A" w:rsidRPr="00C73365">
        <w:rPr>
          <w:rFonts w:asciiTheme="minorHAnsi" w:hAnsiTheme="minorHAnsi" w:cstheme="minorHAnsi"/>
          <w:lang w:val="fr-FR"/>
        </w:rPr>
        <w:t xml:space="preserve"> pour la plateforme antivirale, et </w:t>
      </w:r>
      <w:r w:rsidR="00E32CFE" w:rsidRPr="00C73365">
        <w:rPr>
          <w:rFonts w:asciiTheme="minorHAnsi" w:hAnsiTheme="minorHAnsi" w:cstheme="minorHAnsi"/>
          <w:lang w:val="fr-FR"/>
        </w:rPr>
        <w:t>ABX196</w:t>
      </w:r>
      <w:r w:rsidR="00B1789A" w:rsidRPr="00C73365">
        <w:rPr>
          <w:rFonts w:asciiTheme="minorHAnsi" w:hAnsiTheme="minorHAnsi" w:cstheme="minorHAnsi"/>
          <w:lang w:val="fr-FR"/>
        </w:rPr>
        <w:t xml:space="preserve"> pour la plateforme de stimulation immunitaire), et après avoir réalisé les tests appropriés, la société a évalué qu’il n’y avait pas lieu de procéder à une dépréciation de ces actifs et la valeur de ces immobilisations incorporelles est donc</w:t>
      </w:r>
      <w:r w:rsidR="00886435">
        <w:rPr>
          <w:rFonts w:asciiTheme="minorHAnsi" w:hAnsiTheme="minorHAnsi" w:cstheme="minorHAnsi"/>
          <w:lang w:val="fr-FR"/>
        </w:rPr>
        <w:t xml:space="preserve"> maintenue</w:t>
      </w:r>
      <w:r w:rsidR="00B1789A" w:rsidRPr="00C73365">
        <w:rPr>
          <w:rFonts w:asciiTheme="minorHAnsi" w:hAnsiTheme="minorHAnsi" w:cstheme="minorHAnsi"/>
          <w:lang w:val="fr-FR"/>
        </w:rPr>
        <w:t xml:space="preserve"> à 32 005 </w:t>
      </w:r>
      <w:r w:rsidR="00EF089C" w:rsidRPr="00C73365">
        <w:rPr>
          <w:rFonts w:asciiTheme="minorHAnsi" w:hAnsiTheme="minorHAnsi" w:cstheme="minorHAnsi"/>
          <w:lang w:val="fr-FR"/>
        </w:rPr>
        <w:t>K€</w:t>
      </w:r>
      <w:r w:rsidR="00B1789A" w:rsidRPr="00C73365">
        <w:rPr>
          <w:rFonts w:asciiTheme="minorHAnsi" w:hAnsiTheme="minorHAnsi" w:cstheme="minorHAnsi"/>
          <w:lang w:val="fr-FR"/>
        </w:rPr>
        <w:t xml:space="preserve"> au 31/12/2017.</w:t>
      </w:r>
    </w:p>
    <w:p w:rsidR="00B1789A" w:rsidRPr="00C73365" w:rsidRDefault="00B1789A" w:rsidP="00A96CCA">
      <w:pPr>
        <w:pStyle w:val="NormalWeb"/>
        <w:spacing w:before="0" w:beforeAutospacing="0" w:after="120" w:afterAutospacing="0"/>
        <w:rPr>
          <w:rFonts w:asciiTheme="minorHAnsi" w:hAnsiTheme="minorHAnsi" w:cstheme="minorHAnsi"/>
          <w:szCs w:val="20"/>
          <w:highlight w:val="lightGray"/>
          <w:lang w:val="fr-FR"/>
        </w:rPr>
      </w:pPr>
    </w:p>
    <w:p w:rsidR="00776BB9" w:rsidRPr="00C73365" w:rsidRDefault="00776BB9" w:rsidP="00A96CCA">
      <w:pPr>
        <w:pStyle w:val="NormalWeb"/>
        <w:spacing w:before="0" w:beforeAutospacing="0" w:after="120" w:afterAutospacing="0"/>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lastRenderedPageBreak/>
        <w:t>Immobilisations financières</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Les immobilisations financières correspondent principalement aux éléments relatifs au contrat de liquidité souscrit par la société fin Juin 2015 et aux dépôts de garantie versés pour les locaux occupés par la société.</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contrat de liquidité a été signé le 26 Juin 2015 pour une durée de 12 mois et renouvelable par tacite reconduction. Le montant versé au prestataire à l’ouverture du contrat a été de 1 000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et les premières opérations permettant de constituer un volant de titres ont été réalisées entre le 26 et le 29 Juin 2015.</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détient, au 31 </w:t>
      </w:r>
      <w:r w:rsidR="008C1A4A">
        <w:rPr>
          <w:rFonts w:asciiTheme="minorHAnsi" w:hAnsiTheme="minorHAnsi" w:cstheme="minorHAnsi"/>
          <w:lang w:val="fr-FR"/>
        </w:rPr>
        <w:t>d</w:t>
      </w:r>
      <w:r w:rsidRPr="00C73365">
        <w:rPr>
          <w:rFonts w:asciiTheme="minorHAnsi" w:hAnsiTheme="minorHAnsi" w:cstheme="minorHAnsi"/>
          <w:lang w:val="fr-FR"/>
        </w:rPr>
        <w:t xml:space="preserve">écembre 2017 et via ce contrat de liquidité, 34 050 actions propres soit moins de 10% de son capital, pour un coût d’acquisition de 385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Le solde du compte espèces chez le prestataire est de 337 </w:t>
      </w:r>
      <w:r w:rsidR="00EF089C" w:rsidRPr="00C73365">
        <w:rPr>
          <w:rFonts w:asciiTheme="minorHAnsi" w:hAnsiTheme="minorHAnsi" w:cstheme="minorHAnsi"/>
          <w:lang w:val="fr-FR"/>
        </w:rPr>
        <w:t>K€</w:t>
      </w:r>
      <w:r w:rsidRPr="00C73365">
        <w:rPr>
          <w:rFonts w:asciiTheme="minorHAnsi" w:hAnsiTheme="minorHAnsi" w:cstheme="minorHAnsi"/>
          <w:lang w:val="fr-FR"/>
        </w:rPr>
        <w:t>.</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Les opérations liées au contrat de liquidité sont reprises dans le tableau récapitulatif ci-dessous :</w:t>
      </w:r>
    </w:p>
    <w:tbl>
      <w:tblPr>
        <w:tblW w:w="7940" w:type="dxa"/>
        <w:tblInd w:w="859" w:type="dxa"/>
        <w:tblCellMar>
          <w:left w:w="70" w:type="dxa"/>
          <w:right w:w="70" w:type="dxa"/>
        </w:tblCellMar>
        <w:tblLook w:val="04A0" w:firstRow="1" w:lastRow="0" w:firstColumn="1" w:lastColumn="0" w:noHBand="0" w:noVBand="1"/>
      </w:tblPr>
      <w:tblGrid>
        <w:gridCol w:w="2980"/>
        <w:gridCol w:w="1240"/>
        <w:gridCol w:w="1240"/>
        <w:gridCol w:w="1240"/>
        <w:gridCol w:w="1240"/>
      </w:tblGrid>
      <w:tr w:rsidR="00776BB9" w:rsidRPr="00C73365" w:rsidTr="00E02778">
        <w:trPr>
          <w:trHeight w:val="1128"/>
        </w:trPr>
        <w:tc>
          <w:tcPr>
            <w:tcW w:w="2980"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bookmarkStart w:id="366" w:name="_Hlk509590890"/>
            <w:bookmarkStart w:id="367" w:name="_Hlk509822159"/>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240"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Quantité</w:t>
            </w:r>
          </w:p>
        </w:tc>
        <w:tc>
          <w:tcPr>
            <w:tcW w:w="1240"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Cours moyen en euros</w:t>
            </w:r>
            <w:r w:rsidR="00723040" w:rsidRPr="00C73365">
              <w:rPr>
                <w:rFonts w:asciiTheme="minorHAnsi" w:hAnsiTheme="minorHAnsi" w:cstheme="minorHAnsi"/>
                <w:b/>
                <w:bCs/>
                <w:color w:val="000000"/>
                <w:szCs w:val="20"/>
                <w:lang w:val="fr-FR" w:eastAsia="fr-FR"/>
              </w:rPr>
              <w:t>*</w:t>
            </w:r>
          </w:p>
        </w:tc>
        <w:tc>
          <w:tcPr>
            <w:tcW w:w="1240"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Valeur comptable des titres détenus</w:t>
            </w:r>
          </w:p>
        </w:tc>
        <w:tc>
          <w:tcPr>
            <w:tcW w:w="1240"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Autres immobilisa-tions financières</w:t>
            </w:r>
          </w:p>
        </w:tc>
      </w:tr>
      <w:tr w:rsidR="00776BB9" w:rsidRPr="00C73365" w:rsidTr="00E02778">
        <w:trPr>
          <w:trHeight w:val="288"/>
        </w:trPr>
        <w:tc>
          <w:tcPr>
            <w:tcW w:w="29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Ouverture du contrat</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szCs w:val="20"/>
                <w:lang w:val="fr-FR" w:eastAsia="fr-FR"/>
              </w:rPr>
            </w:pP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szCs w:val="20"/>
                <w:lang w:val="fr-FR" w:eastAsia="fr-FR"/>
              </w:rPr>
            </w:pP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1 000</w:t>
            </w:r>
          </w:p>
        </w:tc>
      </w:tr>
      <w:tr w:rsidR="00776BB9" w:rsidRPr="00C73365" w:rsidTr="00E02778">
        <w:trPr>
          <w:trHeight w:val="288"/>
        </w:trPr>
        <w:tc>
          <w:tcPr>
            <w:tcW w:w="29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Achats</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54 537</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18,45</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1 006</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-1 006</w:t>
            </w:r>
          </w:p>
        </w:tc>
      </w:tr>
      <w:tr w:rsidR="00776BB9" w:rsidRPr="00C73365" w:rsidTr="00E02778">
        <w:trPr>
          <w:trHeight w:val="288"/>
        </w:trPr>
        <w:tc>
          <w:tcPr>
            <w:tcW w:w="29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Ventes</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11 091</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18,18</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202</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202</w:t>
            </w:r>
          </w:p>
        </w:tc>
      </w:tr>
      <w:tr w:rsidR="00776BB9" w:rsidRPr="008C1A4A" w:rsidTr="00E02778">
        <w:trPr>
          <w:trHeight w:val="300"/>
        </w:trPr>
        <w:tc>
          <w:tcPr>
            <w:tcW w:w="29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Plus ou Moins-values réalisées</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p>
        </w:tc>
      </w:tr>
      <w:tr w:rsidR="00776BB9" w:rsidRPr="00C73365" w:rsidTr="00E02778">
        <w:trPr>
          <w:trHeight w:val="300"/>
        </w:trPr>
        <w:tc>
          <w:tcPr>
            <w:tcW w:w="29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Solde au 31 décembre 2015</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43 446</w:t>
            </w:r>
          </w:p>
        </w:tc>
        <w:tc>
          <w:tcPr>
            <w:tcW w:w="1240" w:type="dxa"/>
            <w:tcBorders>
              <w:top w:val="nil"/>
              <w:left w:val="nil"/>
              <w:bottom w:val="single" w:sz="8" w:space="0" w:color="7030A0"/>
              <w:right w:val="nil"/>
            </w:tcBorders>
            <w:shd w:val="clear" w:color="auto" w:fill="auto"/>
            <w:vAlign w:val="center"/>
            <w:hideMark/>
          </w:tcPr>
          <w:p w:rsidR="00776BB9" w:rsidRPr="00C73365" w:rsidRDefault="0022501D"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18</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788</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196</w:t>
            </w:r>
          </w:p>
        </w:tc>
      </w:tr>
      <w:tr w:rsidR="00776BB9" w:rsidRPr="00C73365" w:rsidTr="00E02778">
        <w:trPr>
          <w:trHeight w:val="288"/>
        </w:trPr>
        <w:tc>
          <w:tcPr>
            <w:tcW w:w="29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Achats</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74 993</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8,31</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623</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-623</w:t>
            </w:r>
          </w:p>
        </w:tc>
      </w:tr>
      <w:tr w:rsidR="00776BB9" w:rsidRPr="00C73365" w:rsidTr="00E02778">
        <w:trPr>
          <w:trHeight w:val="288"/>
        </w:trPr>
        <w:tc>
          <w:tcPr>
            <w:tcW w:w="2980" w:type="dxa"/>
            <w:tcBorders>
              <w:top w:val="nil"/>
              <w:left w:val="nil"/>
              <w:bottom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Ventes</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68 539</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8,52</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584</w:t>
            </w:r>
          </w:p>
        </w:tc>
        <w:tc>
          <w:tcPr>
            <w:tcW w:w="1240" w:type="dxa"/>
            <w:tcBorders>
              <w:top w:val="nil"/>
              <w:left w:val="nil"/>
              <w:bottom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584</w:t>
            </w:r>
          </w:p>
        </w:tc>
      </w:tr>
      <w:tr w:rsidR="00776BB9" w:rsidRPr="00C73365" w:rsidTr="00E02778">
        <w:trPr>
          <w:trHeight w:val="300"/>
        </w:trPr>
        <w:tc>
          <w:tcPr>
            <w:tcW w:w="29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Plus ou Moins-values réalisées</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-514</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b/>
                <w:bCs/>
                <w:color w:val="000000"/>
                <w:szCs w:val="20"/>
                <w:lang w:val="fr-FR" w:eastAsia="fr-FR"/>
              </w:rPr>
            </w:pPr>
          </w:p>
        </w:tc>
      </w:tr>
      <w:tr w:rsidR="00776BB9" w:rsidRPr="00C73365" w:rsidTr="00E02778">
        <w:trPr>
          <w:trHeight w:val="300"/>
        </w:trPr>
        <w:tc>
          <w:tcPr>
            <w:tcW w:w="29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Solde au 31 décembre 2016</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49 900</w:t>
            </w:r>
          </w:p>
        </w:tc>
        <w:tc>
          <w:tcPr>
            <w:tcW w:w="1240" w:type="dxa"/>
            <w:tcBorders>
              <w:top w:val="nil"/>
              <w:left w:val="nil"/>
              <w:bottom w:val="single" w:sz="8" w:space="0" w:color="7030A0"/>
              <w:right w:val="nil"/>
            </w:tcBorders>
            <w:shd w:val="clear" w:color="auto" w:fill="auto"/>
            <w:vAlign w:val="center"/>
            <w:hideMark/>
          </w:tcPr>
          <w:p w:rsidR="00776BB9" w:rsidRPr="00C73365" w:rsidRDefault="0022501D"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6</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313</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157</w:t>
            </w:r>
          </w:p>
        </w:tc>
      </w:tr>
      <w:tr w:rsidR="00776BB9" w:rsidRPr="00C73365" w:rsidTr="00E02778">
        <w:trPr>
          <w:trHeight w:val="300"/>
        </w:trPr>
        <w:tc>
          <w:tcPr>
            <w:tcW w:w="2980" w:type="dxa"/>
            <w:tcBorders>
              <w:top w:val="nil"/>
              <w:left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Achats</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90 109</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9,26</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834</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-834</w:t>
            </w:r>
          </w:p>
        </w:tc>
      </w:tr>
      <w:tr w:rsidR="00776BB9" w:rsidRPr="00C73365" w:rsidTr="00E02778">
        <w:trPr>
          <w:trHeight w:val="300"/>
        </w:trPr>
        <w:tc>
          <w:tcPr>
            <w:tcW w:w="2980" w:type="dxa"/>
            <w:tcBorders>
              <w:top w:val="nil"/>
              <w:left w:val="nil"/>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Ventes</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105 959</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9,57</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1 014</w:t>
            </w:r>
          </w:p>
        </w:tc>
        <w:tc>
          <w:tcPr>
            <w:tcW w:w="1240" w:type="dxa"/>
            <w:tcBorders>
              <w:top w:val="nil"/>
              <w:left w:val="nil"/>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1 014</w:t>
            </w:r>
          </w:p>
        </w:tc>
      </w:tr>
      <w:tr w:rsidR="00776BB9" w:rsidRPr="00C73365" w:rsidTr="00E02778">
        <w:trPr>
          <w:trHeight w:val="300"/>
        </w:trPr>
        <w:tc>
          <w:tcPr>
            <w:tcW w:w="2980" w:type="dxa"/>
            <w:tcBorders>
              <w:top w:val="nil"/>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Plus ou Moins-values réalisées</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252</w:t>
            </w: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p>
        </w:tc>
      </w:tr>
      <w:tr w:rsidR="00776BB9" w:rsidRPr="00C73365" w:rsidTr="00E02778">
        <w:trPr>
          <w:trHeight w:val="300"/>
        </w:trPr>
        <w:tc>
          <w:tcPr>
            <w:tcW w:w="2980" w:type="dxa"/>
            <w:tcBorders>
              <w:top w:val="single" w:sz="8" w:space="0" w:color="7030A0"/>
              <w:left w:val="nil"/>
              <w:bottom w:val="single" w:sz="8" w:space="0" w:color="7030A0"/>
              <w:right w:val="nil"/>
            </w:tcBorders>
            <w:shd w:val="clear" w:color="auto" w:fill="auto"/>
            <w:noWrap/>
            <w:vAlign w:val="center"/>
            <w:hideMark/>
          </w:tcPr>
          <w:p w:rsidR="00776BB9" w:rsidRPr="00C73365" w:rsidRDefault="00776BB9"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Solde au 31 décembre 2017</w:t>
            </w:r>
          </w:p>
        </w:tc>
        <w:tc>
          <w:tcPr>
            <w:tcW w:w="1240" w:type="dxa"/>
            <w:tcBorders>
              <w:top w:val="single" w:sz="8" w:space="0" w:color="7030A0"/>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34 050</w:t>
            </w:r>
          </w:p>
        </w:tc>
        <w:tc>
          <w:tcPr>
            <w:tcW w:w="1240" w:type="dxa"/>
            <w:tcBorders>
              <w:top w:val="single" w:sz="8" w:space="0" w:color="7030A0"/>
              <w:left w:val="nil"/>
              <w:bottom w:val="single" w:sz="8" w:space="0" w:color="7030A0"/>
              <w:right w:val="nil"/>
            </w:tcBorders>
            <w:shd w:val="clear" w:color="auto" w:fill="auto"/>
            <w:vAlign w:val="center"/>
            <w:hideMark/>
          </w:tcPr>
          <w:p w:rsidR="00776BB9" w:rsidRPr="00C73365" w:rsidRDefault="0022501D"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11</w:t>
            </w:r>
          </w:p>
        </w:tc>
        <w:tc>
          <w:tcPr>
            <w:tcW w:w="1240" w:type="dxa"/>
            <w:tcBorders>
              <w:top w:val="single" w:sz="8" w:space="0" w:color="7030A0"/>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385</w:t>
            </w:r>
          </w:p>
        </w:tc>
        <w:tc>
          <w:tcPr>
            <w:tcW w:w="1240" w:type="dxa"/>
            <w:tcBorders>
              <w:top w:val="single" w:sz="8" w:space="0" w:color="7030A0"/>
              <w:left w:val="nil"/>
              <w:bottom w:val="single" w:sz="8" w:space="0" w:color="7030A0"/>
              <w:right w:val="nil"/>
            </w:tcBorders>
            <w:shd w:val="clear" w:color="auto" w:fill="auto"/>
            <w:vAlign w:val="center"/>
            <w:hideMark/>
          </w:tcPr>
          <w:p w:rsidR="00776BB9" w:rsidRPr="00C73365" w:rsidRDefault="00776BB9" w:rsidP="0022501D">
            <w:pPr>
              <w:spacing w:after="0"/>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337</w:t>
            </w:r>
          </w:p>
        </w:tc>
      </w:tr>
    </w:tbl>
    <w:bookmarkEnd w:id="366"/>
    <w:p w:rsidR="00CC627A" w:rsidRPr="00C73365" w:rsidRDefault="0022501D" w:rsidP="0022501D">
      <w:pPr>
        <w:pStyle w:val="ListParagraph"/>
        <w:widowControl w:val="0"/>
        <w:ind w:left="720"/>
        <w:rPr>
          <w:rFonts w:asciiTheme="minorHAnsi" w:hAnsiTheme="minorHAnsi" w:cstheme="minorHAnsi"/>
          <w:color w:val="7030A0"/>
          <w:sz w:val="16"/>
          <w:szCs w:val="16"/>
          <w:lang w:val="fr-FR" w:eastAsia="fr-FR"/>
        </w:rPr>
      </w:pPr>
      <w:r w:rsidRPr="00C73365">
        <w:rPr>
          <w:rFonts w:asciiTheme="minorHAnsi" w:hAnsiTheme="minorHAnsi" w:cstheme="minorHAnsi"/>
          <w:color w:val="7030A0"/>
          <w:sz w:val="16"/>
          <w:szCs w:val="16"/>
          <w:lang w:val="fr-FR" w:eastAsia="fr-FR"/>
        </w:rPr>
        <w:t xml:space="preserve">        *Valeurs moyennes</w:t>
      </w:r>
      <w:r w:rsidR="00CA41B2" w:rsidRPr="00C73365">
        <w:rPr>
          <w:rFonts w:asciiTheme="minorHAnsi" w:hAnsiTheme="minorHAnsi" w:cstheme="minorHAnsi"/>
          <w:color w:val="7030A0"/>
          <w:sz w:val="16"/>
          <w:szCs w:val="16"/>
          <w:lang w:val="fr-FR" w:eastAsia="fr-FR"/>
        </w:rPr>
        <w:t xml:space="preserve">, pour 2017 par exemple : </w:t>
      </w:r>
      <w:r w:rsidRPr="00C73365">
        <w:rPr>
          <w:rFonts w:asciiTheme="minorHAnsi" w:hAnsiTheme="minorHAnsi" w:cstheme="minorHAnsi"/>
          <w:color w:val="7030A0"/>
          <w:sz w:val="16"/>
          <w:szCs w:val="16"/>
          <w:lang w:val="fr-FR" w:eastAsia="fr-FR"/>
        </w:rPr>
        <w:t>11</w:t>
      </w:r>
      <w:r w:rsidR="00CA41B2" w:rsidRPr="00C73365">
        <w:rPr>
          <w:rFonts w:asciiTheme="minorHAnsi" w:hAnsiTheme="minorHAnsi" w:cstheme="minorHAnsi"/>
          <w:color w:val="7030A0"/>
          <w:sz w:val="16"/>
          <w:szCs w:val="16"/>
          <w:lang w:val="fr-FR" w:eastAsia="fr-FR"/>
        </w:rPr>
        <w:t xml:space="preserve"> €</w:t>
      </w:r>
      <w:r w:rsidRPr="00C73365">
        <w:rPr>
          <w:rFonts w:asciiTheme="minorHAnsi" w:hAnsiTheme="minorHAnsi" w:cstheme="minorHAnsi"/>
          <w:color w:val="7030A0"/>
          <w:sz w:val="16"/>
          <w:szCs w:val="16"/>
          <w:lang w:val="fr-FR" w:eastAsia="fr-FR"/>
        </w:rPr>
        <w:t xml:space="preserve"> = 385</w:t>
      </w:r>
      <w:r w:rsidR="00EF089C" w:rsidRPr="00C73365">
        <w:rPr>
          <w:rFonts w:asciiTheme="minorHAnsi" w:hAnsiTheme="minorHAnsi" w:cstheme="minorHAnsi"/>
          <w:color w:val="7030A0"/>
          <w:sz w:val="16"/>
          <w:szCs w:val="16"/>
          <w:lang w:val="fr-FR" w:eastAsia="fr-FR"/>
        </w:rPr>
        <w:t>K€</w:t>
      </w:r>
      <w:r w:rsidRPr="00C73365">
        <w:rPr>
          <w:rFonts w:asciiTheme="minorHAnsi" w:hAnsiTheme="minorHAnsi" w:cstheme="minorHAnsi"/>
          <w:color w:val="7030A0"/>
          <w:sz w:val="16"/>
          <w:szCs w:val="16"/>
          <w:lang w:val="fr-FR" w:eastAsia="fr-FR"/>
        </w:rPr>
        <w:t>/34050 titres</w:t>
      </w:r>
    </w:p>
    <w:bookmarkEnd w:id="367"/>
    <w:p w:rsidR="001B34DD" w:rsidRDefault="00776BB9" w:rsidP="004572A0">
      <w:pPr>
        <w:pStyle w:val="BodyText"/>
        <w:rPr>
          <w:rFonts w:asciiTheme="minorHAnsi" w:hAnsiTheme="minorHAnsi" w:cstheme="minorHAnsi"/>
          <w:b/>
          <w:color w:val="7030A0"/>
          <w:lang w:val="fr-FR"/>
        </w:rPr>
      </w:pPr>
      <w:r w:rsidRPr="00C73365">
        <w:rPr>
          <w:rFonts w:asciiTheme="minorHAnsi" w:hAnsiTheme="minorHAnsi" w:cstheme="minorHAnsi"/>
          <w:lang w:val="fr-FR" w:eastAsia="fr-FR"/>
        </w:rPr>
        <w:t xml:space="preserve">Le cours de l’action au 31 décembre 2017 est de 8,63 euros. La valeur boursière au 31 décembre 2017 des titres auto-détenus s’établit donc à 294 </w:t>
      </w:r>
      <w:r w:rsidR="00EF089C" w:rsidRPr="00C73365">
        <w:rPr>
          <w:rFonts w:asciiTheme="minorHAnsi" w:hAnsiTheme="minorHAnsi" w:cstheme="minorHAnsi"/>
          <w:lang w:val="fr-FR" w:eastAsia="fr-FR"/>
        </w:rPr>
        <w:t>K€</w:t>
      </w:r>
      <w:r w:rsidRPr="00C73365">
        <w:rPr>
          <w:rFonts w:asciiTheme="minorHAnsi" w:hAnsiTheme="minorHAnsi" w:cstheme="minorHAnsi"/>
          <w:lang w:val="fr-FR" w:eastAsia="fr-FR"/>
        </w:rPr>
        <w:t>.</w:t>
      </w:r>
      <w:r w:rsidR="00CC627A" w:rsidRPr="00C73365">
        <w:rPr>
          <w:rFonts w:asciiTheme="minorHAnsi" w:hAnsiTheme="minorHAnsi" w:cstheme="minorHAnsi"/>
          <w:lang w:val="fr-FR" w:eastAsia="fr-FR"/>
        </w:rPr>
        <w:t xml:space="preserve"> </w:t>
      </w:r>
      <w:r w:rsidRPr="00C73365">
        <w:rPr>
          <w:rFonts w:asciiTheme="minorHAnsi" w:hAnsiTheme="minorHAnsi" w:cstheme="minorHAnsi"/>
          <w:lang w:val="fr-FR" w:eastAsia="fr-FR"/>
        </w:rPr>
        <w:t xml:space="preserve">Une provision pour dépréciation de 91 </w:t>
      </w:r>
      <w:r w:rsidR="00EF089C" w:rsidRPr="00C73365">
        <w:rPr>
          <w:rFonts w:asciiTheme="minorHAnsi" w:hAnsiTheme="minorHAnsi" w:cstheme="minorHAnsi"/>
          <w:lang w:val="fr-FR" w:eastAsia="fr-FR"/>
        </w:rPr>
        <w:t>K€</w:t>
      </w:r>
      <w:r w:rsidRPr="00C73365">
        <w:rPr>
          <w:rFonts w:asciiTheme="minorHAnsi" w:hAnsiTheme="minorHAnsi" w:cstheme="minorHAnsi"/>
          <w:lang w:val="fr-FR" w:eastAsia="fr-FR"/>
        </w:rPr>
        <w:t xml:space="preserve"> a donc été constatée au 31 décembre 2017 concernant les titres auto-détenus. Celle-ci a été comptabilisée en charges exceptionnelles.</w:t>
      </w:r>
    </w:p>
    <w:p w:rsidR="00776BB9" w:rsidRPr="001B34DD" w:rsidRDefault="00776BB9" w:rsidP="00C00BA0">
      <w:pPr>
        <w:pStyle w:val="BodyText"/>
        <w:spacing w:after="0"/>
        <w:rPr>
          <w:rFonts w:asciiTheme="minorHAnsi" w:hAnsiTheme="minorHAnsi" w:cstheme="minorHAnsi"/>
          <w:lang w:val="fr-FR" w:eastAsia="fr-FR"/>
        </w:rPr>
      </w:pPr>
      <w:r w:rsidRPr="00C73365">
        <w:rPr>
          <w:rFonts w:asciiTheme="minorHAnsi" w:hAnsiTheme="minorHAnsi" w:cstheme="minorHAnsi"/>
          <w:b/>
          <w:lang w:val="fr-FR"/>
        </w:rPr>
        <w:t>Créances :</w:t>
      </w:r>
    </w:p>
    <w:p w:rsidR="00776BB9" w:rsidRPr="00C73365" w:rsidRDefault="00776BB9" w:rsidP="00C00BA0">
      <w:pPr>
        <w:pStyle w:val="BodyText"/>
        <w:spacing w:after="0"/>
        <w:rPr>
          <w:rFonts w:asciiTheme="minorHAnsi" w:hAnsiTheme="minorHAnsi" w:cstheme="minorHAnsi"/>
          <w:lang w:val="fr-FR"/>
        </w:rPr>
      </w:pPr>
      <w:r w:rsidRPr="00C73365">
        <w:rPr>
          <w:rFonts w:asciiTheme="minorHAnsi" w:hAnsiTheme="minorHAnsi" w:cstheme="minorHAnsi"/>
          <w:lang w:val="fr-FR"/>
        </w:rPr>
        <w:t xml:space="preserve">Les créances sont principalement composées </w:t>
      </w:r>
      <w:r w:rsidR="00635502" w:rsidRPr="00C73365">
        <w:rPr>
          <w:rFonts w:asciiTheme="minorHAnsi" w:hAnsiTheme="minorHAnsi" w:cstheme="minorHAnsi"/>
          <w:lang w:val="fr-FR"/>
        </w:rPr>
        <w:t>de :</w:t>
      </w:r>
    </w:p>
    <w:tbl>
      <w:tblPr>
        <w:tblW w:w="6500" w:type="dxa"/>
        <w:tblCellMar>
          <w:left w:w="70" w:type="dxa"/>
          <w:right w:w="70" w:type="dxa"/>
        </w:tblCellMar>
        <w:tblLook w:val="04A0" w:firstRow="1" w:lastRow="0" w:firstColumn="1" w:lastColumn="0" w:noHBand="0" w:noVBand="1"/>
      </w:tblPr>
      <w:tblGrid>
        <w:gridCol w:w="5260"/>
        <w:gridCol w:w="1240"/>
      </w:tblGrid>
      <w:tr w:rsidR="00776BB9" w:rsidRPr="00C73365" w:rsidTr="00793DCB">
        <w:trPr>
          <w:trHeight w:val="300"/>
        </w:trPr>
        <w:tc>
          <w:tcPr>
            <w:tcW w:w="526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p>
        </w:tc>
        <w:tc>
          <w:tcPr>
            <w:tcW w:w="1240"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Montant</w:t>
            </w:r>
          </w:p>
        </w:tc>
      </w:tr>
      <w:tr w:rsidR="00776BB9" w:rsidRPr="00C73365" w:rsidTr="00793DCB">
        <w:trPr>
          <w:trHeight w:val="300"/>
        </w:trPr>
        <w:tc>
          <w:tcPr>
            <w:tcW w:w="5260" w:type="dxa"/>
            <w:tcBorders>
              <w:top w:val="single" w:sz="8" w:space="0" w:color="7030A0"/>
              <w:left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Solde sur CIR 2014 à recevoir (intérêts moratoires inclus)</w:t>
            </w:r>
          </w:p>
        </w:tc>
        <w:tc>
          <w:tcPr>
            <w:tcW w:w="1240" w:type="dxa"/>
            <w:tcBorders>
              <w:top w:val="single" w:sz="8" w:space="0" w:color="7030A0"/>
              <w:left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122 </w:t>
            </w:r>
            <w:r w:rsidR="00EF089C" w:rsidRPr="00C73365">
              <w:rPr>
                <w:rFonts w:asciiTheme="minorHAnsi" w:hAnsiTheme="minorHAnsi" w:cstheme="minorHAnsi"/>
                <w:color w:val="000000"/>
                <w:szCs w:val="20"/>
                <w:lang w:val="fr-FR" w:eastAsia="fr-FR"/>
              </w:rPr>
              <w:t>K€</w:t>
            </w:r>
          </w:p>
        </w:tc>
      </w:tr>
      <w:tr w:rsidR="00776BB9" w:rsidRPr="00C73365" w:rsidTr="00793DCB">
        <w:trPr>
          <w:trHeight w:val="300"/>
        </w:trPr>
        <w:tc>
          <w:tcPr>
            <w:tcW w:w="5260" w:type="dxa"/>
            <w:tcBorders>
              <w:top w:val="nil"/>
              <w:left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CIR au 31/12/2017</w:t>
            </w:r>
          </w:p>
        </w:tc>
        <w:tc>
          <w:tcPr>
            <w:tcW w:w="1240" w:type="dxa"/>
            <w:tcBorders>
              <w:top w:val="nil"/>
              <w:left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2 632 </w:t>
            </w:r>
            <w:r w:rsidR="00EF089C" w:rsidRPr="00C73365">
              <w:rPr>
                <w:rFonts w:asciiTheme="minorHAnsi" w:hAnsiTheme="minorHAnsi" w:cstheme="minorHAnsi"/>
                <w:color w:val="000000"/>
                <w:szCs w:val="20"/>
                <w:lang w:val="fr-FR" w:eastAsia="fr-FR"/>
              </w:rPr>
              <w:t>K€</w:t>
            </w:r>
          </w:p>
        </w:tc>
      </w:tr>
      <w:tr w:rsidR="00776BB9" w:rsidRPr="00C73365" w:rsidTr="00793DCB">
        <w:trPr>
          <w:trHeight w:val="300"/>
        </w:trPr>
        <w:tc>
          <w:tcPr>
            <w:tcW w:w="5260" w:type="dxa"/>
            <w:tcBorders>
              <w:top w:val="nil"/>
              <w:left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CICE au 31 décembre 2017</w:t>
            </w:r>
          </w:p>
        </w:tc>
        <w:tc>
          <w:tcPr>
            <w:tcW w:w="1240" w:type="dxa"/>
            <w:tcBorders>
              <w:top w:val="nil"/>
              <w:left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12 </w:t>
            </w:r>
            <w:r w:rsidR="00EF089C" w:rsidRPr="00C73365">
              <w:rPr>
                <w:rFonts w:asciiTheme="minorHAnsi" w:hAnsiTheme="minorHAnsi" w:cstheme="minorHAnsi"/>
                <w:color w:val="000000"/>
                <w:szCs w:val="20"/>
                <w:lang w:val="fr-FR" w:eastAsia="fr-FR"/>
              </w:rPr>
              <w:t>K€</w:t>
            </w:r>
          </w:p>
        </w:tc>
      </w:tr>
      <w:tr w:rsidR="00776BB9" w:rsidRPr="00C73365" w:rsidTr="00793DCB">
        <w:trPr>
          <w:trHeight w:val="300"/>
        </w:trPr>
        <w:tc>
          <w:tcPr>
            <w:tcW w:w="5260" w:type="dxa"/>
            <w:tcBorders>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TVA déductible et crédits de TVA</w:t>
            </w:r>
          </w:p>
        </w:tc>
        <w:tc>
          <w:tcPr>
            <w:tcW w:w="1240" w:type="dxa"/>
            <w:tcBorders>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878 </w:t>
            </w:r>
            <w:r w:rsidR="00EF089C" w:rsidRPr="00C73365">
              <w:rPr>
                <w:rFonts w:asciiTheme="minorHAnsi" w:hAnsiTheme="minorHAnsi" w:cstheme="minorHAnsi"/>
                <w:color w:val="000000"/>
                <w:szCs w:val="20"/>
                <w:lang w:val="fr-FR" w:eastAsia="fr-FR"/>
              </w:rPr>
              <w:t>K€</w:t>
            </w:r>
          </w:p>
        </w:tc>
      </w:tr>
    </w:tbl>
    <w:p w:rsidR="00776BB9" w:rsidRPr="00C73365" w:rsidRDefault="00776BB9">
      <w:pPr>
        <w:tabs>
          <w:tab w:val="left" w:pos="956"/>
        </w:tabs>
        <w:autoSpaceDE w:val="0"/>
        <w:autoSpaceDN w:val="0"/>
        <w:adjustRightInd w:val="0"/>
        <w:rPr>
          <w:rFonts w:asciiTheme="minorHAnsi" w:hAnsiTheme="minorHAnsi" w:cstheme="minorHAnsi"/>
          <w:b/>
          <w:color w:val="7030A0"/>
          <w:szCs w:val="20"/>
          <w:lang w:val="fr-FR"/>
        </w:rPr>
      </w:pPr>
    </w:p>
    <w:p w:rsidR="00776BB9" w:rsidRPr="00C73365" w:rsidRDefault="00776BB9" w:rsidP="00C00BA0">
      <w:pPr>
        <w:pStyle w:val="BodyText"/>
        <w:spacing w:after="0"/>
        <w:rPr>
          <w:rFonts w:asciiTheme="minorHAnsi" w:hAnsiTheme="minorHAnsi" w:cstheme="minorHAnsi"/>
          <w:b/>
          <w:lang w:val="fr-FR"/>
        </w:rPr>
      </w:pPr>
      <w:r w:rsidRPr="00C73365">
        <w:rPr>
          <w:rFonts w:asciiTheme="minorHAnsi" w:hAnsiTheme="minorHAnsi" w:cstheme="minorHAnsi"/>
          <w:b/>
          <w:lang w:val="fr-FR"/>
        </w:rPr>
        <w:t>Valeurs mobilières de placement</w:t>
      </w:r>
      <w:r w:rsidR="00470BB2" w:rsidRPr="00C73365">
        <w:rPr>
          <w:rFonts w:asciiTheme="minorHAnsi" w:hAnsiTheme="minorHAnsi" w:cstheme="minorHAnsi"/>
          <w:b/>
          <w:lang w:val="fr-FR"/>
        </w:rPr>
        <w:t xml:space="preserve"> </w:t>
      </w:r>
      <w:r w:rsidRPr="00C73365">
        <w:rPr>
          <w:rFonts w:asciiTheme="minorHAnsi" w:hAnsiTheme="minorHAnsi" w:cstheme="minorHAnsi"/>
          <w:b/>
          <w:lang w:val="fr-FR"/>
        </w:rPr>
        <w:t>:</w:t>
      </w:r>
    </w:p>
    <w:p w:rsidR="00776BB9" w:rsidRPr="00C73365" w:rsidRDefault="00776BB9" w:rsidP="00C00BA0">
      <w:pPr>
        <w:pStyle w:val="BodyText"/>
        <w:spacing w:after="0"/>
        <w:rPr>
          <w:rFonts w:asciiTheme="minorHAnsi" w:hAnsiTheme="minorHAnsi" w:cstheme="minorHAnsi"/>
          <w:lang w:val="fr-FR"/>
        </w:rPr>
      </w:pPr>
      <w:r w:rsidRPr="00C73365">
        <w:rPr>
          <w:rFonts w:asciiTheme="minorHAnsi" w:hAnsiTheme="minorHAnsi" w:cstheme="minorHAnsi"/>
          <w:lang w:val="fr-FR"/>
        </w:rPr>
        <w:t>Les valeurs mobilières de placement se décomposent :</w:t>
      </w:r>
    </w:p>
    <w:tbl>
      <w:tblPr>
        <w:tblW w:w="8243" w:type="dxa"/>
        <w:tblLayout w:type="fixed"/>
        <w:tblLook w:val="04A0" w:firstRow="1" w:lastRow="0" w:firstColumn="1" w:lastColumn="0" w:noHBand="0" w:noVBand="1"/>
      </w:tblPr>
      <w:tblGrid>
        <w:gridCol w:w="2276"/>
        <w:gridCol w:w="1312"/>
        <w:gridCol w:w="1604"/>
        <w:gridCol w:w="1525"/>
        <w:gridCol w:w="1526"/>
      </w:tblGrid>
      <w:tr w:rsidR="00776BB9" w:rsidRPr="00C73365" w:rsidTr="00793DCB">
        <w:trPr>
          <w:trHeight w:val="680"/>
        </w:trPr>
        <w:tc>
          <w:tcPr>
            <w:tcW w:w="2276"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312"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604"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Disponibilité immédiate</w:t>
            </w:r>
          </w:p>
        </w:tc>
        <w:tc>
          <w:tcPr>
            <w:tcW w:w="1525"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06/01/2018</w:t>
            </w:r>
          </w:p>
        </w:tc>
        <w:tc>
          <w:tcPr>
            <w:tcW w:w="1526" w:type="dxa"/>
            <w:tcBorders>
              <w:top w:val="single" w:sz="12" w:space="0" w:color="7030A0"/>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25/06/2018</w:t>
            </w:r>
          </w:p>
        </w:tc>
      </w:tr>
      <w:tr w:rsidR="00776BB9" w:rsidRPr="00C73365" w:rsidTr="00793DCB">
        <w:trPr>
          <w:trHeight w:val="30"/>
        </w:trPr>
        <w:tc>
          <w:tcPr>
            <w:tcW w:w="2276" w:type="dxa"/>
            <w:tcBorders>
              <w:top w:val="nil"/>
              <w:left w:val="nil"/>
              <w:bottom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Comptes à terme</w:t>
            </w:r>
          </w:p>
        </w:tc>
        <w:tc>
          <w:tcPr>
            <w:tcW w:w="1312"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15 145</w:t>
            </w:r>
          </w:p>
        </w:tc>
        <w:tc>
          <w:tcPr>
            <w:tcW w:w="1604"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145</w:t>
            </w:r>
          </w:p>
        </w:tc>
        <w:tc>
          <w:tcPr>
            <w:tcW w:w="1525"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5 000</w:t>
            </w:r>
          </w:p>
        </w:tc>
        <w:tc>
          <w:tcPr>
            <w:tcW w:w="1526"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10 000</w:t>
            </w:r>
          </w:p>
        </w:tc>
      </w:tr>
      <w:tr w:rsidR="00776BB9" w:rsidRPr="00C73365" w:rsidTr="00793DCB">
        <w:trPr>
          <w:trHeight w:val="30"/>
        </w:trPr>
        <w:tc>
          <w:tcPr>
            <w:tcW w:w="2276" w:type="dxa"/>
            <w:tcBorders>
              <w:top w:val="nil"/>
              <w:left w:val="nil"/>
              <w:bottom w:val="nil"/>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SICAV/OPCVM</w:t>
            </w:r>
          </w:p>
        </w:tc>
        <w:tc>
          <w:tcPr>
            <w:tcW w:w="1312"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604"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525"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p>
        </w:tc>
        <w:tc>
          <w:tcPr>
            <w:tcW w:w="1526" w:type="dxa"/>
            <w:tcBorders>
              <w:top w:val="nil"/>
              <w:left w:val="nil"/>
              <w:bottom w:val="nil"/>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szCs w:val="20"/>
              </w:rPr>
            </w:pPr>
          </w:p>
        </w:tc>
      </w:tr>
      <w:tr w:rsidR="00776BB9" w:rsidRPr="00C73365" w:rsidTr="00793DCB">
        <w:trPr>
          <w:trHeight w:val="30"/>
        </w:trPr>
        <w:tc>
          <w:tcPr>
            <w:tcW w:w="2276"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Disponibilités</w:t>
            </w:r>
          </w:p>
        </w:tc>
        <w:tc>
          <w:tcPr>
            <w:tcW w:w="1312"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1 881</w:t>
            </w:r>
          </w:p>
        </w:tc>
        <w:tc>
          <w:tcPr>
            <w:tcW w:w="1604"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1 881</w:t>
            </w:r>
          </w:p>
        </w:tc>
        <w:tc>
          <w:tcPr>
            <w:tcW w:w="1525"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p>
        </w:tc>
        <w:tc>
          <w:tcPr>
            <w:tcW w:w="1526"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000000"/>
                <w:szCs w:val="20"/>
              </w:rPr>
            </w:pPr>
          </w:p>
        </w:tc>
      </w:tr>
      <w:tr w:rsidR="00776BB9" w:rsidRPr="00C73365" w:rsidTr="00793DCB">
        <w:trPr>
          <w:trHeight w:val="414"/>
        </w:trPr>
        <w:tc>
          <w:tcPr>
            <w:tcW w:w="2276" w:type="dxa"/>
            <w:tcBorders>
              <w:top w:val="nil"/>
              <w:left w:val="nil"/>
              <w:bottom w:val="single" w:sz="8" w:space="0" w:color="7030A0"/>
              <w:right w:val="nil"/>
            </w:tcBorders>
            <w:shd w:val="clear" w:color="auto" w:fill="auto"/>
            <w:vAlign w:val="center"/>
            <w:hideMark/>
          </w:tcPr>
          <w:p w:rsidR="00776BB9" w:rsidRPr="00C73365" w:rsidRDefault="00776BB9"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312"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17 032</w:t>
            </w:r>
          </w:p>
        </w:tc>
        <w:tc>
          <w:tcPr>
            <w:tcW w:w="1604"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2 032</w:t>
            </w:r>
          </w:p>
        </w:tc>
        <w:tc>
          <w:tcPr>
            <w:tcW w:w="1525"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5 000</w:t>
            </w:r>
          </w:p>
        </w:tc>
        <w:tc>
          <w:tcPr>
            <w:tcW w:w="1526" w:type="dxa"/>
            <w:tcBorders>
              <w:top w:val="nil"/>
              <w:left w:val="nil"/>
              <w:bottom w:val="single" w:sz="8" w:space="0" w:color="7030A0"/>
              <w:right w:val="nil"/>
            </w:tcBorders>
            <w:shd w:val="clear" w:color="auto" w:fill="auto"/>
            <w:vAlign w:val="center"/>
            <w:hideMark/>
          </w:tcPr>
          <w:p w:rsidR="00776BB9" w:rsidRPr="00C73365" w:rsidRDefault="00776BB9" w:rsidP="00635502">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10 000</w:t>
            </w:r>
          </w:p>
        </w:tc>
      </w:tr>
    </w:tbl>
    <w:p w:rsidR="00635502" w:rsidRPr="00C73365" w:rsidRDefault="00635502" w:rsidP="00A96CCA">
      <w:pPr>
        <w:rPr>
          <w:rFonts w:asciiTheme="minorHAnsi" w:hAnsiTheme="minorHAnsi" w:cstheme="minorHAnsi"/>
          <w:color w:val="000000" w:themeColor="text1"/>
          <w:szCs w:val="20"/>
          <w:lang w:val="fr-FR"/>
        </w:rPr>
      </w:pP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montant des intérêts courus sur comptes à terme au 31 </w:t>
      </w:r>
      <w:r w:rsidR="008C1A4A">
        <w:rPr>
          <w:rFonts w:asciiTheme="minorHAnsi" w:hAnsiTheme="minorHAnsi" w:cstheme="minorHAnsi"/>
          <w:lang w:val="fr-FR"/>
        </w:rPr>
        <w:t>d</w:t>
      </w:r>
      <w:r w:rsidRPr="00C73365">
        <w:rPr>
          <w:rFonts w:asciiTheme="minorHAnsi" w:hAnsiTheme="minorHAnsi" w:cstheme="minorHAnsi"/>
          <w:lang w:val="fr-FR"/>
        </w:rPr>
        <w:t xml:space="preserve">écembre 2017, inclus dans les montants ci-dessus, est de 145 </w:t>
      </w:r>
      <w:r w:rsidR="00EF089C" w:rsidRPr="00C73365">
        <w:rPr>
          <w:rFonts w:asciiTheme="minorHAnsi" w:hAnsiTheme="minorHAnsi" w:cstheme="minorHAnsi"/>
          <w:lang w:val="fr-FR"/>
        </w:rPr>
        <w:t>K€</w:t>
      </w:r>
      <w:r w:rsidRPr="00C73365">
        <w:rPr>
          <w:rFonts w:asciiTheme="minorHAnsi" w:hAnsiTheme="minorHAnsi" w:cstheme="minorHAnsi"/>
          <w:lang w:val="fr-FR"/>
        </w:rPr>
        <w:t>.</w:t>
      </w:r>
    </w:p>
    <w:p w:rsidR="00776BB9" w:rsidRPr="00C73365" w:rsidRDefault="00776BB9" w:rsidP="004572A0">
      <w:pPr>
        <w:pStyle w:val="BodyText"/>
        <w:rPr>
          <w:rFonts w:asciiTheme="minorHAnsi" w:hAnsiTheme="minorHAnsi" w:cstheme="minorHAnsi"/>
          <w:b/>
          <w:lang w:val="fr-FR"/>
        </w:rPr>
      </w:pPr>
      <w:r w:rsidRPr="00C73365">
        <w:rPr>
          <w:rFonts w:asciiTheme="minorHAnsi" w:hAnsiTheme="minorHAnsi" w:cstheme="minorHAnsi"/>
          <w:b/>
          <w:lang w:val="fr-FR"/>
        </w:rPr>
        <w:t>Capital Social</w:t>
      </w:r>
    </w:p>
    <w:p w:rsidR="00287925" w:rsidRPr="00C73365" w:rsidRDefault="00287925"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Au 31 décembre 2017, le capital social de l’entreprise est à 99.042,29 euros. Ceci est détaillé au paragraphe 10.1 Informations sur les capitaux de la Société.</w:t>
      </w:r>
    </w:p>
    <w:p w:rsidR="00776BB9" w:rsidRPr="00C73365" w:rsidRDefault="00776BB9" w:rsidP="004572A0">
      <w:pPr>
        <w:pStyle w:val="BodyText"/>
        <w:rPr>
          <w:rFonts w:asciiTheme="minorHAnsi" w:hAnsiTheme="minorHAnsi" w:cstheme="minorHAnsi"/>
          <w:b/>
          <w:lang w:val="fr-FR"/>
        </w:rPr>
      </w:pPr>
      <w:r w:rsidRPr="00C73365">
        <w:rPr>
          <w:rFonts w:asciiTheme="minorHAnsi" w:hAnsiTheme="minorHAnsi" w:cstheme="minorHAnsi"/>
          <w:b/>
          <w:lang w:val="fr-FR"/>
        </w:rPr>
        <w:t>Avances conditionnées</w:t>
      </w:r>
    </w:p>
    <w:p w:rsidR="00776BB9" w:rsidRPr="00C73365" w:rsidRDefault="00776BB9" w:rsidP="004572A0">
      <w:pPr>
        <w:pStyle w:val="BodyText"/>
        <w:rPr>
          <w:rFonts w:asciiTheme="minorHAnsi" w:hAnsiTheme="minorHAnsi" w:cstheme="minorHAnsi"/>
          <w:lang w:val="fr-FR"/>
        </w:rPr>
      </w:pPr>
      <w:bookmarkStart w:id="368" w:name="_Hlk509825496"/>
      <w:r w:rsidRPr="00C73365">
        <w:rPr>
          <w:rFonts w:asciiTheme="minorHAnsi" w:hAnsiTheme="minorHAnsi" w:cstheme="minorHAnsi"/>
          <w:lang w:val="fr-FR"/>
        </w:rPr>
        <w:t>La variation entre les premiers semestres 2017 et 2016 se résume ainsi :</w:t>
      </w:r>
    </w:p>
    <w:tbl>
      <w:tblPr>
        <w:tblW w:w="8796" w:type="dxa"/>
        <w:tblLook w:val="04A0" w:firstRow="1" w:lastRow="0" w:firstColumn="1" w:lastColumn="0" w:noHBand="0" w:noVBand="1"/>
      </w:tblPr>
      <w:tblGrid>
        <w:gridCol w:w="1670"/>
        <w:gridCol w:w="1199"/>
        <w:gridCol w:w="903"/>
        <w:gridCol w:w="1305"/>
        <w:gridCol w:w="1199"/>
        <w:gridCol w:w="1393"/>
        <w:gridCol w:w="1127"/>
      </w:tblGrid>
      <w:tr w:rsidR="00776BB9" w:rsidRPr="00C73365" w:rsidTr="00793DCB">
        <w:trPr>
          <w:trHeight w:val="290"/>
        </w:trPr>
        <w:tc>
          <w:tcPr>
            <w:tcW w:w="1764"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pPr>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183" w:type="dxa"/>
            <w:tcBorders>
              <w:top w:val="single" w:sz="12" w:space="0" w:color="7030A0"/>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Solde </w:t>
            </w:r>
          </w:p>
        </w:tc>
        <w:tc>
          <w:tcPr>
            <w:tcW w:w="896"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Avances reçues </w:t>
            </w:r>
          </w:p>
        </w:tc>
        <w:tc>
          <w:tcPr>
            <w:tcW w:w="1285" w:type="dxa"/>
            <w:vMerge w:val="restart"/>
            <w:tcBorders>
              <w:top w:val="single" w:sz="12" w:space="0" w:color="7030A0"/>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Avances remboursées </w:t>
            </w:r>
          </w:p>
        </w:tc>
        <w:tc>
          <w:tcPr>
            <w:tcW w:w="1183" w:type="dxa"/>
            <w:tcBorders>
              <w:top w:val="single" w:sz="12" w:space="0" w:color="7030A0"/>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Solde </w:t>
            </w:r>
          </w:p>
        </w:tc>
        <w:tc>
          <w:tcPr>
            <w:tcW w:w="2485" w:type="dxa"/>
            <w:gridSpan w:val="2"/>
            <w:tcBorders>
              <w:top w:val="single" w:sz="12" w:space="0" w:color="7030A0"/>
              <w:left w:val="nil"/>
              <w:bottom w:val="nil"/>
              <w:right w:val="nil"/>
            </w:tcBorders>
            <w:shd w:val="clear" w:color="auto" w:fill="auto"/>
            <w:vAlign w:val="center"/>
            <w:hideMark/>
          </w:tcPr>
          <w:p w:rsidR="00776BB9" w:rsidRPr="00C73365" w:rsidRDefault="00776BB9">
            <w:pPr>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Dont</w:t>
            </w:r>
          </w:p>
        </w:tc>
      </w:tr>
      <w:tr w:rsidR="00776BB9" w:rsidRPr="00C73365" w:rsidTr="00793DCB">
        <w:trPr>
          <w:trHeight w:val="477"/>
        </w:trPr>
        <w:tc>
          <w:tcPr>
            <w:tcW w:w="1764" w:type="dxa"/>
            <w:vMerge/>
            <w:tcBorders>
              <w:top w:val="single" w:sz="12" w:space="0" w:color="7030A0"/>
              <w:left w:val="nil"/>
              <w:bottom w:val="single" w:sz="8" w:space="0" w:color="7030A0"/>
              <w:right w:val="nil"/>
            </w:tcBorders>
            <w:vAlign w:val="center"/>
            <w:hideMark/>
          </w:tcPr>
          <w:p w:rsidR="00776BB9" w:rsidRPr="00C73365" w:rsidRDefault="00776BB9">
            <w:pPr>
              <w:rPr>
                <w:rFonts w:asciiTheme="minorHAnsi" w:hAnsiTheme="minorHAnsi" w:cstheme="minorHAnsi"/>
                <w:color w:val="000000"/>
                <w:szCs w:val="20"/>
              </w:rPr>
            </w:pPr>
          </w:p>
        </w:tc>
        <w:tc>
          <w:tcPr>
            <w:tcW w:w="1183" w:type="dxa"/>
            <w:tcBorders>
              <w:top w:val="nil"/>
              <w:left w:val="nil"/>
              <w:bottom w:val="single" w:sz="8" w:space="0" w:color="7030A0"/>
              <w:right w:val="nil"/>
            </w:tcBorders>
            <w:shd w:val="clear" w:color="auto" w:fill="auto"/>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 31/12/2016</w:t>
            </w:r>
          </w:p>
        </w:tc>
        <w:tc>
          <w:tcPr>
            <w:tcW w:w="896" w:type="dxa"/>
            <w:vMerge/>
            <w:tcBorders>
              <w:top w:val="single" w:sz="12" w:space="0" w:color="7030A0"/>
              <w:left w:val="nil"/>
              <w:bottom w:val="single" w:sz="8" w:space="0" w:color="7030A0"/>
              <w:right w:val="nil"/>
            </w:tcBorders>
            <w:vAlign w:val="center"/>
            <w:hideMark/>
          </w:tcPr>
          <w:p w:rsidR="00776BB9" w:rsidRPr="00C73365" w:rsidRDefault="00776BB9">
            <w:pPr>
              <w:rPr>
                <w:rFonts w:asciiTheme="minorHAnsi" w:hAnsiTheme="minorHAnsi" w:cstheme="minorHAnsi"/>
                <w:b/>
                <w:bCs/>
                <w:color w:val="000000"/>
                <w:szCs w:val="20"/>
              </w:rPr>
            </w:pPr>
          </w:p>
        </w:tc>
        <w:tc>
          <w:tcPr>
            <w:tcW w:w="1285" w:type="dxa"/>
            <w:vMerge/>
            <w:tcBorders>
              <w:top w:val="single" w:sz="12" w:space="0" w:color="7030A0"/>
              <w:left w:val="nil"/>
              <w:bottom w:val="single" w:sz="8" w:space="0" w:color="7030A0"/>
              <w:right w:val="nil"/>
            </w:tcBorders>
            <w:vAlign w:val="center"/>
            <w:hideMark/>
          </w:tcPr>
          <w:p w:rsidR="00776BB9" w:rsidRPr="00C73365" w:rsidRDefault="00776BB9">
            <w:pPr>
              <w:rPr>
                <w:rFonts w:asciiTheme="minorHAnsi" w:hAnsiTheme="minorHAnsi" w:cstheme="minorHAnsi"/>
                <w:b/>
                <w:bCs/>
                <w:color w:val="000000"/>
                <w:szCs w:val="20"/>
              </w:rPr>
            </w:pPr>
          </w:p>
        </w:tc>
        <w:tc>
          <w:tcPr>
            <w:tcW w:w="1183" w:type="dxa"/>
            <w:tcBorders>
              <w:top w:val="nil"/>
              <w:left w:val="nil"/>
              <w:bottom w:val="single" w:sz="8" w:space="0" w:color="7030A0"/>
              <w:right w:val="nil"/>
            </w:tcBorders>
            <w:shd w:val="clear" w:color="auto" w:fill="auto"/>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 31/12/2017</w:t>
            </w:r>
          </w:p>
        </w:tc>
        <w:tc>
          <w:tcPr>
            <w:tcW w:w="1371" w:type="dxa"/>
            <w:tcBorders>
              <w:top w:val="nil"/>
              <w:left w:val="nil"/>
              <w:bottom w:val="single" w:sz="8" w:space="0" w:color="7030A0"/>
              <w:right w:val="nil"/>
            </w:tcBorders>
            <w:shd w:val="clear" w:color="auto" w:fill="auto"/>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Avances conditionnées</w:t>
            </w:r>
          </w:p>
        </w:tc>
        <w:tc>
          <w:tcPr>
            <w:tcW w:w="1113" w:type="dxa"/>
            <w:tcBorders>
              <w:top w:val="nil"/>
              <w:left w:val="nil"/>
              <w:bottom w:val="single" w:sz="8" w:space="0" w:color="7030A0"/>
              <w:right w:val="nil"/>
            </w:tcBorders>
            <w:shd w:val="clear" w:color="auto" w:fill="auto"/>
            <w:hideMark/>
          </w:tcPr>
          <w:p w:rsidR="00776BB9" w:rsidRPr="00C73365" w:rsidRDefault="00776BB9">
            <w:pPr>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Dettes financières</w:t>
            </w:r>
          </w:p>
        </w:tc>
      </w:tr>
      <w:tr w:rsidR="00776BB9" w:rsidRPr="00C73365" w:rsidTr="00793DCB">
        <w:trPr>
          <w:trHeight w:val="279"/>
        </w:trPr>
        <w:tc>
          <w:tcPr>
            <w:tcW w:w="1764" w:type="dxa"/>
            <w:tcBorders>
              <w:top w:val="nil"/>
              <w:left w:val="nil"/>
              <w:bottom w:val="nil"/>
              <w:right w:val="nil"/>
            </w:tcBorders>
            <w:shd w:val="clear" w:color="auto" w:fill="auto"/>
            <w:vAlign w:val="center"/>
            <w:hideMark/>
          </w:tcPr>
          <w:p w:rsidR="00776BB9" w:rsidRPr="00C73365" w:rsidRDefault="00776BB9">
            <w:pPr>
              <w:rPr>
                <w:rFonts w:asciiTheme="minorHAnsi" w:hAnsiTheme="minorHAnsi" w:cstheme="minorHAnsi"/>
                <w:color w:val="000000"/>
                <w:szCs w:val="20"/>
              </w:rPr>
            </w:pPr>
            <w:r w:rsidRPr="00C73365">
              <w:rPr>
                <w:rFonts w:asciiTheme="minorHAnsi" w:hAnsiTheme="minorHAnsi" w:cstheme="minorHAnsi"/>
                <w:color w:val="000000"/>
                <w:szCs w:val="20"/>
              </w:rPr>
              <w:t>BPI - CaReNA</w:t>
            </w:r>
            <w:r w:rsidRPr="00C73365">
              <w:rPr>
                <w:rFonts w:asciiTheme="minorHAnsi" w:hAnsiTheme="minorHAnsi" w:cstheme="minorHAnsi"/>
                <w:color w:val="7030A0"/>
                <w:sz w:val="18"/>
                <w:szCs w:val="18"/>
              </w:rPr>
              <w:t>*</w:t>
            </w:r>
          </w:p>
        </w:tc>
        <w:tc>
          <w:tcPr>
            <w:tcW w:w="1183" w:type="dxa"/>
            <w:tcBorders>
              <w:top w:val="nil"/>
              <w:left w:val="nil"/>
              <w:bottom w:val="nil"/>
              <w:right w:val="nil"/>
            </w:tcBorders>
            <w:shd w:val="clear" w:color="auto" w:fill="auto"/>
            <w:vAlign w:val="center"/>
            <w:hideMark/>
          </w:tcPr>
          <w:p w:rsidR="00776BB9" w:rsidRPr="00C73365" w:rsidRDefault="00FA41A3">
            <w:pPr>
              <w:jc w:val="right"/>
              <w:rPr>
                <w:rFonts w:asciiTheme="minorHAnsi" w:hAnsiTheme="minorHAnsi" w:cstheme="minorHAnsi"/>
                <w:color w:val="000000"/>
                <w:szCs w:val="20"/>
              </w:rPr>
            </w:pPr>
            <w:r w:rsidRPr="00C73365">
              <w:rPr>
                <w:rFonts w:asciiTheme="minorHAnsi" w:hAnsiTheme="minorHAnsi" w:cstheme="minorHAnsi"/>
                <w:color w:val="000000"/>
                <w:szCs w:val="20"/>
              </w:rPr>
              <w:t xml:space="preserve">2 </w:t>
            </w:r>
            <w:r w:rsidR="009D5152" w:rsidRPr="00C73365">
              <w:rPr>
                <w:rFonts w:asciiTheme="minorHAnsi" w:hAnsiTheme="minorHAnsi" w:cstheme="minorHAnsi"/>
                <w:color w:val="000000"/>
                <w:szCs w:val="20"/>
              </w:rPr>
              <w:t>269</w:t>
            </w:r>
          </w:p>
        </w:tc>
        <w:tc>
          <w:tcPr>
            <w:tcW w:w="896"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p>
        </w:tc>
        <w:tc>
          <w:tcPr>
            <w:tcW w:w="1285"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p>
        </w:tc>
        <w:tc>
          <w:tcPr>
            <w:tcW w:w="1183" w:type="dxa"/>
            <w:tcBorders>
              <w:top w:val="nil"/>
              <w:left w:val="nil"/>
              <w:bottom w:val="nil"/>
              <w:right w:val="nil"/>
            </w:tcBorders>
            <w:shd w:val="clear" w:color="auto" w:fill="auto"/>
            <w:vAlign w:val="center"/>
            <w:hideMark/>
          </w:tcPr>
          <w:p w:rsidR="00776BB9" w:rsidRPr="00C73365" w:rsidRDefault="009C56EA">
            <w:pPr>
              <w:jc w:val="right"/>
              <w:rPr>
                <w:rFonts w:asciiTheme="minorHAnsi" w:hAnsiTheme="minorHAnsi" w:cstheme="minorHAnsi"/>
                <w:color w:val="000000"/>
                <w:szCs w:val="20"/>
              </w:rPr>
            </w:pPr>
            <w:r w:rsidRPr="00C73365">
              <w:rPr>
                <w:rFonts w:asciiTheme="minorHAnsi" w:hAnsiTheme="minorHAnsi" w:cstheme="minorHAnsi"/>
                <w:color w:val="000000"/>
                <w:szCs w:val="20"/>
              </w:rPr>
              <w:t>2 300</w:t>
            </w:r>
          </w:p>
        </w:tc>
        <w:tc>
          <w:tcPr>
            <w:tcW w:w="1371" w:type="dxa"/>
            <w:tcBorders>
              <w:top w:val="nil"/>
              <w:left w:val="nil"/>
              <w:bottom w:val="nil"/>
              <w:right w:val="nil"/>
            </w:tcBorders>
            <w:shd w:val="clear" w:color="auto" w:fill="auto"/>
            <w:vAlign w:val="center"/>
            <w:hideMark/>
          </w:tcPr>
          <w:p w:rsidR="00776BB9" w:rsidRPr="00C73365" w:rsidRDefault="009C56EA">
            <w:pPr>
              <w:jc w:val="right"/>
              <w:rPr>
                <w:rFonts w:asciiTheme="minorHAnsi" w:hAnsiTheme="minorHAnsi" w:cstheme="minorHAnsi"/>
                <w:color w:val="000000"/>
                <w:szCs w:val="20"/>
              </w:rPr>
            </w:pPr>
            <w:r w:rsidRPr="00C73365">
              <w:rPr>
                <w:rFonts w:asciiTheme="minorHAnsi" w:hAnsiTheme="minorHAnsi" w:cstheme="minorHAnsi"/>
                <w:color w:val="000000"/>
                <w:szCs w:val="20"/>
              </w:rPr>
              <w:t>2 187</w:t>
            </w:r>
          </w:p>
        </w:tc>
        <w:tc>
          <w:tcPr>
            <w:tcW w:w="1113" w:type="dxa"/>
            <w:tcBorders>
              <w:top w:val="nil"/>
              <w:left w:val="nil"/>
              <w:bottom w:val="nil"/>
              <w:right w:val="nil"/>
            </w:tcBorders>
            <w:shd w:val="clear" w:color="auto" w:fill="auto"/>
            <w:vAlign w:val="center"/>
            <w:hideMark/>
          </w:tcPr>
          <w:p w:rsidR="00776BB9" w:rsidRPr="00C73365" w:rsidRDefault="009C56EA">
            <w:pPr>
              <w:jc w:val="right"/>
              <w:rPr>
                <w:rFonts w:asciiTheme="minorHAnsi" w:hAnsiTheme="minorHAnsi" w:cstheme="minorHAnsi"/>
                <w:color w:val="000000"/>
                <w:szCs w:val="20"/>
              </w:rPr>
            </w:pPr>
            <w:r w:rsidRPr="00C73365">
              <w:rPr>
                <w:rFonts w:asciiTheme="minorHAnsi" w:hAnsiTheme="minorHAnsi" w:cstheme="minorHAnsi"/>
                <w:color w:val="000000"/>
                <w:szCs w:val="20"/>
              </w:rPr>
              <w:t>113</w:t>
            </w:r>
          </w:p>
        </w:tc>
      </w:tr>
      <w:tr w:rsidR="00776BB9" w:rsidRPr="00C73365" w:rsidTr="00793DCB">
        <w:trPr>
          <w:trHeight w:val="279"/>
        </w:trPr>
        <w:tc>
          <w:tcPr>
            <w:tcW w:w="1764" w:type="dxa"/>
            <w:tcBorders>
              <w:top w:val="nil"/>
              <w:left w:val="nil"/>
              <w:bottom w:val="nil"/>
              <w:right w:val="nil"/>
            </w:tcBorders>
            <w:shd w:val="clear" w:color="auto" w:fill="auto"/>
            <w:vAlign w:val="center"/>
            <w:hideMark/>
          </w:tcPr>
          <w:p w:rsidR="00776BB9" w:rsidRPr="00C73365" w:rsidRDefault="00776BB9">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BPI A1006002G - nouveaux adjuvants vaccinaux</w:t>
            </w:r>
          </w:p>
        </w:tc>
        <w:tc>
          <w:tcPr>
            <w:tcW w:w="1183"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255</w:t>
            </w:r>
          </w:p>
        </w:tc>
        <w:tc>
          <w:tcPr>
            <w:tcW w:w="896"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p>
        </w:tc>
        <w:tc>
          <w:tcPr>
            <w:tcW w:w="1285"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85</w:t>
            </w:r>
          </w:p>
        </w:tc>
        <w:tc>
          <w:tcPr>
            <w:tcW w:w="1183"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1371"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p>
        </w:tc>
        <w:tc>
          <w:tcPr>
            <w:tcW w:w="1113"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r>
      <w:tr w:rsidR="00776BB9" w:rsidRPr="00C73365" w:rsidTr="00793DCB">
        <w:trPr>
          <w:trHeight w:val="279"/>
        </w:trPr>
        <w:tc>
          <w:tcPr>
            <w:tcW w:w="1764" w:type="dxa"/>
            <w:tcBorders>
              <w:top w:val="nil"/>
              <w:left w:val="nil"/>
              <w:bottom w:val="nil"/>
              <w:right w:val="nil"/>
            </w:tcBorders>
            <w:shd w:val="clear" w:color="auto" w:fill="auto"/>
            <w:vAlign w:val="center"/>
            <w:hideMark/>
          </w:tcPr>
          <w:p w:rsidR="00776BB9" w:rsidRPr="00C73365" w:rsidRDefault="00776BB9">
            <w:pPr>
              <w:rPr>
                <w:rFonts w:asciiTheme="minorHAnsi" w:hAnsiTheme="minorHAnsi" w:cstheme="minorHAnsi"/>
                <w:color w:val="000000"/>
                <w:szCs w:val="20"/>
              </w:rPr>
            </w:pPr>
            <w:r w:rsidRPr="00C73365">
              <w:rPr>
                <w:rFonts w:asciiTheme="minorHAnsi" w:hAnsiTheme="minorHAnsi" w:cstheme="minorHAnsi"/>
                <w:color w:val="000000"/>
                <w:szCs w:val="20"/>
              </w:rPr>
              <w:t>BPI - EBOLA</w:t>
            </w:r>
          </w:p>
        </w:tc>
        <w:tc>
          <w:tcPr>
            <w:tcW w:w="1183"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p>
        </w:tc>
        <w:tc>
          <w:tcPr>
            <w:tcW w:w="896"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285"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p>
        </w:tc>
        <w:tc>
          <w:tcPr>
            <w:tcW w:w="1183"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371"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113" w:type="dxa"/>
            <w:tcBorders>
              <w:top w:val="nil"/>
              <w:left w:val="nil"/>
              <w:bottom w:val="nil"/>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p>
        </w:tc>
      </w:tr>
      <w:tr w:rsidR="00776BB9" w:rsidRPr="00C73365" w:rsidTr="00793DCB">
        <w:trPr>
          <w:trHeight w:val="290"/>
        </w:trPr>
        <w:tc>
          <w:tcPr>
            <w:tcW w:w="1764" w:type="dxa"/>
            <w:tcBorders>
              <w:top w:val="nil"/>
              <w:left w:val="nil"/>
              <w:bottom w:val="single" w:sz="8" w:space="0" w:color="7030A0"/>
              <w:right w:val="nil"/>
            </w:tcBorders>
            <w:shd w:val="clear" w:color="auto" w:fill="auto"/>
            <w:vAlign w:val="center"/>
            <w:hideMark/>
          </w:tcPr>
          <w:p w:rsidR="00776BB9" w:rsidRPr="00C73365" w:rsidRDefault="00776BB9">
            <w:pPr>
              <w:rPr>
                <w:rFonts w:asciiTheme="minorHAnsi" w:hAnsiTheme="minorHAnsi" w:cstheme="minorHAnsi"/>
                <w:color w:val="000000"/>
                <w:szCs w:val="20"/>
              </w:rPr>
            </w:pPr>
            <w:r w:rsidRPr="00C73365">
              <w:rPr>
                <w:rFonts w:asciiTheme="minorHAnsi" w:hAnsiTheme="minorHAnsi" w:cstheme="minorHAnsi"/>
                <w:color w:val="000000"/>
                <w:szCs w:val="20"/>
              </w:rPr>
              <w:t>BPI - RNPVIR</w:t>
            </w:r>
          </w:p>
        </w:tc>
        <w:tc>
          <w:tcPr>
            <w:tcW w:w="1183"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96"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1 756</w:t>
            </w:r>
          </w:p>
        </w:tc>
        <w:tc>
          <w:tcPr>
            <w:tcW w:w="1285"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183"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1756</w:t>
            </w:r>
          </w:p>
        </w:tc>
        <w:tc>
          <w:tcPr>
            <w:tcW w:w="1371"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1756</w:t>
            </w:r>
          </w:p>
        </w:tc>
        <w:tc>
          <w:tcPr>
            <w:tcW w:w="1113"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776BB9" w:rsidRPr="00C73365" w:rsidTr="00793DCB">
        <w:trPr>
          <w:trHeight w:val="290"/>
        </w:trPr>
        <w:tc>
          <w:tcPr>
            <w:tcW w:w="1764" w:type="dxa"/>
            <w:tcBorders>
              <w:top w:val="nil"/>
              <w:left w:val="nil"/>
              <w:bottom w:val="single" w:sz="8" w:space="0" w:color="7030A0"/>
              <w:right w:val="nil"/>
            </w:tcBorders>
            <w:shd w:val="clear" w:color="auto" w:fill="auto"/>
            <w:vAlign w:val="center"/>
            <w:hideMark/>
          </w:tcPr>
          <w:p w:rsidR="00776BB9" w:rsidRPr="00C73365" w:rsidRDefault="00776BB9">
            <w:pPr>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183"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7030A0"/>
                <w:szCs w:val="20"/>
              </w:rPr>
            </w:pPr>
            <w:r w:rsidRPr="00C73365">
              <w:rPr>
                <w:rFonts w:asciiTheme="minorHAnsi" w:hAnsiTheme="minorHAnsi" w:cstheme="minorHAnsi"/>
                <w:color w:val="7030A0"/>
                <w:szCs w:val="20"/>
              </w:rPr>
              <w:t>2 524</w:t>
            </w:r>
          </w:p>
        </w:tc>
        <w:tc>
          <w:tcPr>
            <w:tcW w:w="896"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7030A0"/>
                <w:szCs w:val="20"/>
              </w:rPr>
            </w:pPr>
            <w:r w:rsidRPr="00C73365">
              <w:rPr>
                <w:rFonts w:asciiTheme="minorHAnsi" w:hAnsiTheme="minorHAnsi" w:cstheme="minorHAnsi"/>
                <w:color w:val="7030A0"/>
                <w:szCs w:val="20"/>
              </w:rPr>
              <w:t>2 087</w:t>
            </w:r>
          </w:p>
        </w:tc>
        <w:tc>
          <w:tcPr>
            <w:tcW w:w="1285"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7030A0"/>
                <w:szCs w:val="20"/>
              </w:rPr>
            </w:pPr>
            <w:r w:rsidRPr="00C73365">
              <w:rPr>
                <w:rFonts w:asciiTheme="minorHAnsi" w:hAnsiTheme="minorHAnsi" w:cstheme="minorHAnsi"/>
                <w:color w:val="7030A0"/>
                <w:szCs w:val="20"/>
              </w:rPr>
              <w:t>85</w:t>
            </w:r>
          </w:p>
        </w:tc>
        <w:tc>
          <w:tcPr>
            <w:tcW w:w="1183"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7030A0"/>
                <w:szCs w:val="20"/>
              </w:rPr>
            </w:pPr>
            <w:r w:rsidRPr="00C73365">
              <w:rPr>
                <w:rFonts w:asciiTheme="minorHAnsi" w:hAnsiTheme="minorHAnsi" w:cstheme="minorHAnsi"/>
                <w:color w:val="7030A0"/>
                <w:szCs w:val="20"/>
              </w:rPr>
              <w:t>4 526</w:t>
            </w:r>
          </w:p>
        </w:tc>
        <w:tc>
          <w:tcPr>
            <w:tcW w:w="1371"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7030A0"/>
                <w:szCs w:val="20"/>
              </w:rPr>
            </w:pPr>
            <w:r w:rsidRPr="00C73365">
              <w:rPr>
                <w:rFonts w:asciiTheme="minorHAnsi" w:hAnsiTheme="minorHAnsi" w:cstheme="minorHAnsi"/>
                <w:color w:val="7030A0"/>
                <w:szCs w:val="20"/>
              </w:rPr>
              <w:t xml:space="preserve">4 </w:t>
            </w:r>
            <w:r w:rsidR="00AF7F7C" w:rsidRPr="00C73365">
              <w:rPr>
                <w:rFonts w:asciiTheme="minorHAnsi" w:hAnsiTheme="minorHAnsi" w:cstheme="minorHAnsi"/>
                <w:color w:val="7030A0"/>
                <w:szCs w:val="20"/>
              </w:rPr>
              <w:t>254</w:t>
            </w:r>
          </w:p>
        </w:tc>
        <w:tc>
          <w:tcPr>
            <w:tcW w:w="1113" w:type="dxa"/>
            <w:tcBorders>
              <w:top w:val="nil"/>
              <w:left w:val="nil"/>
              <w:bottom w:val="single" w:sz="8" w:space="0" w:color="7030A0"/>
              <w:right w:val="nil"/>
            </w:tcBorders>
            <w:shd w:val="clear" w:color="auto" w:fill="auto"/>
            <w:vAlign w:val="center"/>
            <w:hideMark/>
          </w:tcPr>
          <w:p w:rsidR="00776BB9" w:rsidRPr="00C73365" w:rsidRDefault="00776BB9">
            <w:pPr>
              <w:jc w:val="right"/>
              <w:rPr>
                <w:rFonts w:asciiTheme="minorHAnsi" w:hAnsiTheme="minorHAnsi" w:cstheme="minorHAnsi"/>
                <w:color w:val="7030A0"/>
                <w:szCs w:val="20"/>
              </w:rPr>
            </w:pPr>
            <w:r w:rsidRPr="00C73365">
              <w:rPr>
                <w:rFonts w:asciiTheme="minorHAnsi" w:hAnsiTheme="minorHAnsi" w:cstheme="minorHAnsi"/>
                <w:color w:val="7030A0"/>
                <w:szCs w:val="20"/>
              </w:rPr>
              <w:t>170</w:t>
            </w:r>
          </w:p>
        </w:tc>
      </w:tr>
    </w:tbl>
    <w:p w:rsidR="00776BB9" w:rsidRPr="00C73365" w:rsidRDefault="009C56EA" w:rsidP="004572A0">
      <w:pPr>
        <w:pStyle w:val="BodyText"/>
        <w:rPr>
          <w:rFonts w:asciiTheme="minorHAnsi" w:hAnsiTheme="minorHAnsi" w:cstheme="minorHAnsi"/>
          <w:lang w:val="fr-FR" w:eastAsia="fr-FR"/>
        </w:rPr>
      </w:pPr>
      <w:r w:rsidRPr="00C73365">
        <w:rPr>
          <w:rFonts w:asciiTheme="minorHAnsi" w:hAnsiTheme="minorHAnsi" w:cstheme="minorHAnsi"/>
          <w:lang w:val="fr-FR"/>
        </w:rPr>
        <w:t xml:space="preserve">* : En 2016 : </w:t>
      </w:r>
      <w:r w:rsidR="009D5152" w:rsidRPr="00C73365">
        <w:rPr>
          <w:rFonts w:asciiTheme="minorHAnsi" w:hAnsiTheme="minorHAnsi" w:cstheme="minorHAnsi"/>
          <w:lang w:val="fr-FR"/>
        </w:rPr>
        <w:t xml:space="preserve">2269 </w:t>
      </w:r>
      <w:r w:rsidRPr="00C73365">
        <w:rPr>
          <w:rFonts w:asciiTheme="minorHAnsi" w:hAnsiTheme="minorHAnsi" w:cstheme="minorHAnsi"/>
          <w:lang w:val="fr-FR"/>
        </w:rPr>
        <w:t>€ comprends</w:t>
      </w:r>
      <w:r w:rsidR="009D5152" w:rsidRPr="00C73365">
        <w:rPr>
          <w:rFonts w:asciiTheme="minorHAnsi" w:hAnsiTheme="minorHAnsi" w:cstheme="minorHAnsi"/>
          <w:lang w:val="fr-FR"/>
        </w:rPr>
        <w:t xml:space="preserve"> les avances remboursables reçues par </w:t>
      </w:r>
      <w:r w:rsidR="00EF089C" w:rsidRPr="00C73365">
        <w:rPr>
          <w:rFonts w:asciiTheme="minorHAnsi" w:hAnsiTheme="minorHAnsi" w:cstheme="minorHAnsi"/>
          <w:lang w:val="fr-FR"/>
        </w:rPr>
        <w:t>ABIVAX</w:t>
      </w:r>
      <w:r w:rsidR="009D5152" w:rsidRPr="00C73365">
        <w:rPr>
          <w:rFonts w:asciiTheme="minorHAnsi" w:hAnsiTheme="minorHAnsi" w:cstheme="minorHAnsi"/>
          <w:lang w:val="fr-FR"/>
        </w:rPr>
        <w:t xml:space="preserve"> (</w:t>
      </w:r>
      <w:r w:rsidRPr="00C73365">
        <w:rPr>
          <w:rFonts w:asciiTheme="minorHAnsi" w:hAnsiTheme="minorHAnsi" w:cstheme="minorHAnsi"/>
          <w:lang w:val="fr-FR"/>
        </w:rPr>
        <w:t>2 187</w:t>
      </w:r>
      <w:r w:rsidR="00EF089C" w:rsidRPr="00C73365">
        <w:rPr>
          <w:rFonts w:asciiTheme="minorHAnsi" w:hAnsiTheme="minorHAnsi" w:cstheme="minorHAnsi"/>
          <w:lang w:val="fr-FR"/>
        </w:rPr>
        <w:t>K€</w:t>
      </w:r>
      <w:r w:rsidRPr="00C73365">
        <w:rPr>
          <w:rFonts w:asciiTheme="minorHAnsi" w:hAnsiTheme="minorHAnsi" w:cstheme="minorHAnsi"/>
          <w:lang w:val="fr-FR"/>
        </w:rPr>
        <w:t>)</w:t>
      </w:r>
      <w:r w:rsidR="009D5152" w:rsidRPr="00C73365">
        <w:rPr>
          <w:rFonts w:asciiTheme="minorHAnsi" w:hAnsiTheme="minorHAnsi" w:cstheme="minorHAnsi"/>
          <w:lang w:val="fr-FR"/>
        </w:rPr>
        <w:t xml:space="preserve"> et les </w:t>
      </w:r>
      <w:r w:rsidR="005C2F77" w:rsidRPr="00C73365">
        <w:rPr>
          <w:rFonts w:asciiTheme="minorHAnsi" w:hAnsiTheme="minorHAnsi" w:cstheme="minorHAnsi"/>
          <w:lang w:val="fr-FR" w:eastAsia="fr-FR"/>
        </w:rPr>
        <w:t xml:space="preserve">intérêts courus : </w:t>
      </w:r>
      <w:r w:rsidR="00FA41A3" w:rsidRPr="00C73365">
        <w:rPr>
          <w:rFonts w:asciiTheme="minorHAnsi" w:hAnsiTheme="minorHAnsi" w:cstheme="minorHAnsi"/>
          <w:lang w:val="fr-FR" w:eastAsia="fr-FR"/>
        </w:rPr>
        <w:t>21</w:t>
      </w:r>
      <w:r w:rsidR="00EF089C" w:rsidRPr="00C73365">
        <w:rPr>
          <w:rFonts w:asciiTheme="minorHAnsi" w:hAnsiTheme="minorHAnsi" w:cstheme="minorHAnsi"/>
          <w:lang w:val="fr-FR" w:eastAsia="fr-FR"/>
        </w:rPr>
        <w:t>K€</w:t>
      </w:r>
      <w:r w:rsidR="00776BB9" w:rsidRPr="00C73365">
        <w:rPr>
          <w:rFonts w:asciiTheme="minorHAnsi" w:hAnsiTheme="minorHAnsi" w:cstheme="minorHAnsi"/>
          <w:lang w:val="fr-FR" w:eastAsia="fr-FR"/>
        </w:rPr>
        <w:t xml:space="preserve"> </w:t>
      </w:r>
      <w:r w:rsidR="006B447F" w:rsidRPr="00C73365">
        <w:rPr>
          <w:rFonts w:asciiTheme="minorHAnsi" w:hAnsiTheme="minorHAnsi" w:cstheme="minorHAnsi"/>
          <w:lang w:val="fr-FR" w:eastAsia="fr-FR"/>
        </w:rPr>
        <w:t>d’intérêts</w:t>
      </w:r>
      <w:r w:rsidR="00CF771F" w:rsidRPr="00C73365">
        <w:rPr>
          <w:rFonts w:asciiTheme="minorHAnsi" w:hAnsiTheme="minorHAnsi" w:cstheme="minorHAnsi"/>
          <w:lang w:val="fr-FR" w:eastAsia="fr-FR"/>
        </w:rPr>
        <w:t xml:space="preserve"> courus</w:t>
      </w:r>
      <w:r w:rsidR="009D5152" w:rsidRPr="00C73365">
        <w:rPr>
          <w:rFonts w:asciiTheme="minorHAnsi" w:hAnsiTheme="minorHAnsi" w:cstheme="minorHAnsi"/>
          <w:lang w:val="fr-FR" w:eastAsia="fr-FR"/>
        </w:rPr>
        <w:t xml:space="preserve"> comptabilisé sur le compte 167 400 et </w:t>
      </w:r>
      <w:r w:rsidRPr="00C73365">
        <w:rPr>
          <w:rFonts w:asciiTheme="minorHAnsi" w:hAnsiTheme="minorHAnsi" w:cstheme="minorHAnsi"/>
          <w:lang w:val="fr-FR" w:eastAsia="fr-FR"/>
        </w:rPr>
        <w:t>61</w:t>
      </w:r>
      <w:r w:rsidR="00EF089C" w:rsidRPr="00C73365">
        <w:rPr>
          <w:rFonts w:asciiTheme="minorHAnsi" w:hAnsiTheme="minorHAnsi" w:cstheme="minorHAnsi"/>
          <w:lang w:val="fr-FR" w:eastAsia="fr-FR"/>
        </w:rPr>
        <w:t>K€</w:t>
      </w:r>
      <w:r w:rsidR="009D5152" w:rsidRPr="00C73365">
        <w:rPr>
          <w:rFonts w:asciiTheme="minorHAnsi" w:hAnsiTheme="minorHAnsi" w:cstheme="minorHAnsi"/>
          <w:lang w:val="fr-FR" w:eastAsia="fr-FR"/>
        </w:rPr>
        <w:t xml:space="preserve"> d’intérêts courus comptabilisés sur le compte 168 810 </w:t>
      </w:r>
      <w:r w:rsidRPr="00C73365">
        <w:rPr>
          <w:rFonts w:asciiTheme="minorHAnsi" w:hAnsiTheme="minorHAnsi" w:cstheme="minorHAnsi"/>
          <w:lang w:val="fr-FR" w:eastAsia="fr-FR"/>
        </w:rPr>
        <w:t>en 2016 (contre 92</w:t>
      </w:r>
      <w:r w:rsidR="00EF089C" w:rsidRPr="00C73365">
        <w:rPr>
          <w:rFonts w:asciiTheme="minorHAnsi" w:hAnsiTheme="minorHAnsi" w:cstheme="minorHAnsi"/>
          <w:lang w:val="fr-FR" w:eastAsia="fr-FR"/>
        </w:rPr>
        <w:t>K€</w:t>
      </w:r>
      <w:r w:rsidRPr="00C73365">
        <w:rPr>
          <w:rFonts w:asciiTheme="minorHAnsi" w:hAnsiTheme="minorHAnsi" w:cstheme="minorHAnsi"/>
          <w:lang w:val="fr-FR" w:eastAsia="fr-FR"/>
        </w:rPr>
        <w:t xml:space="preserve"> en 2017) </w:t>
      </w:r>
      <w:r w:rsidR="009D5152" w:rsidRPr="00C73365">
        <w:rPr>
          <w:rFonts w:asciiTheme="minorHAnsi" w:hAnsiTheme="minorHAnsi" w:cstheme="minorHAnsi"/>
          <w:lang w:val="fr-FR" w:eastAsia="fr-FR"/>
        </w:rPr>
        <w:t>soit 31k</w:t>
      </w:r>
      <w:r w:rsidRPr="00C73365">
        <w:rPr>
          <w:rFonts w:asciiTheme="minorHAnsi" w:hAnsiTheme="minorHAnsi" w:cstheme="minorHAnsi"/>
          <w:lang w:val="fr-FR" w:eastAsia="fr-FR"/>
        </w:rPr>
        <w:t>e</w:t>
      </w:r>
      <w:r w:rsidR="009D5152" w:rsidRPr="00C73365">
        <w:rPr>
          <w:rFonts w:asciiTheme="minorHAnsi" w:hAnsiTheme="minorHAnsi" w:cstheme="minorHAnsi"/>
          <w:lang w:val="fr-FR" w:eastAsia="fr-FR"/>
        </w:rPr>
        <w:t xml:space="preserve"> d’intérêts courus </w:t>
      </w:r>
      <w:r w:rsidRPr="00C73365">
        <w:rPr>
          <w:rFonts w:asciiTheme="minorHAnsi" w:hAnsiTheme="minorHAnsi" w:cstheme="minorHAnsi"/>
          <w:lang w:val="fr-FR" w:eastAsia="fr-FR"/>
        </w:rPr>
        <w:t xml:space="preserve">supplémentaires en </w:t>
      </w:r>
      <w:r w:rsidR="009D5152" w:rsidRPr="00C73365">
        <w:rPr>
          <w:rFonts w:asciiTheme="minorHAnsi" w:hAnsiTheme="minorHAnsi" w:cstheme="minorHAnsi"/>
          <w:lang w:val="fr-FR" w:eastAsia="fr-FR"/>
        </w:rPr>
        <w:t>2017</w:t>
      </w:r>
      <w:r w:rsidRPr="00C73365">
        <w:rPr>
          <w:rFonts w:asciiTheme="minorHAnsi" w:hAnsiTheme="minorHAnsi" w:cstheme="minorHAnsi"/>
          <w:lang w:val="fr-FR" w:eastAsia="fr-FR"/>
        </w:rPr>
        <w:t>, ce qui augmente le solde BPI-Carena à 2 300 € au 31/12/2017</w:t>
      </w:r>
      <w:r w:rsidR="009D5152" w:rsidRPr="00C73365">
        <w:rPr>
          <w:rFonts w:asciiTheme="minorHAnsi" w:hAnsiTheme="minorHAnsi" w:cstheme="minorHAnsi"/>
          <w:lang w:val="fr-FR" w:eastAsia="fr-FR"/>
        </w:rPr>
        <w:t>.</w:t>
      </w:r>
    </w:p>
    <w:bookmarkEnd w:id="368"/>
    <w:p w:rsidR="00776BB9" w:rsidRPr="00C73365" w:rsidRDefault="00776BB9" w:rsidP="004572A0">
      <w:pPr>
        <w:pStyle w:val="BodyText"/>
        <w:rPr>
          <w:rFonts w:asciiTheme="minorHAnsi" w:hAnsiTheme="minorHAnsi" w:cstheme="minorHAnsi"/>
          <w:b/>
          <w:lang w:val="fr-FR"/>
        </w:rPr>
      </w:pPr>
      <w:r w:rsidRPr="00C73365">
        <w:rPr>
          <w:rFonts w:asciiTheme="minorHAnsi" w:hAnsiTheme="minorHAnsi" w:cstheme="minorHAnsi"/>
          <w:b/>
          <w:lang w:val="fr-FR"/>
        </w:rPr>
        <w:t>Emprunts et dettes financières – Autres</w:t>
      </w:r>
    </w:p>
    <w:p w:rsidR="00776BB9" w:rsidRPr="00C73365" w:rsidRDefault="00776BB9"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31/12/2017, compte tenu des remboursements déjà effectués, il reste 170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de restant à rembourser sur le projet adjuvant (BPI A106002G)</w:t>
      </w:r>
      <w:r w:rsidR="00635502" w:rsidRPr="00C73365">
        <w:rPr>
          <w:rFonts w:asciiTheme="minorHAnsi" w:hAnsiTheme="minorHAnsi" w:cstheme="minorHAnsi"/>
          <w:lang w:val="fr-FR"/>
        </w:rPr>
        <w:t xml:space="preserve"> </w:t>
      </w:r>
      <w:r w:rsidR="00635502" w:rsidRPr="00C73365">
        <w:rPr>
          <w:rFonts w:asciiTheme="minorHAnsi" w:hAnsiTheme="minorHAnsi" w:cstheme="minorHAnsi"/>
          <w:color w:val="000000"/>
          <w:lang w:val="fr-FR"/>
        </w:rPr>
        <w:t xml:space="preserve">pour </w:t>
      </w:r>
      <w:r w:rsidR="00635502" w:rsidRPr="00C73365">
        <w:rPr>
          <w:rFonts w:asciiTheme="minorHAnsi" w:hAnsiTheme="minorHAnsi" w:cstheme="minorHAnsi"/>
          <w:lang w:val="fr-FR"/>
        </w:rPr>
        <w:t>un projet de développement de nouveaux adjuvants vaccinaux et évaluation clinique, en continuité avec le dossier A0805001G signé avec la société Wittycell en 2010.</w:t>
      </w:r>
    </w:p>
    <w:bookmarkEnd w:id="365"/>
    <w:p w:rsidR="00F46C7B" w:rsidRPr="00C73365" w:rsidRDefault="00F46C7B">
      <w:pPr>
        <w:rPr>
          <w:rFonts w:asciiTheme="minorHAnsi" w:hAnsiTheme="minorHAnsi" w:cstheme="minorHAnsi"/>
          <w:color w:val="000000" w:themeColor="text1"/>
          <w:szCs w:val="20"/>
          <w:lang w:val="fr-FR"/>
        </w:rPr>
      </w:pPr>
      <w:r w:rsidRPr="00C73365">
        <w:rPr>
          <w:rFonts w:asciiTheme="minorHAnsi" w:hAnsiTheme="minorHAnsi" w:cstheme="minorHAnsi"/>
          <w:color w:val="000000" w:themeColor="text1"/>
          <w:szCs w:val="20"/>
          <w:lang w:val="fr-FR"/>
        </w:rPr>
        <w:br w:type="page"/>
      </w:r>
    </w:p>
    <w:p w:rsidR="00F46C7B" w:rsidRPr="00C73365" w:rsidRDefault="00F46C7B" w:rsidP="007A1897">
      <w:pPr>
        <w:pStyle w:val="ConmainL1"/>
        <w:numPr>
          <w:ilvl w:val="0"/>
          <w:numId w:val="9"/>
        </w:numPr>
        <w:spacing w:after="120"/>
        <w:rPr>
          <w:rFonts w:asciiTheme="minorHAnsi" w:hAnsiTheme="minorHAnsi" w:cstheme="minorHAnsi"/>
          <w:lang w:val="fr-FR"/>
        </w:rPr>
      </w:pPr>
      <w:bookmarkStart w:id="369" w:name="_Toc474746871"/>
      <w:bookmarkStart w:id="370" w:name="_Toc478730331"/>
      <w:bookmarkStart w:id="371" w:name="_Toc478731123"/>
      <w:bookmarkStart w:id="372" w:name="_Toc479947077"/>
      <w:bookmarkStart w:id="373" w:name="_Toc478730332"/>
      <w:bookmarkStart w:id="374" w:name="_Toc478731124"/>
      <w:bookmarkStart w:id="375" w:name="_Toc479947078"/>
      <w:bookmarkStart w:id="376" w:name="_Toc478730333"/>
      <w:bookmarkStart w:id="377" w:name="_Toc478731125"/>
      <w:bookmarkStart w:id="378" w:name="_Toc479947079"/>
      <w:bookmarkStart w:id="379" w:name="_Toc478730334"/>
      <w:bookmarkStart w:id="380" w:name="_Toc478731126"/>
      <w:bookmarkStart w:id="381" w:name="_Toc479947080"/>
      <w:bookmarkStart w:id="382" w:name="_Toc478730335"/>
      <w:bookmarkStart w:id="383" w:name="_Toc478731127"/>
      <w:bookmarkStart w:id="384" w:name="_Toc479947081"/>
      <w:bookmarkStart w:id="385" w:name="_Toc478730336"/>
      <w:bookmarkStart w:id="386" w:name="_Toc478731128"/>
      <w:bookmarkStart w:id="387" w:name="_Toc479947082"/>
      <w:bookmarkStart w:id="388" w:name="_Toc478730337"/>
      <w:bookmarkStart w:id="389" w:name="_Toc478731129"/>
      <w:bookmarkStart w:id="390" w:name="_Toc479947083"/>
      <w:bookmarkStart w:id="391" w:name="_Toc478730338"/>
      <w:bookmarkStart w:id="392" w:name="_Toc478731130"/>
      <w:bookmarkStart w:id="393" w:name="_Toc479947084"/>
      <w:bookmarkStart w:id="394" w:name="_Toc478730339"/>
      <w:bookmarkStart w:id="395" w:name="_Toc478731131"/>
      <w:bookmarkStart w:id="396" w:name="_Toc479947085"/>
      <w:bookmarkStart w:id="397" w:name="_Toc478730340"/>
      <w:bookmarkStart w:id="398" w:name="_Toc478731132"/>
      <w:bookmarkStart w:id="399" w:name="_Toc479947086"/>
      <w:bookmarkStart w:id="400" w:name="_Toc478730341"/>
      <w:bookmarkStart w:id="401" w:name="_Toc478731133"/>
      <w:bookmarkStart w:id="402" w:name="_Toc479947087"/>
      <w:bookmarkStart w:id="403" w:name="_Toc478730342"/>
      <w:bookmarkStart w:id="404" w:name="_Toc478731134"/>
      <w:bookmarkStart w:id="405" w:name="_Toc479947088"/>
      <w:bookmarkStart w:id="406" w:name="_Toc478730343"/>
      <w:bookmarkStart w:id="407" w:name="_Toc478731135"/>
      <w:bookmarkStart w:id="408" w:name="_Toc479947089"/>
      <w:bookmarkStart w:id="409" w:name="_Toc478730344"/>
      <w:bookmarkStart w:id="410" w:name="_Toc478731136"/>
      <w:bookmarkStart w:id="411" w:name="_Toc479947090"/>
      <w:bookmarkStart w:id="412" w:name="_Toc478730345"/>
      <w:bookmarkStart w:id="413" w:name="_Toc478731137"/>
      <w:bookmarkStart w:id="414" w:name="_Toc479947091"/>
      <w:bookmarkStart w:id="415" w:name="_Toc478730346"/>
      <w:bookmarkStart w:id="416" w:name="_Toc478731138"/>
      <w:bookmarkStart w:id="417" w:name="_Toc479947092"/>
      <w:bookmarkStart w:id="418" w:name="_Toc478730347"/>
      <w:bookmarkStart w:id="419" w:name="_Toc478731139"/>
      <w:bookmarkStart w:id="420" w:name="_Toc479947093"/>
      <w:bookmarkStart w:id="421" w:name="_Toc478730348"/>
      <w:bookmarkStart w:id="422" w:name="_Toc478731140"/>
      <w:bookmarkStart w:id="423" w:name="_Toc479947094"/>
      <w:bookmarkStart w:id="424" w:name="_Toc478730437"/>
      <w:bookmarkStart w:id="425" w:name="_Toc478731229"/>
      <w:bookmarkStart w:id="426" w:name="_Toc479947183"/>
      <w:bookmarkStart w:id="427" w:name="_Toc478730438"/>
      <w:bookmarkStart w:id="428" w:name="_Toc478731230"/>
      <w:bookmarkStart w:id="429" w:name="_Toc479947184"/>
      <w:bookmarkStart w:id="430" w:name="_Toc478730439"/>
      <w:bookmarkStart w:id="431" w:name="_Toc478731231"/>
      <w:bookmarkStart w:id="432" w:name="_Toc479947185"/>
      <w:bookmarkStart w:id="433" w:name="_Toc478730440"/>
      <w:bookmarkStart w:id="434" w:name="_Toc478731232"/>
      <w:bookmarkStart w:id="435" w:name="_Toc479947186"/>
      <w:bookmarkStart w:id="436" w:name="_Toc478730441"/>
      <w:bookmarkStart w:id="437" w:name="_Toc478731233"/>
      <w:bookmarkStart w:id="438" w:name="_Toc479947187"/>
      <w:bookmarkStart w:id="439" w:name="_Toc478730442"/>
      <w:bookmarkStart w:id="440" w:name="_Toc478731234"/>
      <w:bookmarkStart w:id="441" w:name="_Toc479947188"/>
      <w:bookmarkStart w:id="442" w:name="_Toc478730443"/>
      <w:bookmarkStart w:id="443" w:name="_Toc478731235"/>
      <w:bookmarkStart w:id="444" w:name="_Toc479947189"/>
      <w:bookmarkStart w:id="445" w:name="_Toc478730444"/>
      <w:bookmarkStart w:id="446" w:name="_Toc478731236"/>
      <w:bookmarkStart w:id="447" w:name="_Toc479947190"/>
      <w:bookmarkStart w:id="448" w:name="_Toc478730445"/>
      <w:bookmarkStart w:id="449" w:name="_Toc478731237"/>
      <w:bookmarkStart w:id="450" w:name="_Toc479947191"/>
      <w:bookmarkStart w:id="451" w:name="_Toc478730446"/>
      <w:bookmarkStart w:id="452" w:name="_Toc478731238"/>
      <w:bookmarkStart w:id="453" w:name="_Toc479947192"/>
      <w:bookmarkStart w:id="454" w:name="_Toc478730447"/>
      <w:bookmarkStart w:id="455" w:name="_Toc478731239"/>
      <w:bookmarkStart w:id="456" w:name="_Toc479947193"/>
      <w:bookmarkStart w:id="457" w:name="_Toc478730448"/>
      <w:bookmarkStart w:id="458" w:name="_Toc478731240"/>
      <w:bookmarkStart w:id="459" w:name="_Toc479947194"/>
      <w:bookmarkStart w:id="460" w:name="_Toc478730449"/>
      <w:bookmarkStart w:id="461" w:name="_Toc478731241"/>
      <w:bookmarkStart w:id="462" w:name="_Toc479947195"/>
      <w:bookmarkStart w:id="463" w:name="_Toc478730487"/>
      <w:bookmarkStart w:id="464" w:name="_Toc478731279"/>
      <w:bookmarkStart w:id="465" w:name="_Toc479947233"/>
      <w:bookmarkStart w:id="466" w:name="_Toc478730488"/>
      <w:bookmarkStart w:id="467" w:name="_Toc478731280"/>
      <w:bookmarkStart w:id="468" w:name="_Toc479947234"/>
      <w:bookmarkStart w:id="469" w:name="_Toc478730489"/>
      <w:bookmarkStart w:id="470" w:name="_Toc478731281"/>
      <w:bookmarkStart w:id="471" w:name="_Toc479947235"/>
      <w:bookmarkStart w:id="472" w:name="_Toc478730490"/>
      <w:bookmarkStart w:id="473" w:name="_Toc478731282"/>
      <w:bookmarkStart w:id="474" w:name="_Toc479947236"/>
      <w:bookmarkStart w:id="475" w:name="_Toc478730491"/>
      <w:bookmarkStart w:id="476" w:name="_Toc478731283"/>
      <w:bookmarkStart w:id="477" w:name="_Toc479947237"/>
      <w:bookmarkStart w:id="478" w:name="_Toc478730585"/>
      <w:bookmarkStart w:id="479" w:name="_Toc478731377"/>
      <w:bookmarkStart w:id="480" w:name="_Toc479947331"/>
      <w:bookmarkStart w:id="481" w:name="_Toc478730586"/>
      <w:bookmarkStart w:id="482" w:name="_Toc478731378"/>
      <w:bookmarkStart w:id="483" w:name="_Toc479947332"/>
      <w:bookmarkStart w:id="484" w:name="_Toc478730587"/>
      <w:bookmarkStart w:id="485" w:name="_Toc478731379"/>
      <w:bookmarkStart w:id="486" w:name="_Toc479947333"/>
      <w:bookmarkStart w:id="487" w:name="_Toc478730588"/>
      <w:bookmarkStart w:id="488" w:name="_Toc478731380"/>
      <w:bookmarkStart w:id="489" w:name="_Toc479947334"/>
      <w:bookmarkStart w:id="490" w:name="_Toc478730589"/>
      <w:bookmarkStart w:id="491" w:name="_Toc478731381"/>
      <w:bookmarkStart w:id="492" w:name="_Toc479947335"/>
      <w:bookmarkStart w:id="493" w:name="_Toc478730590"/>
      <w:bookmarkStart w:id="494" w:name="_Toc478731382"/>
      <w:bookmarkStart w:id="495" w:name="_Toc479947336"/>
      <w:bookmarkStart w:id="496" w:name="_Toc478730591"/>
      <w:bookmarkStart w:id="497" w:name="_Toc478731383"/>
      <w:bookmarkStart w:id="498" w:name="_Toc479947337"/>
      <w:bookmarkStart w:id="499" w:name="_Toc478730592"/>
      <w:bookmarkStart w:id="500" w:name="_Toc478731384"/>
      <w:bookmarkStart w:id="501" w:name="_Toc479947338"/>
      <w:bookmarkStart w:id="502" w:name="_Toc478730593"/>
      <w:bookmarkStart w:id="503" w:name="_Toc478731385"/>
      <w:bookmarkStart w:id="504" w:name="_Toc479947339"/>
      <w:bookmarkStart w:id="505" w:name="_Toc478730594"/>
      <w:bookmarkStart w:id="506" w:name="_Toc478731386"/>
      <w:bookmarkStart w:id="507" w:name="_Toc479947340"/>
      <w:bookmarkStart w:id="508" w:name="_Toc478730595"/>
      <w:bookmarkStart w:id="509" w:name="_Toc478731387"/>
      <w:bookmarkStart w:id="510" w:name="_Toc479947341"/>
      <w:bookmarkStart w:id="511" w:name="_Toc478730596"/>
      <w:bookmarkStart w:id="512" w:name="_Toc478731388"/>
      <w:bookmarkStart w:id="513" w:name="_Toc479947342"/>
      <w:bookmarkStart w:id="514" w:name="_Toc478730597"/>
      <w:bookmarkStart w:id="515" w:name="_Toc478731389"/>
      <w:bookmarkStart w:id="516" w:name="_Toc479947343"/>
      <w:bookmarkStart w:id="517" w:name="_Toc478730598"/>
      <w:bookmarkStart w:id="518" w:name="_Toc478731390"/>
      <w:bookmarkStart w:id="519" w:name="_Toc479947344"/>
      <w:bookmarkStart w:id="520" w:name="_Toc478730599"/>
      <w:bookmarkStart w:id="521" w:name="_Toc478731391"/>
      <w:bookmarkStart w:id="522" w:name="_Toc479947345"/>
      <w:bookmarkStart w:id="523" w:name="_Toc478730600"/>
      <w:bookmarkStart w:id="524" w:name="_Toc478731392"/>
      <w:bookmarkStart w:id="525" w:name="_Toc479947346"/>
      <w:bookmarkStart w:id="526" w:name="_Toc478730601"/>
      <w:bookmarkStart w:id="527" w:name="_Toc478731393"/>
      <w:bookmarkStart w:id="528" w:name="_Toc479947347"/>
      <w:bookmarkStart w:id="529" w:name="_Toc478730602"/>
      <w:bookmarkStart w:id="530" w:name="_Toc478731394"/>
      <w:bookmarkStart w:id="531" w:name="_Toc479947348"/>
      <w:bookmarkStart w:id="532" w:name="_Toc478730603"/>
      <w:bookmarkStart w:id="533" w:name="_Toc478731395"/>
      <w:bookmarkStart w:id="534" w:name="_Toc479947349"/>
      <w:bookmarkStart w:id="535" w:name="_Toc478730632"/>
      <w:bookmarkStart w:id="536" w:name="_Toc478731424"/>
      <w:bookmarkStart w:id="537" w:name="_Toc479947378"/>
      <w:bookmarkStart w:id="538" w:name="_Toc478730633"/>
      <w:bookmarkStart w:id="539" w:name="_Toc478731425"/>
      <w:bookmarkStart w:id="540" w:name="_Toc479947379"/>
      <w:bookmarkStart w:id="541" w:name="_Toc478730634"/>
      <w:bookmarkStart w:id="542" w:name="_Toc478731426"/>
      <w:bookmarkStart w:id="543" w:name="_Toc479947380"/>
      <w:bookmarkStart w:id="544" w:name="_Toc478730635"/>
      <w:bookmarkStart w:id="545" w:name="_Toc478731427"/>
      <w:bookmarkStart w:id="546" w:name="_Toc479947381"/>
      <w:bookmarkStart w:id="547" w:name="_Toc478730636"/>
      <w:bookmarkStart w:id="548" w:name="_Toc478731428"/>
      <w:bookmarkStart w:id="549" w:name="_Toc479947382"/>
      <w:bookmarkStart w:id="550" w:name="_Toc478730637"/>
      <w:bookmarkStart w:id="551" w:name="_Toc478731429"/>
      <w:bookmarkStart w:id="552" w:name="_Toc479947383"/>
      <w:bookmarkStart w:id="553" w:name="_Toc478730638"/>
      <w:bookmarkStart w:id="554" w:name="_Toc478731430"/>
      <w:bookmarkStart w:id="555" w:name="_Toc479947384"/>
      <w:bookmarkStart w:id="556" w:name="_Toc478730639"/>
      <w:bookmarkStart w:id="557" w:name="_Toc478731431"/>
      <w:bookmarkStart w:id="558" w:name="_Toc479947385"/>
      <w:bookmarkStart w:id="559" w:name="_Toc478730640"/>
      <w:bookmarkStart w:id="560" w:name="_Toc478731432"/>
      <w:bookmarkStart w:id="561" w:name="_Toc479947386"/>
      <w:bookmarkStart w:id="562" w:name="_Toc478730641"/>
      <w:bookmarkStart w:id="563" w:name="_Toc478731433"/>
      <w:bookmarkStart w:id="564" w:name="_Toc479947387"/>
      <w:bookmarkStart w:id="565" w:name="_Toc478730642"/>
      <w:bookmarkStart w:id="566" w:name="_Toc478731434"/>
      <w:bookmarkStart w:id="567" w:name="_Toc479947388"/>
      <w:bookmarkStart w:id="568" w:name="_Toc478730643"/>
      <w:bookmarkStart w:id="569" w:name="_Toc478731435"/>
      <w:bookmarkStart w:id="570" w:name="_Toc479947389"/>
      <w:bookmarkStart w:id="571" w:name="_Toc478730644"/>
      <w:bookmarkStart w:id="572" w:name="_Toc478731436"/>
      <w:bookmarkStart w:id="573" w:name="_Toc479947390"/>
      <w:bookmarkStart w:id="574" w:name="_Toc478730645"/>
      <w:bookmarkStart w:id="575" w:name="_Toc478731437"/>
      <w:bookmarkStart w:id="576" w:name="_Toc479947391"/>
      <w:bookmarkStart w:id="577" w:name="_Toc478730646"/>
      <w:bookmarkStart w:id="578" w:name="_Toc478731438"/>
      <w:bookmarkStart w:id="579" w:name="_Toc479947392"/>
      <w:bookmarkStart w:id="580" w:name="_Toc478730647"/>
      <w:bookmarkStart w:id="581" w:name="_Toc478731439"/>
      <w:bookmarkStart w:id="582" w:name="_Toc479947393"/>
      <w:bookmarkStart w:id="583" w:name="_Toc478730648"/>
      <w:bookmarkStart w:id="584" w:name="_Toc478731440"/>
      <w:bookmarkStart w:id="585" w:name="_Toc479947394"/>
      <w:bookmarkStart w:id="586" w:name="_Toc478730681"/>
      <w:bookmarkStart w:id="587" w:name="_Toc478731473"/>
      <w:bookmarkStart w:id="588" w:name="_Toc479947427"/>
      <w:bookmarkStart w:id="589" w:name="_Toc478730682"/>
      <w:bookmarkStart w:id="590" w:name="_Toc478731474"/>
      <w:bookmarkStart w:id="591" w:name="_Toc479947428"/>
      <w:bookmarkStart w:id="592" w:name="_Toc478730683"/>
      <w:bookmarkStart w:id="593" w:name="_Toc478731475"/>
      <w:bookmarkStart w:id="594" w:name="_Toc479947429"/>
      <w:bookmarkStart w:id="595" w:name="_Toc478730684"/>
      <w:bookmarkStart w:id="596" w:name="_Toc478731476"/>
      <w:bookmarkStart w:id="597" w:name="_Toc479947430"/>
      <w:bookmarkStart w:id="598" w:name="_Toc478730685"/>
      <w:bookmarkStart w:id="599" w:name="_Toc478731477"/>
      <w:bookmarkStart w:id="600" w:name="_Toc479947431"/>
      <w:bookmarkStart w:id="601" w:name="_Toc478730686"/>
      <w:bookmarkStart w:id="602" w:name="_Toc478731478"/>
      <w:bookmarkStart w:id="603" w:name="_Toc479947432"/>
      <w:bookmarkStart w:id="604" w:name="_Toc478730763"/>
      <w:bookmarkStart w:id="605" w:name="_Toc478731555"/>
      <w:bookmarkStart w:id="606" w:name="_Toc479947509"/>
      <w:bookmarkStart w:id="607" w:name="_Toc478730764"/>
      <w:bookmarkStart w:id="608" w:name="_Toc478731556"/>
      <w:bookmarkStart w:id="609" w:name="_Toc479947510"/>
      <w:bookmarkStart w:id="610" w:name="_Toc478730765"/>
      <w:bookmarkStart w:id="611" w:name="_Toc478731557"/>
      <w:bookmarkStart w:id="612" w:name="_Toc479947511"/>
      <w:bookmarkStart w:id="613" w:name="_Toc478730766"/>
      <w:bookmarkStart w:id="614" w:name="_Toc478731558"/>
      <w:bookmarkStart w:id="615" w:name="_Toc479947512"/>
      <w:bookmarkStart w:id="616" w:name="_Toc478730767"/>
      <w:bookmarkStart w:id="617" w:name="_Toc478731559"/>
      <w:bookmarkStart w:id="618" w:name="_Toc479947513"/>
      <w:bookmarkStart w:id="619" w:name="_Toc478730768"/>
      <w:bookmarkStart w:id="620" w:name="_Toc478731560"/>
      <w:bookmarkStart w:id="621" w:name="_Toc479947514"/>
      <w:bookmarkStart w:id="622" w:name="_Toc478730769"/>
      <w:bookmarkStart w:id="623" w:name="_Toc478731561"/>
      <w:bookmarkStart w:id="624" w:name="_Toc479947515"/>
      <w:bookmarkStart w:id="625" w:name="_Toc478730868"/>
      <w:bookmarkStart w:id="626" w:name="_Toc478731660"/>
      <w:bookmarkStart w:id="627" w:name="_Toc479947614"/>
      <w:bookmarkStart w:id="628" w:name="_Toc478730869"/>
      <w:bookmarkStart w:id="629" w:name="_Toc478731661"/>
      <w:bookmarkStart w:id="630" w:name="_Toc479947615"/>
      <w:bookmarkStart w:id="631" w:name="_Toc478730870"/>
      <w:bookmarkStart w:id="632" w:name="_Toc478731662"/>
      <w:bookmarkStart w:id="633" w:name="_Toc479947616"/>
      <w:bookmarkStart w:id="634" w:name="_Toc478730871"/>
      <w:bookmarkStart w:id="635" w:name="_Toc478731663"/>
      <w:bookmarkStart w:id="636" w:name="_Toc479947617"/>
      <w:bookmarkStart w:id="637" w:name="_Toc478730872"/>
      <w:bookmarkStart w:id="638" w:name="_Toc478731664"/>
      <w:bookmarkStart w:id="639" w:name="_Toc479947618"/>
      <w:bookmarkStart w:id="640" w:name="_Toc478730873"/>
      <w:bookmarkStart w:id="641" w:name="_Toc478731665"/>
      <w:bookmarkStart w:id="642" w:name="_Toc479947619"/>
      <w:bookmarkStart w:id="643" w:name="_Toc478730874"/>
      <w:bookmarkStart w:id="644" w:name="_Toc478731666"/>
      <w:bookmarkStart w:id="645" w:name="_Toc479947620"/>
      <w:bookmarkStart w:id="646" w:name="_Toc478730875"/>
      <w:bookmarkStart w:id="647" w:name="_Toc478731667"/>
      <w:bookmarkStart w:id="648" w:name="_Toc479947621"/>
      <w:bookmarkStart w:id="649" w:name="_Toc478730876"/>
      <w:bookmarkStart w:id="650" w:name="_Toc478731668"/>
      <w:bookmarkStart w:id="651" w:name="_Toc479947622"/>
      <w:bookmarkStart w:id="652" w:name="_Toc478730877"/>
      <w:bookmarkStart w:id="653" w:name="_Toc478731669"/>
      <w:bookmarkStart w:id="654" w:name="_Toc479947623"/>
      <w:bookmarkStart w:id="655" w:name="_Toc478730878"/>
      <w:bookmarkStart w:id="656" w:name="_Toc478731670"/>
      <w:bookmarkStart w:id="657" w:name="_Toc479947624"/>
      <w:bookmarkStart w:id="658" w:name="_Toc478730879"/>
      <w:bookmarkStart w:id="659" w:name="_Toc478731671"/>
      <w:bookmarkStart w:id="660" w:name="_Toc479947625"/>
      <w:bookmarkStart w:id="661" w:name="_Toc478730880"/>
      <w:bookmarkStart w:id="662" w:name="_Toc478731672"/>
      <w:bookmarkStart w:id="663" w:name="_Toc479947626"/>
      <w:bookmarkStart w:id="664" w:name="_Toc478730881"/>
      <w:bookmarkStart w:id="665" w:name="_Toc478731673"/>
      <w:bookmarkStart w:id="666" w:name="_Toc479947627"/>
      <w:bookmarkStart w:id="667" w:name="_Toc462673251"/>
      <w:bookmarkStart w:id="668" w:name="_Toc467835598"/>
      <w:bookmarkStart w:id="669" w:name="_Toc512863913"/>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r w:rsidRPr="00C73365">
        <w:rPr>
          <w:rFonts w:asciiTheme="minorHAnsi" w:hAnsiTheme="minorHAnsi" w:cstheme="minorHAnsi"/>
          <w:lang w:val="fr-FR"/>
        </w:rPr>
        <w:lastRenderedPageBreak/>
        <w:t>TRESORERIE ET CAPITAUX</w:t>
      </w:r>
      <w:bookmarkEnd w:id="667"/>
      <w:bookmarkEnd w:id="668"/>
      <w:bookmarkEnd w:id="669"/>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670" w:name="_Toc462673252"/>
      <w:bookmarkStart w:id="671" w:name="_Toc467835599"/>
      <w:bookmarkStart w:id="672" w:name="_Toc512863914"/>
      <w:r w:rsidRPr="00C73365">
        <w:rPr>
          <w:rFonts w:asciiTheme="minorHAnsi" w:hAnsiTheme="minorHAnsi" w:cstheme="minorHAnsi"/>
          <w:sz w:val="22"/>
          <w:szCs w:val="22"/>
          <w:lang w:val="fr-FR"/>
        </w:rPr>
        <w:t>Informations sur les capitaux de la Société</w:t>
      </w:r>
      <w:bookmarkEnd w:id="670"/>
      <w:bookmarkEnd w:id="671"/>
      <w:bookmarkEnd w:id="672"/>
    </w:p>
    <w:p w:rsidR="00F46C7B" w:rsidRPr="00C73365" w:rsidRDefault="00F46C7B" w:rsidP="007A1897">
      <w:pPr>
        <w:rPr>
          <w:rFonts w:asciiTheme="minorHAnsi" w:hAnsiTheme="minorHAnsi" w:cstheme="minorHAnsi"/>
          <w:lang w:val="fr-FR"/>
        </w:rPr>
      </w:pPr>
    </w:p>
    <w:tbl>
      <w:tblPr>
        <w:tblW w:w="9668" w:type="dxa"/>
        <w:tblLook w:val="04A0" w:firstRow="1" w:lastRow="0" w:firstColumn="1" w:lastColumn="0" w:noHBand="0" w:noVBand="1"/>
      </w:tblPr>
      <w:tblGrid>
        <w:gridCol w:w="4112"/>
        <w:gridCol w:w="1033"/>
        <w:gridCol w:w="888"/>
        <w:gridCol w:w="888"/>
        <w:gridCol w:w="888"/>
        <w:gridCol w:w="971"/>
        <w:gridCol w:w="888"/>
      </w:tblGrid>
      <w:tr w:rsidR="003505F2" w:rsidRPr="00C73365" w:rsidTr="00C50FC3">
        <w:trPr>
          <w:trHeight w:val="983"/>
        </w:trPr>
        <w:tc>
          <w:tcPr>
            <w:tcW w:w="4112" w:type="dxa"/>
            <w:tcBorders>
              <w:top w:val="single" w:sz="12" w:space="0" w:color="7030A0"/>
              <w:left w:val="nil"/>
              <w:bottom w:val="single" w:sz="8" w:space="0" w:color="7030A0"/>
              <w:right w:val="nil"/>
            </w:tcBorders>
            <w:shd w:val="clear" w:color="auto" w:fill="auto"/>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033" w:type="dxa"/>
            <w:tcBorders>
              <w:top w:val="single" w:sz="12"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b/>
                <w:bCs/>
                <w:color w:val="000000"/>
                <w:szCs w:val="20"/>
              </w:rPr>
            </w:pPr>
            <w:r w:rsidRPr="00C73365">
              <w:rPr>
                <w:rFonts w:asciiTheme="minorHAnsi" w:hAnsiTheme="minorHAnsi" w:cstheme="minorHAnsi"/>
                <w:b/>
                <w:bCs/>
                <w:color w:val="000000"/>
                <w:szCs w:val="20"/>
              </w:rPr>
              <w:t>Nombre d’actions émises</w:t>
            </w:r>
          </w:p>
        </w:tc>
        <w:tc>
          <w:tcPr>
            <w:tcW w:w="888" w:type="dxa"/>
            <w:tcBorders>
              <w:top w:val="single" w:sz="12"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b/>
                <w:bCs/>
                <w:color w:val="000000"/>
                <w:szCs w:val="20"/>
              </w:rPr>
            </w:pPr>
            <w:r w:rsidRPr="00C73365">
              <w:rPr>
                <w:rFonts w:asciiTheme="minorHAnsi" w:hAnsiTheme="minorHAnsi" w:cstheme="minorHAnsi"/>
                <w:b/>
                <w:bCs/>
                <w:color w:val="000000"/>
                <w:szCs w:val="20"/>
              </w:rPr>
              <w:t>Capital</w:t>
            </w:r>
          </w:p>
        </w:tc>
        <w:tc>
          <w:tcPr>
            <w:tcW w:w="888" w:type="dxa"/>
            <w:tcBorders>
              <w:top w:val="single" w:sz="12"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b/>
                <w:bCs/>
                <w:color w:val="000000"/>
                <w:szCs w:val="20"/>
              </w:rPr>
            </w:pPr>
            <w:r w:rsidRPr="00C73365">
              <w:rPr>
                <w:rFonts w:asciiTheme="minorHAnsi" w:hAnsiTheme="minorHAnsi" w:cstheme="minorHAnsi"/>
                <w:b/>
                <w:bCs/>
                <w:color w:val="000000"/>
                <w:szCs w:val="20"/>
              </w:rPr>
              <w:t>Primes</w:t>
            </w:r>
          </w:p>
        </w:tc>
        <w:tc>
          <w:tcPr>
            <w:tcW w:w="888" w:type="dxa"/>
            <w:tcBorders>
              <w:top w:val="single" w:sz="12"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b/>
                <w:bCs/>
                <w:color w:val="000000"/>
                <w:szCs w:val="20"/>
              </w:rPr>
            </w:pPr>
            <w:r w:rsidRPr="00C73365">
              <w:rPr>
                <w:rFonts w:asciiTheme="minorHAnsi" w:hAnsiTheme="minorHAnsi" w:cstheme="minorHAnsi"/>
                <w:b/>
                <w:bCs/>
                <w:color w:val="000000"/>
                <w:szCs w:val="20"/>
              </w:rPr>
              <w:t>BSA</w:t>
            </w:r>
          </w:p>
        </w:tc>
        <w:tc>
          <w:tcPr>
            <w:tcW w:w="971" w:type="dxa"/>
            <w:tcBorders>
              <w:top w:val="single" w:sz="12"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b/>
                <w:bCs/>
                <w:color w:val="000000"/>
                <w:szCs w:val="20"/>
              </w:rPr>
            </w:pPr>
            <w:r w:rsidRPr="00C73365">
              <w:rPr>
                <w:rFonts w:asciiTheme="minorHAnsi" w:hAnsiTheme="minorHAnsi" w:cstheme="minorHAnsi"/>
                <w:b/>
                <w:bCs/>
                <w:color w:val="000000"/>
                <w:szCs w:val="20"/>
              </w:rPr>
              <w:t>Report à nouveau</w:t>
            </w:r>
          </w:p>
        </w:tc>
        <w:tc>
          <w:tcPr>
            <w:tcW w:w="888" w:type="dxa"/>
            <w:tcBorders>
              <w:top w:val="single" w:sz="12"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b/>
                <w:bCs/>
                <w:color w:val="000000"/>
                <w:szCs w:val="20"/>
              </w:rPr>
            </w:pPr>
            <w:r w:rsidRPr="00C73365">
              <w:rPr>
                <w:rFonts w:asciiTheme="minorHAnsi" w:hAnsiTheme="minorHAnsi" w:cstheme="minorHAnsi"/>
                <w:b/>
                <w:bCs/>
                <w:color w:val="000000"/>
                <w:szCs w:val="20"/>
              </w:rPr>
              <w:t>TOTAL</w:t>
            </w:r>
          </w:p>
        </w:tc>
      </w:tr>
      <w:tr w:rsidR="003505F2" w:rsidRPr="00C73365" w:rsidTr="00C50FC3">
        <w:trPr>
          <w:trHeight w:val="346"/>
        </w:trPr>
        <w:tc>
          <w:tcPr>
            <w:tcW w:w="4112" w:type="dxa"/>
            <w:tcBorders>
              <w:top w:val="nil"/>
              <w:left w:val="nil"/>
              <w:bottom w:val="single" w:sz="8" w:space="0" w:color="7030A0"/>
              <w:right w:val="nil"/>
            </w:tcBorders>
            <w:shd w:val="clear" w:color="auto" w:fill="auto"/>
            <w:noWrap/>
            <w:vAlign w:val="center"/>
            <w:hideMark/>
          </w:tcPr>
          <w:p w:rsidR="003505F2" w:rsidRPr="00C73365" w:rsidRDefault="003505F2" w:rsidP="007A1897">
            <w:pPr>
              <w:rPr>
                <w:rFonts w:asciiTheme="minorHAnsi" w:hAnsiTheme="minorHAnsi" w:cstheme="minorHAnsi"/>
                <w:color w:val="7030A0"/>
                <w:szCs w:val="20"/>
              </w:rPr>
            </w:pPr>
            <w:r w:rsidRPr="00C73365">
              <w:rPr>
                <w:rFonts w:asciiTheme="minorHAnsi" w:hAnsiTheme="minorHAnsi" w:cstheme="minorHAnsi"/>
                <w:color w:val="7030A0"/>
                <w:szCs w:val="20"/>
              </w:rPr>
              <w:t>Au 31 décembre 2014</w:t>
            </w:r>
          </w:p>
        </w:tc>
        <w:tc>
          <w:tcPr>
            <w:tcW w:w="1033"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69 150</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69</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35 674</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0</w:t>
            </w:r>
          </w:p>
        </w:tc>
        <w:tc>
          <w:tcPr>
            <w:tcW w:w="971"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-5 091</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30 653</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Division du nominal - AGM 20 Février 2015</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6 915 000</w:t>
            </w: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szCs w:val="20"/>
              </w:rPr>
            </w:pP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 CA 23 Juin 2015</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2 707 089</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27</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57 634</w:t>
            </w: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57 661</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Frais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émission</w:t>
            </w:r>
          </w:p>
        </w:tc>
        <w:tc>
          <w:tcPr>
            <w:tcW w:w="1033" w:type="dxa"/>
            <w:tcBorders>
              <w:top w:val="nil"/>
              <w:left w:val="nil"/>
              <w:bottom w:val="nil"/>
              <w:right w:val="nil"/>
            </w:tcBorders>
            <w:shd w:val="clear" w:color="auto" w:fill="auto"/>
            <w:noWrap/>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-3 774</w:t>
            </w: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-3 774</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par exercice de BCE</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74 800</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w:t>
            </w: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Emission de BSA</w:t>
            </w:r>
          </w:p>
        </w:tc>
        <w:tc>
          <w:tcPr>
            <w:tcW w:w="1033" w:type="dxa"/>
            <w:tcBorders>
              <w:top w:val="nil"/>
              <w:left w:val="nil"/>
              <w:bottom w:val="nil"/>
              <w:right w:val="nil"/>
            </w:tcBorders>
            <w:shd w:val="clear" w:color="auto" w:fill="auto"/>
            <w:noWrap/>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173</w:t>
            </w: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173</w:t>
            </w:r>
          </w:p>
        </w:tc>
      </w:tr>
      <w:tr w:rsidR="003505F2" w:rsidRPr="00C73365" w:rsidTr="00C50FC3">
        <w:trPr>
          <w:trHeight w:val="346"/>
        </w:trPr>
        <w:tc>
          <w:tcPr>
            <w:tcW w:w="4112" w:type="dxa"/>
            <w:tcBorders>
              <w:top w:val="nil"/>
              <w:left w:val="nil"/>
              <w:bottom w:val="single" w:sz="8" w:space="0" w:color="7030A0"/>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Perte 2015</w:t>
            </w:r>
          </w:p>
        </w:tc>
        <w:tc>
          <w:tcPr>
            <w:tcW w:w="1033"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71"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-15 954</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-15 954</w:t>
            </w:r>
          </w:p>
        </w:tc>
      </w:tr>
      <w:tr w:rsidR="003505F2" w:rsidRPr="00C73365" w:rsidTr="00C50FC3">
        <w:trPr>
          <w:trHeight w:val="346"/>
        </w:trPr>
        <w:tc>
          <w:tcPr>
            <w:tcW w:w="4112" w:type="dxa"/>
            <w:tcBorders>
              <w:top w:val="nil"/>
              <w:left w:val="nil"/>
              <w:bottom w:val="single" w:sz="8" w:space="0" w:color="7030A0"/>
              <w:right w:val="nil"/>
            </w:tcBorders>
            <w:shd w:val="clear" w:color="auto" w:fill="auto"/>
            <w:noWrap/>
            <w:vAlign w:val="center"/>
            <w:hideMark/>
          </w:tcPr>
          <w:p w:rsidR="003505F2" w:rsidRPr="00C73365" w:rsidRDefault="003505F2" w:rsidP="007A1897">
            <w:pPr>
              <w:rPr>
                <w:rFonts w:asciiTheme="minorHAnsi" w:hAnsiTheme="minorHAnsi" w:cstheme="minorHAnsi"/>
                <w:color w:val="7030A0"/>
                <w:szCs w:val="20"/>
              </w:rPr>
            </w:pPr>
            <w:r w:rsidRPr="00C73365">
              <w:rPr>
                <w:rFonts w:asciiTheme="minorHAnsi" w:hAnsiTheme="minorHAnsi" w:cstheme="minorHAnsi"/>
                <w:color w:val="7030A0"/>
                <w:szCs w:val="20"/>
              </w:rPr>
              <w:t>Au 31 décembre 2015</w:t>
            </w:r>
          </w:p>
        </w:tc>
        <w:tc>
          <w:tcPr>
            <w:tcW w:w="1033"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9 696 889</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97</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89 534</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173</w:t>
            </w:r>
          </w:p>
        </w:tc>
        <w:tc>
          <w:tcPr>
            <w:tcW w:w="971" w:type="dxa"/>
            <w:tcBorders>
              <w:top w:val="single" w:sz="8"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-21 045</w:t>
            </w:r>
          </w:p>
        </w:tc>
        <w:tc>
          <w:tcPr>
            <w:tcW w:w="888" w:type="dxa"/>
            <w:tcBorders>
              <w:top w:val="single" w:sz="8"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68 759</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par exercice de BSA</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5 200</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971"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Emission de BSA</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58</w:t>
            </w: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58</w:t>
            </w:r>
          </w:p>
        </w:tc>
      </w:tr>
      <w:tr w:rsidR="003505F2" w:rsidRPr="00C73365" w:rsidTr="00C50FC3">
        <w:trPr>
          <w:trHeight w:val="346"/>
        </w:trPr>
        <w:tc>
          <w:tcPr>
            <w:tcW w:w="4112" w:type="dxa"/>
            <w:tcBorders>
              <w:top w:val="nil"/>
              <w:left w:val="nil"/>
              <w:bottom w:val="single" w:sz="8" w:space="0" w:color="7030A0"/>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Perte 2016</w:t>
            </w:r>
          </w:p>
        </w:tc>
        <w:tc>
          <w:tcPr>
            <w:tcW w:w="1033"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71"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-14 308</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-14 308</w:t>
            </w:r>
          </w:p>
        </w:tc>
      </w:tr>
      <w:tr w:rsidR="003505F2" w:rsidRPr="00C73365" w:rsidTr="00C50FC3">
        <w:trPr>
          <w:trHeight w:val="346"/>
        </w:trPr>
        <w:tc>
          <w:tcPr>
            <w:tcW w:w="4112" w:type="dxa"/>
            <w:tcBorders>
              <w:top w:val="nil"/>
              <w:left w:val="nil"/>
              <w:bottom w:val="single" w:sz="8" w:space="0" w:color="7030A0"/>
              <w:right w:val="nil"/>
            </w:tcBorders>
            <w:shd w:val="clear" w:color="auto" w:fill="auto"/>
            <w:noWrap/>
            <w:vAlign w:val="center"/>
            <w:hideMark/>
          </w:tcPr>
          <w:p w:rsidR="003505F2" w:rsidRPr="00C73365" w:rsidRDefault="003505F2" w:rsidP="007A1897">
            <w:pPr>
              <w:rPr>
                <w:rFonts w:asciiTheme="minorHAnsi" w:hAnsiTheme="minorHAnsi" w:cstheme="minorHAnsi"/>
                <w:color w:val="7030A0"/>
                <w:szCs w:val="20"/>
              </w:rPr>
            </w:pPr>
            <w:r w:rsidRPr="00C73365">
              <w:rPr>
                <w:rFonts w:asciiTheme="minorHAnsi" w:hAnsiTheme="minorHAnsi" w:cstheme="minorHAnsi"/>
                <w:color w:val="7030A0"/>
                <w:szCs w:val="20"/>
              </w:rPr>
              <w:t>Au 31 décembre 2016</w:t>
            </w:r>
          </w:p>
        </w:tc>
        <w:tc>
          <w:tcPr>
            <w:tcW w:w="1033"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9 702 089</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97</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89 534</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231</w:t>
            </w:r>
          </w:p>
        </w:tc>
        <w:tc>
          <w:tcPr>
            <w:tcW w:w="971" w:type="dxa"/>
            <w:tcBorders>
              <w:top w:val="single" w:sz="8"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-35 352</w:t>
            </w:r>
          </w:p>
        </w:tc>
        <w:tc>
          <w:tcPr>
            <w:tcW w:w="888" w:type="dxa"/>
            <w:tcBorders>
              <w:top w:val="single" w:sz="8" w:space="0" w:color="7030A0"/>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54 510</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par exercice de BSA</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142 140</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19</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p>
        </w:tc>
        <w:tc>
          <w:tcPr>
            <w:tcW w:w="971"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20</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Frais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émission</w:t>
            </w:r>
          </w:p>
        </w:tc>
        <w:tc>
          <w:tcPr>
            <w:tcW w:w="1033" w:type="dxa"/>
            <w:tcBorders>
              <w:top w:val="nil"/>
              <w:left w:val="nil"/>
              <w:bottom w:val="nil"/>
              <w:right w:val="nil"/>
            </w:tcBorders>
            <w:shd w:val="clear" w:color="auto" w:fill="auto"/>
            <w:noWrap/>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szCs w:val="20"/>
              </w:rPr>
            </w:pP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Emission de BSA</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21</w:t>
            </w: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21</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Equity line Kepler Chevreux</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 w:val="22"/>
              </w:rPr>
            </w:pPr>
            <w:r w:rsidRPr="00C73365">
              <w:rPr>
                <w:rFonts w:asciiTheme="minorHAnsi" w:hAnsiTheme="minorHAnsi" w:cstheme="minorHAnsi"/>
                <w:color w:val="000000"/>
                <w:sz w:val="22"/>
              </w:rPr>
              <w:t>60 000</w:t>
            </w: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 w:val="22"/>
              </w:rPr>
            </w:pPr>
            <w:r w:rsidRPr="00C73365">
              <w:rPr>
                <w:rFonts w:asciiTheme="minorHAnsi" w:hAnsiTheme="minorHAnsi" w:cstheme="minorHAnsi"/>
                <w:color w:val="000000"/>
                <w:sz w:val="22"/>
              </w:rPr>
              <w:t>1</w:t>
            </w: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 w:val="22"/>
              </w:rPr>
            </w:pPr>
            <w:r w:rsidRPr="00C73365">
              <w:rPr>
                <w:rFonts w:asciiTheme="minorHAnsi" w:hAnsiTheme="minorHAnsi" w:cstheme="minorHAnsi"/>
                <w:color w:val="000000"/>
                <w:sz w:val="22"/>
              </w:rPr>
              <w:t>664</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w:t>
            </w: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665</w:t>
            </w:r>
          </w:p>
        </w:tc>
      </w:tr>
      <w:tr w:rsidR="003505F2" w:rsidRPr="00C73365" w:rsidTr="00C50FC3">
        <w:trPr>
          <w:trHeight w:val="332"/>
        </w:trPr>
        <w:tc>
          <w:tcPr>
            <w:tcW w:w="4112" w:type="dxa"/>
            <w:tcBorders>
              <w:top w:val="nil"/>
              <w:left w:val="nil"/>
              <w:bottom w:val="nil"/>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Frais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émission</w:t>
            </w:r>
          </w:p>
        </w:tc>
        <w:tc>
          <w:tcPr>
            <w:tcW w:w="1033" w:type="dxa"/>
            <w:tcBorders>
              <w:top w:val="nil"/>
              <w:left w:val="nil"/>
              <w:bottom w:val="nil"/>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color w:val="000000"/>
                <w:sz w:val="22"/>
              </w:rPr>
            </w:pPr>
            <w:r w:rsidRPr="00C73365">
              <w:rPr>
                <w:rFonts w:asciiTheme="minorHAnsi" w:hAnsiTheme="minorHAnsi" w:cstheme="minorHAnsi"/>
                <w:color w:val="000000"/>
                <w:sz w:val="22"/>
              </w:rPr>
              <w:t>-77</w:t>
            </w: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 w:val="22"/>
              </w:rPr>
            </w:pPr>
          </w:p>
        </w:tc>
        <w:tc>
          <w:tcPr>
            <w:tcW w:w="971" w:type="dxa"/>
            <w:tcBorders>
              <w:top w:val="nil"/>
              <w:left w:val="nil"/>
              <w:bottom w:val="nil"/>
              <w:right w:val="nil"/>
            </w:tcBorders>
            <w:shd w:val="clear" w:color="auto" w:fill="auto"/>
            <w:hideMark/>
          </w:tcPr>
          <w:p w:rsidR="003505F2" w:rsidRPr="00C73365" w:rsidRDefault="003505F2" w:rsidP="001E0BFC">
            <w:pPr>
              <w:jc w:val="lef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-77</w:t>
            </w:r>
          </w:p>
        </w:tc>
      </w:tr>
      <w:tr w:rsidR="003505F2" w:rsidRPr="00C73365" w:rsidTr="00C50FC3">
        <w:trPr>
          <w:trHeight w:val="346"/>
        </w:trPr>
        <w:tc>
          <w:tcPr>
            <w:tcW w:w="4112" w:type="dxa"/>
            <w:tcBorders>
              <w:top w:val="nil"/>
              <w:left w:val="nil"/>
              <w:bottom w:val="single" w:sz="8" w:space="0" w:color="7030A0"/>
              <w:right w:val="nil"/>
            </w:tcBorders>
            <w:shd w:val="clear" w:color="auto" w:fill="auto"/>
            <w:noWrap/>
            <w:vAlign w:val="center"/>
            <w:hideMark/>
          </w:tcPr>
          <w:p w:rsidR="003505F2" w:rsidRPr="00C73365" w:rsidRDefault="003505F2" w:rsidP="007A1897">
            <w:pPr>
              <w:rPr>
                <w:rFonts w:asciiTheme="minorHAnsi" w:hAnsiTheme="minorHAnsi" w:cstheme="minorHAnsi"/>
                <w:color w:val="000000"/>
                <w:szCs w:val="20"/>
              </w:rPr>
            </w:pPr>
            <w:r w:rsidRPr="00C73365">
              <w:rPr>
                <w:rFonts w:asciiTheme="minorHAnsi" w:hAnsiTheme="minorHAnsi" w:cstheme="minorHAnsi"/>
                <w:color w:val="000000"/>
                <w:szCs w:val="20"/>
              </w:rPr>
              <w:t>Perte 2017</w:t>
            </w:r>
          </w:p>
        </w:tc>
        <w:tc>
          <w:tcPr>
            <w:tcW w:w="1033"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71"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-11 223</w:t>
            </w:r>
          </w:p>
        </w:tc>
        <w:tc>
          <w:tcPr>
            <w:tcW w:w="888" w:type="dxa"/>
            <w:tcBorders>
              <w:top w:val="nil"/>
              <w:left w:val="nil"/>
              <w:bottom w:val="single" w:sz="8" w:space="0" w:color="7030A0"/>
              <w:right w:val="nil"/>
            </w:tcBorders>
            <w:shd w:val="clear" w:color="auto" w:fill="auto"/>
            <w:vAlign w:val="center"/>
            <w:hideMark/>
          </w:tcPr>
          <w:p w:rsidR="003505F2" w:rsidRPr="00C73365" w:rsidRDefault="003505F2" w:rsidP="001E0BFC">
            <w:pPr>
              <w:jc w:val="left"/>
              <w:rPr>
                <w:rFonts w:asciiTheme="minorHAnsi" w:hAnsiTheme="minorHAnsi" w:cstheme="minorHAnsi"/>
                <w:color w:val="000000"/>
                <w:szCs w:val="20"/>
              </w:rPr>
            </w:pPr>
            <w:r w:rsidRPr="00C73365">
              <w:rPr>
                <w:rFonts w:asciiTheme="minorHAnsi" w:hAnsiTheme="minorHAnsi" w:cstheme="minorHAnsi"/>
                <w:color w:val="000000"/>
                <w:szCs w:val="20"/>
              </w:rPr>
              <w:t>-11 223</w:t>
            </w:r>
          </w:p>
        </w:tc>
      </w:tr>
      <w:tr w:rsidR="003505F2" w:rsidRPr="00C73365" w:rsidTr="00C50FC3">
        <w:trPr>
          <w:trHeight w:val="346"/>
        </w:trPr>
        <w:tc>
          <w:tcPr>
            <w:tcW w:w="4112" w:type="dxa"/>
            <w:tcBorders>
              <w:top w:val="nil"/>
              <w:left w:val="nil"/>
              <w:bottom w:val="single" w:sz="8" w:space="0" w:color="7030A0"/>
              <w:right w:val="nil"/>
            </w:tcBorders>
            <w:shd w:val="clear" w:color="auto" w:fill="auto"/>
            <w:noWrap/>
            <w:vAlign w:val="center"/>
            <w:hideMark/>
          </w:tcPr>
          <w:p w:rsidR="003505F2" w:rsidRPr="00C73365" w:rsidRDefault="003505F2" w:rsidP="007A1897">
            <w:pPr>
              <w:rPr>
                <w:rFonts w:asciiTheme="minorHAnsi" w:hAnsiTheme="minorHAnsi" w:cstheme="minorHAnsi"/>
                <w:color w:val="7030A0"/>
                <w:szCs w:val="20"/>
              </w:rPr>
            </w:pPr>
            <w:r w:rsidRPr="00C73365">
              <w:rPr>
                <w:rFonts w:asciiTheme="minorHAnsi" w:hAnsiTheme="minorHAnsi" w:cstheme="minorHAnsi"/>
                <w:color w:val="7030A0"/>
                <w:szCs w:val="20"/>
              </w:rPr>
              <w:t>Au 31 décembre 2017</w:t>
            </w:r>
          </w:p>
        </w:tc>
        <w:tc>
          <w:tcPr>
            <w:tcW w:w="1033"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9 904 229</w:t>
            </w:r>
          </w:p>
        </w:tc>
        <w:tc>
          <w:tcPr>
            <w:tcW w:w="888"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99</w:t>
            </w:r>
          </w:p>
        </w:tc>
        <w:tc>
          <w:tcPr>
            <w:tcW w:w="888"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90 139</w:t>
            </w:r>
          </w:p>
        </w:tc>
        <w:tc>
          <w:tcPr>
            <w:tcW w:w="888"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253</w:t>
            </w:r>
          </w:p>
        </w:tc>
        <w:tc>
          <w:tcPr>
            <w:tcW w:w="971"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-46 575</w:t>
            </w:r>
          </w:p>
        </w:tc>
        <w:tc>
          <w:tcPr>
            <w:tcW w:w="888" w:type="dxa"/>
            <w:tcBorders>
              <w:top w:val="nil"/>
              <w:left w:val="nil"/>
              <w:bottom w:val="single" w:sz="8" w:space="0" w:color="7030A0"/>
              <w:right w:val="nil"/>
            </w:tcBorders>
            <w:shd w:val="clear" w:color="auto" w:fill="auto"/>
            <w:noWrap/>
            <w:vAlign w:val="center"/>
            <w:hideMark/>
          </w:tcPr>
          <w:p w:rsidR="003505F2" w:rsidRPr="00C73365" w:rsidRDefault="003505F2" w:rsidP="001E0BFC">
            <w:pPr>
              <w:jc w:val="left"/>
              <w:rPr>
                <w:rFonts w:asciiTheme="minorHAnsi" w:hAnsiTheme="minorHAnsi" w:cstheme="minorHAnsi"/>
                <w:color w:val="7030A0"/>
                <w:szCs w:val="20"/>
              </w:rPr>
            </w:pPr>
            <w:r w:rsidRPr="00C73365">
              <w:rPr>
                <w:rFonts w:asciiTheme="minorHAnsi" w:hAnsiTheme="minorHAnsi" w:cstheme="minorHAnsi"/>
                <w:color w:val="7030A0"/>
                <w:szCs w:val="20"/>
              </w:rPr>
              <w:t>43 915</w:t>
            </w:r>
          </w:p>
        </w:tc>
      </w:tr>
    </w:tbl>
    <w:p w:rsidR="00575359" w:rsidRPr="00C73365" w:rsidRDefault="00575359" w:rsidP="007A1897">
      <w:pPr>
        <w:rPr>
          <w:rFonts w:asciiTheme="minorHAnsi" w:eastAsia="MS Mincho" w:hAnsiTheme="minorHAnsi" w:cstheme="minorHAnsi"/>
          <w:b/>
          <w:szCs w:val="20"/>
          <w:lang w:val="fr-FR" w:eastAsia="fr-FR"/>
        </w:rPr>
      </w:pPr>
    </w:p>
    <w:p w:rsidR="00575359" w:rsidRPr="00C73365" w:rsidRDefault="00575359"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Composition du capital social</w:t>
      </w:r>
    </w:p>
    <w:p w:rsidR="00FA29FE" w:rsidRPr="00C73365" w:rsidRDefault="00FA29F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 xml:space="preserve">L’exercice de 394 BSA-2014-1 en date du 17 mars 2017 donnant lieu à la création de 39.400 actions de la Société a entraîné  une augmentation du capital social de 394 € pour le porter de 97.020,89 € à 97.414,89 €.  </w:t>
      </w:r>
    </w:p>
    <w:p w:rsidR="00FA29FE" w:rsidRPr="00C73365" w:rsidRDefault="00FA29F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100 BCE-2014-4 en date du 3 août 2017 donnant lieu à la création de 10.000 actions de la Société a entraîné une augmentation du capital social de 100 € pour le porter de 97.414,89 € à 97.514,89 €.</w:t>
      </w:r>
    </w:p>
    <w:p w:rsidR="00FA29FE" w:rsidRPr="00C73365" w:rsidRDefault="00FA29F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473,4 BSA 2014-4 en date du 7 août 2017 donnant lieu à la création de 47.340 actions de la Société a entraîné une augmentation du capital social de 473,40 € pour le porter de 97.514,89 € à 97.988,29 €.</w:t>
      </w:r>
    </w:p>
    <w:p w:rsidR="00FA29FE" w:rsidRPr="00C73365" w:rsidRDefault="00FA29F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400 BCE-2014-2 en date du 6 octobre 2017 donnant lieu à la création de 40.000 actions de la Société a entraîné une augmentation du capital social de 400 euros pour le porter de 97.988,29 € à 98.388,29 €.</w:t>
      </w:r>
    </w:p>
    <w:p w:rsidR="00FA29FE" w:rsidRPr="00C73365" w:rsidRDefault="00FA29F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29 BSA-2014-7 en date du 13 novembre 2017 donnant lieu à la création de 2.900 actions de la Société a entraîné une augmentation du capital social de 29 euros pour le porter de 98.388,29 euros à 98.417,29 euros.</w:t>
      </w:r>
    </w:p>
    <w:p w:rsidR="00FA29FE" w:rsidRPr="00C73365" w:rsidRDefault="00FA29FE" w:rsidP="004572A0">
      <w:pPr>
        <w:pStyle w:val="BodyText"/>
        <w:rPr>
          <w:rFonts w:asciiTheme="minorHAnsi" w:hAnsiTheme="minorHAnsi" w:cstheme="minorHAnsi"/>
          <w:lang w:val="fr-FR" w:eastAsia="fr-FR"/>
        </w:rPr>
      </w:pPr>
      <w:bookmarkStart w:id="673" w:name="_Hlk509931322"/>
      <w:r w:rsidRPr="00C73365">
        <w:rPr>
          <w:rFonts w:asciiTheme="minorHAnsi" w:hAnsiTheme="minorHAnsi" w:cstheme="minorHAnsi"/>
          <w:lang w:val="fr-FR" w:eastAsia="fr-FR"/>
        </w:rPr>
        <w:t>L’exercice de 2.500 BCE-2016-1 en date du 2</w:t>
      </w:r>
      <w:r w:rsidR="00C40D23" w:rsidRPr="00C73365">
        <w:rPr>
          <w:rFonts w:asciiTheme="minorHAnsi" w:hAnsiTheme="minorHAnsi" w:cstheme="minorHAnsi"/>
          <w:lang w:val="fr-FR" w:eastAsia="fr-FR"/>
        </w:rPr>
        <w:t>0</w:t>
      </w:r>
      <w:r w:rsidRPr="00C73365">
        <w:rPr>
          <w:rFonts w:asciiTheme="minorHAnsi" w:hAnsiTheme="minorHAnsi" w:cstheme="minorHAnsi"/>
          <w:lang w:val="fr-FR" w:eastAsia="fr-FR"/>
        </w:rPr>
        <w:t xml:space="preserve"> décembre 2017 donnant lieu à la création de 2.500 actions de la Société a entraîné une augmentation du capital social de 25 euros pour le porter de 98.417,29 euros à 98.442,29 euros.</w:t>
      </w:r>
    </w:p>
    <w:bookmarkEnd w:id="673"/>
    <w:p w:rsidR="00FA29FE" w:rsidRPr="00C73365" w:rsidRDefault="00FA29F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lastRenderedPageBreak/>
        <w:t>L’exercice de 60 000 bons par K</w:t>
      </w:r>
      <w:r w:rsidR="00EF089C" w:rsidRPr="00C73365">
        <w:rPr>
          <w:rFonts w:asciiTheme="minorHAnsi" w:hAnsiTheme="minorHAnsi" w:cstheme="minorHAnsi"/>
          <w:lang w:val="fr-FR" w:eastAsia="fr-FR"/>
        </w:rPr>
        <w:t xml:space="preserve">epler </w:t>
      </w:r>
      <w:r w:rsidRPr="00C73365">
        <w:rPr>
          <w:rFonts w:asciiTheme="minorHAnsi" w:hAnsiTheme="minorHAnsi" w:cstheme="minorHAnsi"/>
          <w:lang w:val="fr-FR" w:eastAsia="fr-FR"/>
        </w:rPr>
        <w:t>C</w:t>
      </w:r>
      <w:r w:rsidR="00EF089C" w:rsidRPr="00C73365">
        <w:rPr>
          <w:rFonts w:asciiTheme="minorHAnsi" w:hAnsiTheme="minorHAnsi" w:cstheme="minorHAnsi"/>
          <w:lang w:val="fr-FR" w:eastAsia="fr-FR"/>
        </w:rPr>
        <w:t>heuvreux</w:t>
      </w:r>
      <w:r w:rsidRPr="00C73365">
        <w:rPr>
          <w:rFonts w:asciiTheme="minorHAnsi" w:hAnsiTheme="minorHAnsi" w:cstheme="minorHAnsi"/>
          <w:lang w:val="fr-FR" w:eastAsia="fr-FR"/>
        </w:rPr>
        <w:t xml:space="preserve"> au cours du second semestre 2017 donnant lieu à la création de 60 000 actions de la Société a entraîné une augmentation du capital social de 600 euros pour le porter de 98.442,29 euros à 99.042,29 euros.</w:t>
      </w:r>
    </w:p>
    <w:p w:rsidR="00FA29FE" w:rsidRPr="00C73365" w:rsidRDefault="00FA29F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 Conseil d’Administration n’a pas encore constaté ces augmentations de capital.</w:t>
      </w:r>
    </w:p>
    <w:p w:rsidR="00575359" w:rsidRPr="00C73365" w:rsidRDefault="0057535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détail des variations du capital est présenté dans le tableau de variation des capitaux propres figurant dans cette annexe</w:t>
      </w:r>
      <w:r w:rsidR="002D590C" w:rsidRPr="00C73365">
        <w:rPr>
          <w:rFonts w:asciiTheme="minorHAnsi" w:eastAsia="MS Mincho" w:hAnsiTheme="minorHAnsi" w:cstheme="minorHAnsi"/>
          <w:lang w:val="fr-FR" w:eastAsia="fr-FR"/>
        </w:rPr>
        <w:t>.</w:t>
      </w:r>
    </w:p>
    <w:tbl>
      <w:tblPr>
        <w:tblW w:w="5896" w:type="dxa"/>
        <w:tblInd w:w="1124" w:type="dxa"/>
        <w:tblLook w:val="04A0" w:firstRow="1" w:lastRow="0" w:firstColumn="1" w:lastColumn="0" w:noHBand="0" w:noVBand="1"/>
      </w:tblPr>
      <w:tblGrid>
        <w:gridCol w:w="3266"/>
        <w:gridCol w:w="1269"/>
        <w:gridCol w:w="1361"/>
      </w:tblGrid>
      <w:tr w:rsidR="00F36BDF" w:rsidRPr="00C73365" w:rsidTr="002D590C">
        <w:trPr>
          <w:trHeight w:val="265"/>
        </w:trPr>
        <w:tc>
          <w:tcPr>
            <w:tcW w:w="3266" w:type="dxa"/>
            <w:tcBorders>
              <w:top w:val="single" w:sz="8" w:space="0" w:color="7030A0"/>
              <w:left w:val="nil"/>
              <w:bottom w:val="single" w:sz="8" w:space="0" w:color="7030A0"/>
              <w:right w:val="nil"/>
            </w:tcBorders>
            <w:shd w:val="clear" w:color="auto" w:fill="auto"/>
            <w:vAlign w:val="center"/>
            <w:hideMark/>
          </w:tcPr>
          <w:p w:rsidR="00F36BDF" w:rsidRPr="00C73365" w:rsidRDefault="00F36BDF" w:rsidP="00F36BDF">
            <w:pPr>
              <w:spacing w:after="0"/>
              <w:rPr>
                <w:rFonts w:asciiTheme="minorHAnsi" w:hAnsiTheme="minorHAnsi" w:cstheme="minorHAnsi"/>
                <w:b/>
                <w:color w:val="000000"/>
                <w:szCs w:val="20"/>
                <w:lang w:val="fr-FR"/>
              </w:rPr>
            </w:pPr>
            <w:r w:rsidRPr="00C73365">
              <w:rPr>
                <w:rFonts w:asciiTheme="minorHAnsi" w:hAnsiTheme="minorHAnsi" w:cstheme="minorHAnsi"/>
                <w:b/>
                <w:color w:val="7030A0"/>
                <w:szCs w:val="20"/>
                <w:lang w:val="fr-FR"/>
              </w:rPr>
              <w:t> </w:t>
            </w:r>
            <w:r w:rsidR="00B97E97" w:rsidRPr="00C73365">
              <w:rPr>
                <w:rFonts w:asciiTheme="minorHAnsi" w:hAnsiTheme="minorHAnsi" w:cstheme="minorHAnsi"/>
                <w:b/>
                <w:color w:val="7030A0"/>
                <w:szCs w:val="20"/>
                <w:lang w:val="fr-FR"/>
              </w:rPr>
              <w:t>31 décembre 2017</w:t>
            </w:r>
          </w:p>
        </w:tc>
        <w:tc>
          <w:tcPr>
            <w:tcW w:w="1269" w:type="dxa"/>
            <w:tcBorders>
              <w:top w:val="single" w:sz="8" w:space="0" w:color="7030A0"/>
              <w:left w:val="nil"/>
              <w:bottom w:val="single" w:sz="8" w:space="0" w:color="7030A0"/>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Nombre d’Action</w:t>
            </w:r>
          </w:p>
        </w:tc>
        <w:tc>
          <w:tcPr>
            <w:tcW w:w="1361" w:type="dxa"/>
            <w:tcBorders>
              <w:top w:val="single" w:sz="8" w:space="0" w:color="7030A0"/>
              <w:left w:val="nil"/>
              <w:bottom w:val="single" w:sz="8" w:space="0" w:color="7030A0"/>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non dilué (capital)</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Holding Incubatrice Medical Devices</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257 600</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2,60%</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Truffle Capital</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5 921 954</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59,79%</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Direction</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6 500</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0,07%</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Conseil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administration</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446 011</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4,50%</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Salariés</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2 500</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0,03%</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Consultants*</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53 527</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0,54%</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w:t>
            </w:r>
            <w:r w:rsidR="002D590C" w:rsidRPr="00C73365">
              <w:rPr>
                <w:rFonts w:asciiTheme="minorHAnsi" w:hAnsiTheme="minorHAnsi" w:cstheme="minorHAnsi"/>
                <w:color w:val="000000"/>
                <w:szCs w:val="20"/>
              </w:rPr>
              <w:t>*</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187 883</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1,90%</w:t>
            </w:r>
          </w:p>
        </w:tc>
      </w:tr>
      <w:tr w:rsidR="00F36BDF" w:rsidRPr="00C73365" w:rsidTr="002D590C">
        <w:trPr>
          <w:trHeight w:val="253"/>
        </w:trPr>
        <w:tc>
          <w:tcPr>
            <w:tcW w:w="3266" w:type="dxa"/>
            <w:tcBorders>
              <w:top w:val="nil"/>
              <w:left w:val="nil"/>
              <w:bottom w:val="nil"/>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Auto contrôle</w:t>
            </w:r>
          </w:p>
        </w:tc>
        <w:tc>
          <w:tcPr>
            <w:tcW w:w="1269" w:type="dxa"/>
            <w:tcBorders>
              <w:top w:val="nil"/>
              <w:left w:val="nil"/>
              <w:bottom w:val="nil"/>
              <w:right w:val="nil"/>
            </w:tcBorders>
            <w:shd w:val="clear" w:color="auto" w:fill="auto"/>
            <w:noWrap/>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34 050</w:t>
            </w:r>
          </w:p>
        </w:tc>
        <w:tc>
          <w:tcPr>
            <w:tcW w:w="1361" w:type="dxa"/>
            <w:tcBorders>
              <w:top w:val="nil"/>
              <w:left w:val="nil"/>
              <w:bottom w:val="nil"/>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0,34%</w:t>
            </w:r>
          </w:p>
        </w:tc>
      </w:tr>
      <w:tr w:rsidR="00F36BDF" w:rsidRPr="00C73365" w:rsidTr="002D590C">
        <w:trPr>
          <w:trHeight w:val="265"/>
        </w:trPr>
        <w:tc>
          <w:tcPr>
            <w:tcW w:w="3266" w:type="dxa"/>
            <w:tcBorders>
              <w:top w:val="nil"/>
              <w:left w:val="nil"/>
              <w:bottom w:val="single" w:sz="8" w:space="0" w:color="7030A0"/>
              <w:right w:val="nil"/>
            </w:tcBorders>
            <w:shd w:val="clear" w:color="auto" w:fill="auto"/>
            <w:noWrap/>
            <w:vAlign w:val="center"/>
            <w:hideMark/>
          </w:tcPr>
          <w:p w:rsidR="00F36BDF" w:rsidRPr="00C73365" w:rsidRDefault="00F36BDF" w:rsidP="00F36BDF">
            <w:pPr>
              <w:spacing w:after="0"/>
              <w:rPr>
                <w:rFonts w:asciiTheme="minorHAnsi" w:hAnsiTheme="minorHAnsi" w:cstheme="minorHAnsi"/>
                <w:color w:val="000000"/>
                <w:szCs w:val="20"/>
              </w:rPr>
            </w:pPr>
            <w:r w:rsidRPr="00C73365">
              <w:rPr>
                <w:rFonts w:asciiTheme="minorHAnsi" w:hAnsiTheme="minorHAnsi" w:cstheme="minorHAnsi"/>
                <w:color w:val="000000"/>
                <w:szCs w:val="20"/>
              </w:rPr>
              <w:t>Flottant</w:t>
            </w:r>
          </w:p>
        </w:tc>
        <w:tc>
          <w:tcPr>
            <w:tcW w:w="1269" w:type="dxa"/>
            <w:tcBorders>
              <w:top w:val="nil"/>
              <w:left w:val="nil"/>
              <w:bottom w:val="single" w:sz="8" w:space="0" w:color="7030A0"/>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2 994 204</w:t>
            </w:r>
          </w:p>
        </w:tc>
        <w:tc>
          <w:tcPr>
            <w:tcW w:w="1361" w:type="dxa"/>
            <w:tcBorders>
              <w:top w:val="nil"/>
              <w:left w:val="nil"/>
              <w:bottom w:val="single" w:sz="8" w:space="0" w:color="7030A0"/>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30,23%</w:t>
            </w:r>
          </w:p>
        </w:tc>
      </w:tr>
      <w:tr w:rsidR="00F36BDF" w:rsidRPr="00C73365" w:rsidTr="002D590C">
        <w:trPr>
          <w:trHeight w:val="265"/>
        </w:trPr>
        <w:tc>
          <w:tcPr>
            <w:tcW w:w="3266" w:type="dxa"/>
            <w:tcBorders>
              <w:top w:val="nil"/>
              <w:left w:val="nil"/>
              <w:bottom w:val="single" w:sz="8" w:space="0" w:color="7030A0"/>
              <w:right w:val="nil"/>
            </w:tcBorders>
            <w:shd w:val="clear" w:color="auto" w:fill="auto"/>
            <w:noWrap/>
            <w:vAlign w:val="center"/>
            <w:hideMark/>
          </w:tcPr>
          <w:p w:rsidR="00F36BDF" w:rsidRPr="00C73365" w:rsidRDefault="00F36BDF" w:rsidP="00F36BDF">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Total</w:t>
            </w:r>
          </w:p>
        </w:tc>
        <w:tc>
          <w:tcPr>
            <w:tcW w:w="1269" w:type="dxa"/>
            <w:tcBorders>
              <w:top w:val="nil"/>
              <w:left w:val="nil"/>
              <w:bottom w:val="single" w:sz="8" w:space="0" w:color="7030A0"/>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9 904 229</w:t>
            </w:r>
          </w:p>
        </w:tc>
        <w:tc>
          <w:tcPr>
            <w:tcW w:w="1361" w:type="dxa"/>
            <w:tcBorders>
              <w:top w:val="nil"/>
              <w:left w:val="nil"/>
              <w:bottom w:val="single" w:sz="8" w:space="0" w:color="7030A0"/>
              <w:right w:val="nil"/>
            </w:tcBorders>
            <w:shd w:val="clear" w:color="auto" w:fill="auto"/>
            <w:vAlign w:val="center"/>
            <w:hideMark/>
          </w:tcPr>
          <w:p w:rsidR="00F36BDF" w:rsidRPr="00C73365" w:rsidRDefault="00F36BDF" w:rsidP="00F36BDF">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100,00%</w:t>
            </w:r>
          </w:p>
        </w:tc>
      </w:tr>
    </w:tbl>
    <w:p w:rsidR="00886435" w:rsidRDefault="00886435" w:rsidP="00886435">
      <w:pPr>
        <w:pStyle w:val="BodyText"/>
        <w:spacing w:after="0"/>
        <w:rPr>
          <w:rFonts w:asciiTheme="minorHAnsi" w:hAnsiTheme="minorHAnsi" w:cstheme="minorHAnsi"/>
          <w:lang w:val="fr-FR"/>
        </w:rPr>
      </w:pPr>
    </w:p>
    <w:p w:rsidR="00886435" w:rsidRDefault="002D590C" w:rsidP="00886435">
      <w:pPr>
        <w:pStyle w:val="BodyText"/>
        <w:spacing w:after="0"/>
        <w:rPr>
          <w:rFonts w:asciiTheme="minorHAnsi" w:hAnsiTheme="minorHAnsi" w:cstheme="minorHAnsi"/>
          <w:lang w:val="fr-FR"/>
        </w:rPr>
      </w:pPr>
      <w:r w:rsidRPr="00C73365">
        <w:rPr>
          <w:rFonts w:asciiTheme="minorHAnsi" w:hAnsiTheme="minorHAnsi" w:cstheme="minorHAnsi"/>
          <w:lang w:val="fr-FR"/>
        </w:rPr>
        <w:t xml:space="preserve">*Consultants : ce sont toutes les personnes qui ont un contrat de consultant avec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(consultants scientifiques, stratégiques</w:t>
      </w:r>
      <w:r w:rsidR="00B97E97" w:rsidRPr="00C73365">
        <w:rPr>
          <w:rFonts w:asciiTheme="minorHAnsi" w:hAnsiTheme="minorHAnsi" w:cstheme="minorHAnsi"/>
          <w:lang w:val="fr-FR"/>
        </w:rPr>
        <w:t>)</w:t>
      </w:r>
    </w:p>
    <w:p w:rsidR="00886435" w:rsidRDefault="00886435" w:rsidP="00886435">
      <w:pPr>
        <w:pStyle w:val="BodyText"/>
        <w:spacing w:after="0"/>
        <w:rPr>
          <w:rFonts w:asciiTheme="minorHAnsi" w:hAnsiTheme="minorHAnsi" w:cstheme="minorHAnsi"/>
          <w:lang w:val="fr-FR"/>
        </w:rPr>
      </w:pPr>
      <w:r w:rsidRPr="00C73365">
        <w:rPr>
          <w:rFonts w:asciiTheme="minorHAnsi" w:hAnsiTheme="minorHAnsi" w:cstheme="minorHAnsi"/>
          <w:lang w:val="fr-FR"/>
        </w:rPr>
        <w:t>*</w:t>
      </w:r>
      <w:r>
        <w:rPr>
          <w:rFonts w:asciiTheme="minorHAnsi" w:hAnsiTheme="minorHAnsi" w:cstheme="minorHAnsi"/>
          <w:lang w:val="fr-FR"/>
        </w:rPr>
        <w:t>*</w:t>
      </w:r>
      <w:r w:rsidRPr="00C73365">
        <w:rPr>
          <w:rFonts w:asciiTheme="minorHAnsi" w:hAnsiTheme="minorHAnsi" w:cstheme="minorHAnsi"/>
          <w:lang w:val="fr-FR"/>
        </w:rPr>
        <w:t>Autres : regroupe les actionnaires minoritaires historiques ou titulaires de BSA/</w:t>
      </w:r>
      <w:r>
        <w:rPr>
          <w:rFonts w:asciiTheme="minorHAnsi" w:hAnsiTheme="minorHAnsi" w:cstheme="minorHAnsi"/>
          <w:lang w:val="fr-FR"/>
        </w:rPr>
        <w:t>BCE</w:t>
      </w:r>
      <w:r w:rsidRPr="00C73365">
        <w:rPr>
          <w:rFonts w:asciiTheme="minorHAnsi" w:hAnsiTheme="minorHAnsi" w:cstheme="minorHAnsi"/>
          <w:lang w:val="fr-FR"/>
        </w:rPr>
        <w:t xml:space="preserve"> ainsi que des anciens salariés de la société, des anciens membres du conseil ou certains membres des comités.</w:t>
      </w:r>
    </w:p>
    <w:p w:rsidR="00886435" w:rsidRPr="00886435" w:rsidRDefault="00886435" w:rsidP="00886435">
      <w:pPr>
        <w:pStyle w:val="BodyText"/>
        <w:spacing w:after="0"/>
        <w:rPr>
          <w:rFonts w:asciiTheme="minorHAnsi" w:hAnsiTheme="minorHAnsi" w:cstheme="minorHAnsi"/>
          <w:lang w:val="fr-FR"/>
        </w:rPr>
      </w:pPr>
    </w:p>
    <w:p w:rsidR="00F46C7B" w:rsidRPr="00C73365" w:rsidRDefault="00F46C7B" w:rsidP="004572A0">
      <w:pPr>
        <w:pStyle w:val="BodyText"/>
        <w:rPr>
          <w:rFonts w:asciiTheme="minorHAnsi" w:hAnsiTheme="minorHAnsi" w:cstheme="minorHAnsi"/>
          <w:b/>
          <w:sz w:val="24"/>
          <w:lang w:val="fr-FR"/>
        </w:rPr>
      </w:pPr>
      <w:r w:rsidRPr="00C73365">
        <w:rPr>
          <w:rFonts w:asciiTheme="minorHAnsi" w:hAnsiTheme="minorHAnsi" w:cstheme="minorHAnsi"/>
          <w:b/>
          <w:lang w:val="fr-FR"/>
        </w:rPr>
        <w:t>Emission d’instruments financiers dilutifs (</w:t>
      </w:r>
      <w:r w:rsidR="00656913">
        <w:rPr>
          <w:rFonts w:asciiTheme="minorHAnsi" w:hAnsiTheme="minorHAnsi" w:cstheme="minorHAnsi"/>
          <w:b/>
          <w:lang w:val="fr-FR"/>
        </w:rPr>
        <w:t>BCE</w:t>
      </w:r>
      <w:r w:rsidRPr="00C73365">
        <w:rPr>
          <w:rFonts w:asciiTheme="minorHAnsi" w:hAnsiTheme="minorHAnsi" w:cstheme="minorHAnsi"/>
          <w:b/>
          <w:lang w:val="fr-FR"/>
        </w:rPr>
        <w:t xml:space="preserve"> et BSA)</w:t>
      </w:r>
    </w:p>
    <w:p w:rsidR="00333B95"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a émis les titres donnant accès à son capital (bons de souscription de parts de créateur d’entreprise – BCE- et bons de souscription d’actions – BSA)</w:t>
      </w:r>
      <w:r w:rsidR="005677B0" w:rsidRPr="00C73365">
        <w:rPr>
          <w:rFonts w:asciiTheme="minorHAnsi" w:hAnsiTheme="minorHAnsi" w:cstheme="minorHAnsi"/>
          <w:lang w:val="fr-FR"/>
        </w:rPr>
        <w:t>.</w:t>
      </w:r>
      <w:r w:rsidR="00886435">
        <w:rPr>
          <w:rFonts w:asciiTheme="minorHAnsi" w:hAnsiTheme="minorHAnsi" w:cstheme="minorHAnsi"/>
          <w:lang w:val="fr-FR"/>
        </w:rPr>
        <w:t xml:space="preserve"> </w:t>
      </w:r>
      <w:r w:rsidR="00333B95" w:rsidRPr="00C73365">
        <w:rPr>
          <w:rFonts w:asciiTheme="minorHAnsi" w:hAnsiTheme="minorHAnsi" w:cstheme="minorHAnsi"/>
          <w:lang w:val="fr-FR"/>
        </w:rPr>
        <w:t>Sur la base des capitaux propres au 31 décembre 2017, et dans l’hypothèse où tous les instruments dilutifs valides à la même date seraient exercés, les capitaux propres par action au 31 décembre 2017 sont de 4.43 euros pour 9 904 229 actions. Après dilution (soit avec 1 650 167 actions supplémentaires), ils seraient de 3.80 euros pour 11 554 396 actions.</w:t>
      </w:r>
    </w:p>
    <w:p w:rsidR="00F46C7B" w:rsidRPr="00C73365" w:rsidRDefault="00F46C7B" w:rsidP="007A1897">
      <w:pPr>
        <w:rPr>
          <w:rFonts w:asciiTheme="minorHAnsi" w:hAnsiTheme="minorHAnsi" w:cstheme="minorHAnsi"/>
          <w:sz w:val="22"/>
          <w:lang w:val="fr-FR"/>
        </w:rPr>
      </w:pPr>
      <w:r w:rsidRPr="00C73365">
        <w:rPr>
          <w:rFonts w:asciiTheme="minorHAnsi" w:hAnsiTheme="minorHAnsi" w:cstheme="minorHAnsi"/>
          <w:sz w:val="22"/>
          <w:lang w:val="fr-FR"/>
        </w:rPr>
        <w:br w:type="page"/>
      </w:r>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674" w:name="_Toc462673253"/>
      <w:bookmarkStart w:id="675" w:name="_Toc467835600"/>
      <w:bookmarkStart w:id="676" w:name="_Toc512863915"/>
      <w:r w:rsidRPr="00C73365">
        <w:rPr>
          <w:rFonts w:asciiTheme="minorHAnsi" w:hAnsiTheme="minorHAnsi" w:cstheme="minorHAnsi"/>
          <w:sz w:val="22"/>
          <w:szCs w:val="22"/>
          <w:lang w:val="fr-FR"/>
        </w:rPr>
        <w:lastRenderedPageBreak/>
        <w:t>Flux de trésorerie</w:t>
      </w:r>
      <w:bookmarkEnd w:id="674"/>
      <w:bookmarkEnd w:id="675"/>
      <w:bookmarkEnd w:id="676"/>
    </w:p>
    <w:p w:rsidR="006B2CAE" w:rsidRPr="00C73365" w:rsidRDefault="006B2CAE">
      <w:pPr>
        <w:pStyle w:val="BlockLeft"/>
        <w:keepNext/>
        <w:rPr>
          <w:rFonts w:asciiTheme="minorHAnsi" w:hAnsiTheme="minorHAnsi" w:cstheme="minorHAnsi"/>
          <w:b/>
          <w:color w:val="7030A0"/>
          <w:lang w:val="fr-FR"/>
        </w:rPr>
      </w:pPr>
      <w:r w:rsidRPr="00C73365">
        <w:rPr>
          <w:rFonts w:asciiTheme="minorHAnsi" w:hAnsiTheme="minorHAnsi" w:cstheme="minorHAnsi"/>
          <w:b/>
          <w:color w:val="7030A0"/>
          <w:lang w:val="fr-FR"/>
        </w:rPr>
        <w:t>Informations financières sélectionnées des flux de trésorerie :</w:t>
      </w:r>
    </w:p>
    <w:tbl>
      <w:tblPr>
        <w:tblW w:w="8928" w:type="dxa"/>
        <w:tblLayout w:type="fixed"/>
        <w:tblCellMar>
          <w:left w:w="70" w:type="dxa"/>
          <w:right w:w="70" w:type="dxa"/>
        </w:tblCellMar>
        <w:tblLook w:val="04A0" w:firstRow="1" w:lastRow="0" w:firstColumn="1" w:lastColumn="0" w:noHBand="0" w:noVBand="1"/>
      </w:tblPr>
      <w:tblGrid>
        <w:gridCol w:w="4960"/>
        <w:gridCol w:w="1529"/>
        <w:gridCol w:w="1308"/>
        <w:gridCol w:w="1131"/>
      </w:tblGrid>
      <w:tr w:rsidR="006B2CAE" w:rsidRPr="00C73365" w:rsidTr="006B2CAE">
        <w:trPr>
          <w:trHeight w:val="852"/>
        </w:trPr>
        <w:tc>
          <w:tcPr>
            <w:tcW w:w="4960" w:type="dxa"/>
            <w:tcBorders>
              <w:top w:val="single" w:sz="12" w:space="0" w:color="7030A0"/>
              <w:left w:val="nil"/>
              <w:bottom w:val="single" w:sz="8" w:space="0" w:color="7030A0"/>
              <w:right w:val="nil"/>
            </w:tcBorders>
            <w:shd w:val="clear" w:color="auto" w:fill="auto"/>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tcBorders>
              <w:top w:val="single" w:sz="12"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308" w:type="dxa"/>
            <w:tcBorders>
              <w:top w:val="single" w:sz="12"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31/12/2016</w:t>
            </w:r>
          </w:p>
        </w:tc>
        <w:tc>
          <w:tcPr>
            <w:tcW w:w="1131" w:type="dxa"/>
            <w:tcBorders>
              <w:top w:val="single" w:sz="12"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w:t>
            </w:r>
          </w:p>
        </w:tc>
      </w:tr>
      <w:tr w:rsidR="006B2CAE" w:rsidRPr="008C1A4A"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liés à l</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szCs w:val="20"/>
                <w:lang w:val="fr-FR" w:eastAsia="fr-FR"/>
              </w:rPr>
            </w:pP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szCs w:val="20"/>
                <w:lang w:val="fr-FR" w:eastAsia="fr-FR"/>
              </w:rPr>
            </w:pP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-14 150</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-18 236</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4 086</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Amortissements provisions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exclusion des provisions sur actif circulant)</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93</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-35</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128</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créances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724</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-595</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1 319</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1 647</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-237</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1 884</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Flux net de trésorerie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-11 686</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-19 103</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7 418</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Frais financiers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Produits financiers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116</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136</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w:t>
            </w:r>
          </w:p>
        </w:tc>
      </w:tr>
      <w:tr w:rsidR="006B2CAE" w:rsidRPr="008C1A4A"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Charges exceptionnelles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Produits exceptionnels liés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autres créances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2979</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3 312</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-333</w:t>
            </w:r>
          </w:p>
        </w:tc>
      </w:tr>
      <w:tr w:rsidR="006B2CAE" w:rsidRPr="00C73365" w:rsidTr="006B2CAE">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autres dettes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152</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59</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93</w:t>
            </w:r>
          </w:p>
        </w:tc>
      </w:tr>
      <w:tr w:rsidR="006B2CAE" w:rsidRPr="00C73365" w:rsidTr="006B2CAE">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Flux Net de trésorerie généré par l</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activité (A)</w:t>
            </w:r>
          </w:p>
        </w:tc>
        <w:tc>
          <w:tcPr>
            <w:tcW w:w="1529" w:type="dxa"/>
            <w:tcBorders>
              <w:top w:val="single" w:sz="8"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-8 449</w:t>
            </w:r>
          </w:p>
        </w:tc>
        <w:tc>
          <w:tcPr>
            <w:tcW w:w="1308" w:type="dxa"/>
            <w:tcBorders>
              <w:top w:val="single" w:sz="8"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-15 608</w:t>
            </w:r>
          </w:p>
        </w:tc>
        <w:tc>
          <w:tcPr>
            <w:tcW w:w="1131" w:type="dxa"/>
            <w:tcBorders>
              <w:top w:val="single" w:sz="8" w:space="0" w:color="7030A0"/>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7159</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 à l</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investissement</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szCs w:val="20"/>
                <w:lang w:val="fr-FR" w:eastAsia="fr-FR"/>
              </w:rPr>
            </w:pPr>
            <w:r w:rsidRPr="00C73365">
              <w:rPr>
                <w:rFonts w:asciiTheme="minorHAnsi" w:hAnsiTheme="minorHAnsi" w:cstheme="minorHAnsi"/>
                <w:color w:val="000000"/>
                <w:szCs w:val="20"/>
              </w:rPr>
              <w:t>0</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Acquisitions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-979</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-721</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-258</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Cessions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1014</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588</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426</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Réduction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 financières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40</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40</w:t>
            </w:r>
          </w:p>
        </w:tc>
      </w:tr>
      <w:tr w:rsidR="006B2CAE" w:rsidRPr="00C73365" w:rsidTr="006B2CAE">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et créances relatives aux investissements</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-180</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39</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-219</w:t>
            </w:r>
          </w:p>
        </w:tc>
      </w:tr>
      <w:tr w:rsidR="006B2CAE" w:rsidRPr="00C73365" w:rsidTr="006B2CAE">
        <w:trPr>
          <w:trHeight w:val="288"/>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Flux Net de trésorerie lié aux opérations d</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investissement (B)</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-105</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-94</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-11</w:t>
            </w:r>
          </w:p>
        </w:tc>
      </w:tr>
      <w:tr w:rsidR="006B2CAE" w:rsidRPr="00C73365" w:rsidTr="006B2CAE">
        <w:trPr>
          <w:trHeight w:val="288"/>
        </w:trPr>
        <w:tc>
          <w:tcPr>
            <w:tcW w:w="4960" w:type="dxa"/>
            <w:tcBorders>
              <w:top w:val="single" w:sz="8" w:space="0" w:color="7030A0"/>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 au financement</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szCs w:val="20"/>
                <w:lang w:val="fr-FR" w:eastAsia="fr-FR"/>
              </w:rPr>
            </w:pPr>
            <w:r w:rsidRPr="00C73365">
              <w:rPr>
                <w:rFonts w:asciiTheme="minorHAnsi" w:hAnsiTheme="minorHAnsi" w:cstheme="minorHAnsi"/>
                <w:color w:val="000000"/>
                <w:szCs w:val="20"/>
              </w:rPr>
              <w:t>0</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Augmentation de capital en numéraire et versements par les associés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628</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58</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569</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Emissions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emprunts et avances remboursables encaissées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2056</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29</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2027</w:t>
            </w:r>
          </w:p>
        </w:tc>
      </w:tr>
      <w:tr w:rsidR="006B2CAE" w:rsidRPr="00C73365" w:rsidTr="006B2CAE">
        <w:trPr>
          <w:trHeight w:val="276"/>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Remboursements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emprunts et avances remboursables</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-85</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-525</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440</w:t>
            </w:r>
          </w:p>
        </w:tc>
      </w:tr>
      <w:tr w:rsidR="006B2CAE" w:rsidRPr="00C73365" w:rsidTr="006B2CAE">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et créances relatives aux opérations de financement</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r>
      <w:tr w:rsidR="006B2CAE" w:rsidRPr="00C73365" w:rsidTr="006B2CAE">
        <w:trPr>
          <w:trHeight w:val="288"/>
        </w:trPr>
        <w:tc>
          <w:tcPr>
            <w:tcW w:w="4960" w:type="dxa"/>
            <w:tcBorders>
              <w:top w:val="nil"/>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 Flux Net de trésorerie lié aux opérations de financement </w:t>
            </w:r>
            <w:r w:rsidR="004572A0" w:rsidRPr="00C73365">
              <w:rPr>
                <w:rFonts w:asciiTheme="minorHAnsi" w:hAnsiTheme="minorHAnsi" w:cstheme="minorHAnsi"/>
                <w:color w:val="7030A0"/>
                <w:szCs w:val="20"/>
                <w:lang w:val="fr-FR" w:eastAsia="fr-FR"/>
              </w:rPr>
              <w:t>©</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2599</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-438</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3036</w:t>
            </w:r>
          </w:p>
        </w:tc>
      </w:tr>
      <w:tr w:rsidR="006B2CAE" w:rsidRPr="00C73365" w:rsidTr="006B2CAE">
        <w:trPr>
          <w:trHeight w:val="276"/>
        </w:trPr>
        <w:tc>
          <w:tcPr>
            <w:tcW w:w="4960" w:type="dxa"/>
            <w:tcBorders>
              <w:top w:val="single" w:sz="8" w:space="0" w:color="7030A0"/>
              <w:left w:val="nil"/>
              <w:bottom w:val="nil"/>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 de trésorerie (A+B+C)</w:t>
            </w:r>
          </w:p>
        </w:tc>
        <w:tc>
          <w:tcPr>
            <w:tcW w:w="1529"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-5 955</w:t>
            </w:r>
          </w:p>
        </w:tc>
        <w:tc>
          <w:tcPr>
            <w:tcW w:w="1308"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-16 140</w:t>
            </w:r>
          </w:p>
        </w:tc>
        <w:tc>
          <w:tcPr>
            <w:tcW w:w="1131" w:type="dxa"/>
            <w:tcBorders>
              <w:top w:val="nil"/>
              <w:left w:val="nil"/>
              <w:bottom w:val="nil"/>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10 185</w:t>
            </w:r>
          </w:p>
        </w:tc>
      </w:tr>
      <w:tr w:rsidR="006B2CAE" w:rsidRPr="00C73365" w:rsidTr="006B2CAE">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Trésorerie d’ouverture</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22 987</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39 127</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-16 140</w:t>
            </w:r>
          </w:p>
        </w:tc>
      </w:tr>
      <w:tr w:rsidR="006B2CAE" w:rsidRPr="00C73365" w:rsidTr="006B2CAE">
        <w:trPr>
          <w:trHeight w:val="288"/>
        </w:trPr>
        <w:tc>
          <w:tcPr>
            <w:tcW w:w="4960" w:type="dxa"/>
            <w:tcBorders>
              <w:top w:val="nil"/>
              <w:left w:val="nil"/>
              <w:bottom w:val="single" w:sz="8" w:space="0" w:color="7030A0"/>
              <w:right w:val="nil"/>
            </w:tcBorders>
            <w:shd w:val="clear" w:color="auto" w:fill="auto"/>
            <w:noWrap/>
            <w:vAlign w:val="center"/>
            <w:hideMark/>
          </w:tcPr>
          <w:p w:rsidR="006B2CAE" w:rsidRPr="00C73365" w:rsidRDefault="006B2CAE"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Trésorerie de clôture*</w:t>
            </w:r>
          </w:p>
        </w:tc>
        <w:tc>
          <w:tcPr>
            <w:tcW w:w="1529"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17 032</w:t>
            </w:r>
          </w:p>
        </w:tc>
        <w:tc>
          <w:tcPr>
            <w:tcW w:w="1308"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22 987</w:t>
            </w:r>
          </w:p>
        </w:tc>
        <w:tc>
          <w:tcPr>
            <w:tcW w:w="1131" w:type="dxa"/>
            <w:tcBorders>
              <w:top w:val="nil"/>
              <w:left w:val="nil"/>
              <w:bottom w:val="single" w:sz="8" w:space="0" w:color="7030A0"/>
              <w:right w:val="nil"/>
            </w:tcBorders>
            <w:shd w:val="clear" w:color="auto" w:fill="auto"/>
            <w:vAlign w:val="center"/>
            <w:hideMark/>
          </w:tcPr>
          <w:p w:rsidR="006B2CAE" w:rsidRPr="00C73365" w:rsidRDefault="006B2CAE"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-5 955</w:t>
            </w:r>
          </w:p>
        </w:tc>
      </w:tr>
    </w:tbl>
    <w:p w:rsidR="006B2CAE" w:rsidRPr="00C73365" w:rsidRDefault="006B2CAE" w:rsidP="004572A0">
      <w:pPr>
        <w:pStyle w:val="Caption"/>
        <w:rPr>
          <w:rFonts w:asciiTheme="minorHAnsi" w:hAnsiTheme="minorHAnsi" w:cstheme="minorHAnsi"/>
          <w:lang w:val="fr-FR"/>
        </w:rPr>
      </w:pPr>
      <w:r w:rsidRPr="00C73365">
        <w:rPr>
          <w:rFonts w:asciiTheme="minorHAnsi" w:hAnsiTheme="minorHAnsi" w:cstheme="minorHAnsi"/>
          <w:lang w:val="fr-FR"/>
        </w:rPr>
        <w:t>Les montants indiqués en Trésorerie correspondent aux Valeurs Mobilières de Placement et Disponibilités indiquées au Bilan</w:t>
      </w:r>
    </w:p>
    <w:p w:rsidR="001E0BFC" w:rsidRDefault="001E0BFC" w:rsidP="001E0BFC">
      <w:pPr>
        <w:pStyle w:val="ListBullet"/>
        <w:numPr>
          <w:ilvl w:val="0"/>
          <w:numId w:val="0"/>
        </w:numPr>
        <w:rPr>
          <w:rFonts w:asciiTheme="minorHAnsi" w:hAnsiTheme="minorHAnsi" w:cstheme="minorHAnsi"/>
          <w:lang w:val="fr-FR"/>
        </w:rPr>
      </w:pPr>
      <w:r w:rsidRPr="00E66FAB">
        <w:rPr>
          <w:rFonts w:asciiTheme="minorHAnsi" w:hAnsiTheme="minorHAnsi" w:cstheme="minorHAnsi"/>
          <w:lang w:val="fr-FR"/>
        </w:rPr>
        <w:t>La trésorerie financière nette déduction faite des dettes financières de 170 K€ est de 16 862 K€.</w:t>
      </w:r>
      <w:r>
        <w:rPr>
          <w:rFonts w:asciiTheme="minorHAnsi" w:hAnsiTheme="minorHAnsi" w:cstheme="minorHAnsi"/>
          <w:lang w:val="fr-FR"/>
        </w:rPr>
        <w:t xml:space="preserve"> </w:t>
      </w:r>
    </w:p>
    <w:p w:rsidR="001E0BFC" w:rsidRDefault="001E0BFC" w:rsidP="001E0BFC">
      <w:pPr>
        <w:pStyle w:val="ListBullet"/>
        <w:numPr>
          <w:ilvl w:val="0"/>
          <w:numId w:val="0"/>
        </w:numPr>
        <w:rPr>
          <w:rFonts w:asciiTheme="minorHAnsi" w:hAnsiTheme="minorHAnsi" w:cstheme="minorHAnsi"/>
          <w:lang w:val="fr-FR"/>
        </w:rPr>
      </w:pPr>
      <w:r w:rsidRPr="00C73365">
        <w:rPr>
          <w:rFonts w:asciiTheme="minorHAnsi" w:hAnsiTheme="minorHAnsi" w:cstheme="minorHAnsi"/>
          <w:lang w:val="fr-FR"/>
        </w:rPr>
        <w:t xml:space="preserve">La variation de trésorerie hors augmentation de capital sur l’année 2015 a été de -19 628 K€. Cette même variation était de -16 140 K€ </w:t>
      </w:r>
      <w:r w:rsidR="00474AE7">
        <w:rPr>
          <w:rFonts w:asciiTheme="minorHAnsi" w:hAnsiTheme="minorHAnsi" w:cstheme="minorHAnsi"/>
          <w:lang w:val="fr-FR"/>
        </w:rPr>
        <w:t xml:space="preserve">en 2016 </w:t>
      </w:r>
      <w:r w:rsidRPr="00C73365">
        <w:rPr>
          <w:rFonts w:asciiTheme="minorHAnsi" w:hAnsiTheme="minorHAnsi" w:cstheme="minorHAnsi"/>
          <w:lang w:val="fr-FR"/>
        </w:rPr>
        <w:t>et de -5 955 K€</w:t>
      </w:r>
      <w:r w:rsidR="00474AE7">
        <w:rPr>
          <w:rFonts w:asciiTheme="minorHAnsi" w:hAnsiTheme="minorHAnsi" w:cstheme="minorHAnsi"/>
          <w:lang w:val="fr-FR"/>
        </w:rPr>
        <w:t xml:space="preserve"> en 2017.</w:t>
      </w:r>
      <w:r w:rsidRPr="00C73365">
        <w:rPr>
          <w:rFonts w:asciiTheme="minorHAnsi" w:hAnsiTheme="minorHAnsi" w:cstheme="minorHAnsi"/>
          <w:lang w:val="fr-FR"/>
        </w:rPr>
        <w:t xml:space="preserve"> </w:t>
      </w:r>
    </w:p>
    <w:p w:rsidR="001E0BFC" w:rsidRPr="008A3726" w:rsidRDefault="0030056F" w:rsidP="001E0BFC">
      <w:pPr>
        <w:pStyle w:val="ListBullet"/>
        <w:numPr>
          <w:ilvl w:val="0"/>
          <w:numId w:val="0"/>
        </w:numPr>
        <w:rPr>
          <w:rFonts w:asciiTheme="minorHAnsi" w:hAnsiTheme="minorHAnsi" w:cstheme="minorHAnsi"/>
          <w:lang w:val="fr-FR"/>
        </w:rPr>
      </w:pPr>
      <w:r w:rsidRPr="008A3726">
        <w:rPr>
          <w:rFonts w:asciiTheme="minorHAnsi" w:hAnsiTheme="minorHAnsi" w:cstheme="minorHAnsi"/>
          <w:lang w:val="fr-FR"/>
        </w:rPr>
        <w:t>En 2017, l</w:t>
      </w:r>
      <w:r w:rsidR="00D3074B" w:rsidRPr="008A3726">
        <w:rPr>
          <w:rFonts w:asciiTheme="minorHAnsi" w:hAnsiTheme="minorHAnsi" w:cstheme="minorHAnsi"/>
          <w:lang w:val="fr-FR"/>
        </w:rPr>
        <w:t>es flux de trésorerie liés à l’exploitation sont principalement impact</w:t>
      </w:r>
      <w:r w:rsidR="009E5AF4" w:rsidRPr="008A3726">
        <w:rPr>
          <w:rFonts w:asciiTheme="minorHAnsi" w:hAnsiTheme="minorHAnsi" w:cstheme="minorHAnsi"/>
          <w:lang w:val="fr-FR"/>
        </w:rPr>
        <w:t xml:space="preserve">és par le résultat d’exploitation de -14 150 </w:t>
      </w:r>
      <w:r w:rsidR="00F13EDA">
        <w:rPr>
          <w:rFonts w:asciiTheme="minorHAnsi" w:hAnsiTheme="minorHAnsi" w:cstheme="minorHAnsi"/>
          <w:lang w:val="fr-FR"/>
        </w:rPr>
        <w:t>K</w:t>
      </w:r>
      <w:r w:rsidR="009E5AF4" w:rsidRPr="008A3726">
        <w:rPr>
          <w:rFonts w:asciiTheme="minorHAnsi" w:hAnsiTheme="minorHAnsi" w:cstheme="minorHAnsi"/>
          <w:lang w:val="fr-FR"/>
        </w:rPr>
        <w:t>€</w:t>
      </w:r>
      <w:r w:rsidR="00D93D8E">
        <w:rPr>
          <w:rFonts w:asciiTheme="minorHAnsi" w:hAnsiTheme="minorHAnsi" w:cstheme="minorHAnsi"/>
          <w:lang w:val="fr-FR"/>
        </w:rPr>
        <w:t xml:space="preserve"> (se référer au paragraphe 9.2</w:t>
      </w:r>
      <w:r w:rsidR="00D93D8E" w:rsidRPr="009C4779">
        <w:rPr>
          <w:rFonts w:asciiTheme="minorHAnsi" w:hAnsiTheme="minorHAnsi" w:cstheme="minorHAnsi"/>
          <w:lang w:val="fr-FR"/>
        </w:rPr>
        <w:t>).</w:t>
      </w:r>
      <w:r w:rsidR="00F84980" w:rsidRPr="009C4779">
        <w:rPr>
          <w:rFonts w:asciiTheme="minorHAnsi" w:hAnsiTheme="minorHAnsi" w:cstheme="minorHAnsi"/>
          <w:lang w:val="fr-FR"/>
        </w:rPr>
        <w:t xml:space="preserve"> La consommation de trésorerie lié à l’exploitation est de 11 686 </w:t>
      </w:r>
      <w:r w:rsidR="0040022B" w:rsidRPr="009C4779">
        <w:rPr>
          <w:rFonts w:asciiTheme="minorHAnsi" w:hAnsiTheme="minorHAnsi" w:cstheme="minorHAnsi"/>
          <w:lang w:val="fr-FR"/>
        </w:rPr>
        <w:t>K</w:t>
      </w:r>
      <w:r w:rsidR="00F84980" w:rsidRPr="009C4779">
        <w:rPr>
          <w:rFonts w:asciiTheme="minorHAnsi" w:hAnsiTheme="minorHAnsi" w:cstheme="minorHAnsi"/>
          <w:lang w:val="fr-FR"/>
        </w:rPr>
        <w:t>€.</w:t>
      </w:r>
      <w:r w:rsidR="00D93D8E">
        <w:rPr>
          <w:rFonts w:asciiTheme="minorHAnsi" w:hAnsiTheme="minorHAnsi" w:cstheme="minorHAnsi"/>
          <w:lang w:val="fr-FR"/>
        </w:rPr>
        <w:t xml:space="preserve"> </w:t>
      </w:r>
      <w:r w:rsidR="001E0BFC" w:rsidRPr="008A3726">
        <w:rPr>
          <w:rFonts w:asciiTheme="minorHAnsi" w:hAnsiTheme="minorHAnsi" w:cstheme="minorHAnsi"/>
          <w:lang w:val="fr-FR"/>
        </w:rPr>
        <w:t xml:space="preserve">Les variations du flux de trésorerie lié à l’investissement en 2017 sont principalement dues au contrat de liquidité. Les opérations d’achat et de vente d’actions via le contrat de liquidité sont comptabilisées en acquisitions et cessions d’immobilisation et le solde en espèce du contrat est une variation de créances. Ces montants sont détaillés à la note 3 du chapitre 20.1.1. </w:t>
      </w:r>
    </w:p>
    <w:p w:rsidR="001E0BFC" w:rsidRPr="00C73365" w:rsidRDefault="009E5AF4" w:rsidP="0030056F">
      <w:pPr>
        <w:pStyle w:val="ListBullet"/>
        <w:numPr>
          <w:ilvl w:val="0"/>
          <w:numId w:val="0"/>
        </w:numPr>
        <w:rPr>
          <w:rFonts w:asciiTheme="minorHAnsi" w:hAnsiTheme="minorHAnsi" w:cstheme="minorHAnsi"/>
          <w:lang w:val="fr-FR"/>
        </w:rPr>
      </w:pPr>
      <w:r w:rsidRPr="008A3726">
        <w:rPr>
          <w:rFonts w:asciiTheme="minorHAnsi" w:hAnsiTheme="minorHAnsi" w:cstheme="minorHAnsi"/>
          <w:lang w:val="fr-FR"/>
        </w:rPr>
        <w:t>Le flux de trésor</w:t>
      </w:r>
      <w:r w:rsidR="00D93D8E">
        <w:rPr>
          <w:rFonts w:asciiTheme="minorHAnsi" w:hAnsiTheme="minorHAnsi" w:cstheme="minorHAnsi"/>
          <w:lang w:val="fr-FR"/>
        </w:rPr>
        <w:t>er</w:t>
      </w:r>
      <w:r w:rsidRPr="008A3726">
        <w:rPr>
          <w:rFonts w:asciiTheme="minorHAnsi" w:hAnsiTheme="minorHAnsi" w:cstheme="minorHAnsi"/>
          <w:lang w:val="fr-FR"/>
        </w:rPr>
        <w:t xml:space="preserve">ie lié au financement est principalement </w:t>
      </w:r>
      <w:r w:rsidR="00B45751" w:rsidRPr="008A3726">
        <w:rPr>
          <w:rFonts w:asciiTheme="minorHAnsi" w:hAnsiTheme="minorHAnsi" w:cstheme="minorHAnsi"/>
          <w:lang w:val="fr-FR"/>
        </w:rPr>
        <w:t>dû</w:t>
      </w:r>
      <w:r w:rsidRPr="008A3726">
        <w:rPr>
          <w:rFonts w:asciiTheme="minorHAnsi" w:hAnsiTheme="minorHAnsi" w:cstheme="minorHAnsi"/>
          <w:lang w:val="fr-FR"/>
        </w:rPr>
        <w:t xml:space="preserve"> à la r</w:t>
      </w:r>
      <w:r w:rsidR="00D93D8E">
        <w:rPr>
          <w:rFonts w:asciiTheme="minorHAnsi" w:hAnsiTheme="minorHAnsi" w:cstheme="minorHAnsi"/>
          <w:lang w:val="fr-FR"/>
        </w:rPr>
        <w:t>é</w:t>
      </w:r>
      <w:r w:rsidRPr="008A3726">
        <w:rPr>
          <w:rFonts w:asciiTheme="minorHAnsi" w:hAnsiTheme="minorHAnsi" w:cstheme="minorHAnsi"/>
          <w:lang w:val="fr-FR"/>
        </w:rPr>
        <w:t>ception de l’avance remboursable des projets Rnpvir (1</w:t>
      </w:r>
      <w:r w:rsidR="00584DC2" w:rsidRPr="008A3726">
        <w:rPr>
          <w:rFonts w:asciiTheme="minorHAnsi" w:hAnsiTheme="minorHAnsi" w:cstheme="minorHAnsi"/>
          <w:lang w:val="fr-FR"/>
        </w:rPr>
        <w:t xml:space="preserve"> </w:t>
      </w:r>
      <w:r w:rsidRPr="008A3726">
        <w:rPr>
          <w:rFonts w:asciiTheme="minorHAnsi" w:hAnsiTheme="minorHAnsi" w:cstheme="minorHAnsi"/>
          <w:lang w:val="fr-FR"/>
        </w:rPr>
        <w:t xml:space="preserve">756 </w:t>
      </w:r>
      <w:r w:rsidR="00F13EDA">
        <w:rPr>
          <w:rFonts w:asciiTheme="minorHAnsi" w:hAnsiTheme="minorHAnsi" w:cstheme="minorHAnsi"/>
          <w:lang w:val="fr-FR"/>
        </w:rPr>
        <w:t>K</w:t>
      </w:r>
      <w:r w:rsidRPr="008A3726">
        <w:rPr>
          <w:rFonts w:asciiTheme="minorHAnsi" w:hAnsiTheme="minorHAnsi" w:cstheme="minorHAnsi"/>
          <w:lang w:val="fr-FR"/>
        </w:rPr>
        <w:t xml:space="preserve">€) et Ebola (300 </w:t>
      </w:r>
      <w:r w:rsidR="00F13EDA">
        <w:rPr>
          <w:rFonts w:asciiTheme="minorHAnsi" w:hAnsiTheme="minorHAnsi" w:cstheme="minorHAnsi"/>
          <w:lang w:val="fr-FR"/>
        </w:rPr>
        <w:t>K</w:t>
      </w:r>
      <w:r w:rsidRPr="008A3726">
        <w:rPr>
          <w:rFonts w:asciiTheme="minorHAnsi" w:hAnsiTheme="minorHAnsi" w:cstheme="minorHAnsi"/>
          <w:lang w:val="fr-FR"/>
        </w:rPr>
        <w:t>€) par la BPI</w:t>
      </w:r>
      <w:r w:rsidR="00584DC2" w:rsidRPr="008A3726">
        <w:rPr>
          <w:rFonts w:asciiTheme="minorHAnsi" w:hAnsiTheme="minorHAnsi" w:cstheme="minorHAnsi"/>
          <w:lang w:val="fr-FR"/>
        </w:rPr>
        <w:t xml:space="preserve"> et à l’utilisation de l’equity line Kepler Che</w:t>
      </w:r>
      <w:r w:rsidR="00D93D8E">
        <w:rPr>
          <w:rFonts w:asciiTheme="minorHAnsi" w:hAnsiTheme="minorHAnsi" w:cstheme="minorHAnsi"/>
          <w:lang w:val="fr-FR"/>
        </w:rPr>
        <w:t>u</w:t>
      </w:r>
      <w:r w:rsidR="00584DC2" w:rsidRPr="008A3726">
        <w:rPr>
          <w:rFonts w:asciiTheme="minorHAnsi" w:hAnsiTheme="minorHAnsi" w:cstheme="minorHAnsi"/>
          <w:lang w:val="fr-FR"/>
        </w:rPr>
        <w:t>vreux (Note 6 du Chapitre 20.1.1</w:t>
      </w:r>
      <w:r w:rsidR="008A3726" w:rsidRPr="008A3726">
        <w:rPr>
          <w:rFonts w:asciiTheme="minorHAnsi" w:hAnsiTheme="minorHAnsi" w:cstheme="minorHAnsi"/>
          <w:lang w:val="fr-FR"/>
        </w:rPr>
        <w:t>)</w:t>
      </w:r>
    </w:p>
    <w:p w:rsidR="004F5D6F" w:rsidRPr="006D6044" w:rsidRDefault="00F46C7B" w:rsidP="004F5D6F">
      <w:pPr>
        <w:pStyle w:val="ConmainL2"/>
        <w:numPr>
          <w:ilvl w:val="1"/>
          <w:numId w:val="9"/>
        </w:numPr>
        <w:spacing w:after="120"/>
        <w:rPr>
          <w:rFonts w:asciiTheme="minorHAnsi" w:hAnsiTheme="minorHAnsi" w:cstheme="minorHAnsi"/>
          <w:sz w:val="22"/>
          <w:szCs w:val="22"/>
          <w:lang w:val="fr-FR"/>
        </w:rPr>
      </w:pPr>
      <w:bookmarkStart w:id="677" w:name="_Toc462673254"/>
      <w:bookmarkStart w:id="678" w:name="_Toc512863916"/>
      <w:r w:rsidRPr="00C73365">
        <w:rPr>
          <w:rFonts w:asciiTheme="minorHAnsi" w:hAnsiTheme="minorHAnsi" w:cstheme="minorHAnsi"/>
          <w:sz w:val="22"/>
          <w:szCs w:val="22"/>
          <w:lang w:val="fr-FR"/>
        </w:rPr>
        <w:lastRenderedPageBreak/>
        <w:t>Conditions d’emprunt et structure de financement</w:t>
      </w:r>
      <w:bookmarkEnd w:id="677"/>
      <w:bookmarkEnd w:id="678"/>
    </w:p>
    <w:p w:rsidR="00F46C7B" w:rsidRPr="00C73365" w:rsidRDefault="00F46C7B" w:rsidP="00616826">
      <w:pPr>
        <w:pStyle w:val="ListParagraph"/>
        <w:numPr>
          <w:ilvl w:val="2"/>
          <w:numId w:val="9"/>
        </w:numPr>
        <w:spacing w:after="0"/>
        <w:outlineLvl w:val="2"/>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Dettes Financières</w:t>
      </w:r>
    </w:p>
    <w:tbl>
      <w:tblPr>
        <w:tblpPr w:leftFromText="180" w:rightFromText="180" w:vertAnchor="text" w:horzAnchor="page" w:tblpX="3016" w:tblpY="406"/>
        <w:tblW w:w="4766" w:type="dxa"/>
        <w:tblCellMar>
          <w:left w:w="70" w:type="dxa"/>
          <w:right w:w="70" w:type="dxa"/>
        </w:tblCellMar>
        <w:tblLook w:val="04A0" w:firstRow="1" w:lastRow="0" w:firstColumn="1" w:lastColumn="0" w:noHBand="0" w:noVBand="1"/>
      </w:tblPr>
      <w:tblGrid>
        <w:gridCol w:w="3975"/>
        <w:gridCol w:w="154"/>
        <w:gridCol w:w="637"/>
      </w:tblGrid>
      <w:tr w:rsidR="0030056F" w:rsidRPr="00C73365" w:rsidTr="0030056F">
        <w:trPr>
          <w:trHeight w:val="391"/>
        </w:trPr>
        <w:tc>
          <w:tcPr>
            <w:tcW w:w="3975" w:type="dxa"/>
            <w:tcBorders>
              <w:top w:val="single" w:sz="12" w:space="0" w:color="7030A0"/>
              <w:left w:val="nil"/>
              <w:bottom w:val="single" w:sz="8" w:space="0" w:color="7030A0"/>
              <w:right w:val="nil"/>
            </w:tcBorders>
            <w:shd w:val="clear" w:color="auto" w:fill="auto"/>
            <w:vAlign w:val="center"/>
            <w:hideMark/>
          </w:tcPr>
          <w:p w:rsidR="0030056F" w:rsidRPr="00C73365" w:rsidRDefault="0030056F" w:rsidP="0030056F">
            <w:pPr>
              <w:spacing w:after="0"/>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Echéancier de Remboursement</w:t>
            </w:r>
            <w:r w:rsidRPr="00C73365">
              <w:rPr>
                <w:rFonts w:asciiTheme="minorHAnsi" w:hAnsiTheme="minorHAnsi" w:cstheme="minorHAnsi"/>
                <w:color w:val="000000"/>
                <w:szCs w:val="20"/>
                <w:lang w:val="fr-FR" w:eastAsia="fr-FR"/>
              </w:rPr>
              <w:br/>
              <w:t>en milliers d’euros</w:t>
            </w:r>
          </w:p>
        </w:tc>
        <w:tc>
          <w:tcPr>
            <w:tcW w:w="154" w:type="dxa"/>
            <w:tcBorders>
              <w:top w:val="nil"/>
              <w:left w:val="nil"/>
              <w:bottom w:val="nil"/>
              <w:right w:val="nil"/>
            </w:tcBorders>
            <w:shd w:val="clear" w:color="auto" w:fill="auto"/>
            <w:noWrap/>
            <w:vAlign w:val="center"/>
            <w:hideMark/>
          </w:tcPr>
          <w:p w:rsidR="0030056F" w:rsidRPr="00C73365" w:rsidRDefault="0030056F" w:rsidP="0030056F">
            <w:pPr>
              <w:spacing w:after="0"/>
              <w:jc w:val="center"/>
              <w:rPr>
                <w:rFonts w:asciiTheme="minorHAnsi" w:hAnsiTheme="minorHAnsi" w:cstheme="minorHAnsi"/>
                <w:color w:val="000000"/>
                <w:szCs w:val="20"/>
                <w:lang w:val="fr-FR" w:eastAsia="fr-FR"/>
              </w:rPr>
            </w:pPr>
          </w:p>
        </w:tc>
        <w:tc>
          <w:tcPr>
            <w:tcW w:w="637" w:type="dxa"/>
            <w:tcBorders>
              <w:top w:val="single" w:sz="12" w:space="0" w:color="7030A0"/>
              <w:left w:val="nil"/>
              <w:bottom w:val="single" w:sz="8" w:space="0" w:color="7030A0"/>
              <w:right w:val="nil"/>
            </w:tcBorders>
            <w:vAlign w:val="center"/>
          </w:tcPr>
          <w:p w:rsidR="0030056F" w:rsidRPr="00C73365" w:rsidRDefault="0030056F" w:rsidP="0030056F">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p>
        </w:tc>
      </w:tr>
      <w:tr w:rsidR="0030056F" w:rsidRPr="00C73365" w:rsidTr="0030056F">
        <w:trPr>
          <w:trHeight w:val="420"/>
        </w:trPr>
        <w:tc>
          <w:tcPr>
            <w:tcW w:w="3975" w:type="dxa"/>
            <w:tcBorders>
              <w:top w:val="nil"/>
              <w:left w:val="nil"/>
              <w:bottom w:val="single" w:sz="4" w:space="0" w:color="7030A0"/>
              <w:right w:val="nil"/>
            </w:tcBorders>
            <w:shd w:val="clear" w:color="auto" w:fill="auto"/>
            <w:vAlign w:val="center"/>
            <w:hideMark/>
          </w:tcPr>
          <w:p w:rsidR="0030056F" w:rsidRPr="00C73365" w:rsidRDefault="0030056F" w:rsidP="0030056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Remboursement aide à l’innovation A106002G</w:t>
            </w:r>
          </w:p>
          <w:p w:rsidR="0030056F" w:rsidRPr="00C73365" w:rsidRDefault="0030056F" w:rsidP="0030056F">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(aide conjointe BPI - Fonds FEDER)</w:t>
            </w:r>
          </w:p>
        </w:tc>
        <w:tc>
          <w:tcPr>
            <w:tcW w:w="154" w:type="dxa"/>
            <w:tcBorders>
              <w:top w:val="nil"/>
              <w:left w:val="nil"/>
              <w:right w:val="nil"/>
            </w:tcBorders>
            <w:shd w:val="clear" w:color="auto" w:fill="auto"/>
            <w:vAlign w:val="center"/>
            <w:hideMark/>
          </w:tcPr>
          <w:p w:rsidR="0030056F" w:rsidRPr="00C73365" w:rsidRDefault="0030056F" w:rsidP="0030056F">
            <w:pPr>
              <w:spacing w:after="0"/>
              <w:jc w:val="center"/>
              <w:rPr>
                <w:rFonts w:asciiTheme="minorHAnsi" w:hAnsiTheme="minorHAnsi" w:cstheme="minorHAnsi"/>
                <w:color w:val="000000"/>
                <w:szCs w:val="20"/>
                <w:lang w:val="fr-FR" w:eastAsia="fr-FR"/>
              </w:rPr>
            </w:pPr>
          </w:p>
        </w:tc>
        <w:tc>
          <w:tcPr>
            <w:tcW w:w="637" w:type="dxa"/>
            <w:tcBorders>
              <w:top w:val="nil"/>
              <w:left w:val="nil"/>
              <w:bottom w:val="single" w:sz="4" w:space="0" w:color="7030A0"/>
              <w:right w:val="nil"/>
            </w:tcBorders>
            <w:vAlign w:val="center"/>
          </w:tcPr>
          <w:p w:rsidR="0030056F" w:rsidRPr="00C73365" w:rsidRDefault="0030056F" w:rsidP="0030056F">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170</w:t>
            </w:r>
          </w:p>
        </w:tc>
      </w:tr>
      <w:tr w:rsidR="0030056F" w:rsidRPr="00C73365" w:rsidTr="0030056F">
        <w:trPr>
          <w:trHeight w:val="316"/>
        </w:trPr>
        <w:tc>
          <w:tcPr>
            <w:tcW w:w="3975" w:type="dxa"/>
            <w:tcBorders>
              <w:top w:val="single" w:sz="4" w:space="0" w:color="7030A0"/>
              <w:left w:val="nil"/>
              <w:bottom w:val="single" w:sz="4" w:space="0" w:color="7030A0"/>
              <w:right w:val="nil"/>
            </w:tcBorders>
            <w:shd w:val="clear" w:color="auto" w:fill="auto"/>
            <w:noWrap/>
            <w:vAlign w:val="center"/>
            <w:hideMark/>
          </w:tcPr>
          <w:p w:rsidR="0030056F" w:rsidRPr="00C73365" w:rsidRDefault="0030056F" w:rsidP="0030056F">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 dettes financières</w:t>
            </w:r>
          </w:p>
        </w:tc>
        <w:tc>
          <w:tcPr>
            <w:tcW w:w="154" w:type="dxa"/>
            <w:tcBorders>
              <w:left w:val="nil"/>
              <w:right w:val="nil"/>
            </w:tcBorders>
            <w:shd w:val="clear" w:color="auto" w:fill="auto"/>
            <w:noWrap/>
            <w:vAlign w:val="center"/>
            <w:hideMark/>
          </w:tcPr>
          <w:p w:rsidR="0030056F" w:rsidRPr="00C73365" w:rsidRDefault="0030056F" w:rsidP="0030056F">
            <w:pPr>
              <w:spacing w:after="0"/>
              <w:jc w:val="center"/>
              <w:rPr>
                <w:rFonts w:asciiTheme="minorHAnsi" w:hAnsiTheme="minorHAnsi" w:cstheme="minorHAnsi"/>
                <w:b/>
                <w:bCs/>
                <w:color w:val="7030A0"/>
                <w:szCs w:val="20"/>
                <w:lang w:val="fr-FR" w:eastAsia="fr-FR"/>
              </w:rPr>
            </w:pPr>
          </w:p>
        </w:tc>
        <w:tc>
          <w:tcPr>
            <w:tcW w:w="637" w:type="dxa"/>
            <w:tcBorders>
              <w:top w:val="single" w:sz="4" w:space="0" w:color="7030A0"/>
              <w:left w:val="nil"/>
              <w:bottom w:val="single" w:sz="4" w:space="0" w:color="7030A0"/>
              <w:right w:val="nil"/>
            </w:tcBorders>
            <w:vAlign w:val="center"/>
          </w:tcPr>
          <w:p w:rsidR="0030056F" w:rsidRPr="00C73365" w:rsidRDefault="0030056F" w:rsidP="0030056F">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170</w:t>
            </w:r>
          </w:p>
        </w:tc>
      </w:tr>
    </w:tbl>
    <w:p w:rsidR="0030056F" w:rsidRDefault="0030056F" w:rsidP="0030056F">
      <w:pPr>
        <w:rPr>
          <w:rFonts w:asciiTheme="minorHAnsi" w:hAnsiTheme="minorHAnsi" w:cstheme="minorHAnsi"/>
          <w:lang w:val="fr-FR"/>
        </w:rPr>
      </w:pPr>
    </w:p>
    <w:p w:rsidR="0030056F" w:rsidRDefault="0030056F" w:rsidP="0030056F">
      <w:pPr>
        <w:rPr>
          <w:rFonts w:asciiTheme="minorHAnsi" w:eastAsia="MS Mincho" w:hAnsiTheme="minorHAnsi" w:cstheme="minorHAnsi"/>
          <w:lang w:val="fr-FR" w:eastAsia="ja-JP"/>
        </w:rPr>
      </w:pPr>
    </w:p>
    <w:p w:rsidR="0030056F" w:rsidRDefault="0030056F" w:rsidP="0030056F">
      <w:pPr>
        <w:rPr>
          <w:rFonts w:asciiTheme="minorHAnsi" w:eastAsia="MS Mincho" w:hAnsiTheme="minorHAnsi" w:cstheme="minorHAnsi"/>
          <w:lang w:val="fr-FR" w:eastAsia="ja-JP"/>
        </w:rPr>
      </w:pPr>
    </w:p>
    <w:p w:rsidR="0030056F" w:rsidRDefault="0030056F" w:rsidP="0030056F">
      <w:pPr>
        <w:rPr>
          <w:rFonts w:asciiTheme="minorHAnsi" w:eastAsia="MS Mincho" w:hAnsiTheme="minorHAnsi" w:cstheme="minorHAnsi"/>
          <w:lang w:val="fr-FR" w:eastAsia="ja-JP"/>
        </w:rPr>
      </w:pPr>
    </w:p>
    <w:p w:rsidR="0030056F" w:rsidRDefault="0030056F" w:rsidP="0030056F">
      <w:pPr>
        <w:rPr>
          <w:rFonts w:asciiTheme="minorHAnsi" w:eastAsia="MS Mincho" w:hAnsiTheme="minorHAnsi" w:cstheme="minorHAnsi"/>
          <w:lang w:val="fr-FR" w:eastAsia="ja-JP"/>
        </w:rPr>
      </w:pPr>
    </w:p>
    <w:p w:rsidR="00F46C7B" w:rsidRPr="00CF5455" w:rsidRDefault="008F2F8F" w:rsidP="0030056F">
      <w:pPr>
        <w:rPr>
          <w:rFonts w:asciiTheme="minorHAnsi" w:hAnsiTheme="minorHAnsi" w:cstheme="minorHAnsi"/>
          <w:lang w:val="fr-FR"/>
        </w:rPr>
      </w:pPr>
      <w:r w:rsidRPr="00C73365">
        <w:rPr>
          <w:rFonts w:asciiTheme="minorHAnsi" w:eastAsia="MS Mincho" w:hAnsiTheme="minorHAnsi" w:cstheme="minorHAnsi"/>
          <w:lang w:val="fr-FR" w:eastAsia="ja-JP"/>
        </w:rPr>
        <w:t>A date d’enregistrement d</w:t>
      </w:r>
      <w:r w:rsidR="00EF089C" w:rsidRPr="00C73365">
        <w:rPr>
          <w:rFonts w:asciiTheme="minorHAnsi" w:eastAsia="MS Mincho" w:hAnsiTheme="minorHAnsi" w:cstheme="minorHAnsi"/>
          <w:lang w:val="fr-FR" w:eastAsia="ja-JP"/>
        </w:rPr>
        <w:t>e ce document</w:t>
      </w:r>
      <w:r w:rsidRPr="00C73365">
        <w:rPr>
          <w:rFonts w:asciiTheme="minorHAnsi" w:eastAsia="MS Mincho" w:hAnsiTheme="minorHAnsi" w:cstheme="minorHAnsi"/>
          <w:lang w:val="fr-FR" w:eastAsia="ja-JP"/>
        </w:rPr>
        <w:t xml:space="preserve">, l’aide conjointe </w:t>
      </w:r>
      <w:r w:rsidR="001479F8">
        <w:rPr>
          <w:rFonts w:asciiTheme="minorHAnsi" w:eastAsia="MS Mincho" w:hAnsiTheme="minorHAnsi" w:cstheme="minorHAnsi"/>
          <w:lang w:val="fr-FR" w:eastAsia="ja-JP"/>
        </w:rPr>
        <w:t>Bpifrance</w:t>
      </w:r>
      <w:r w:rsidRPr="00C73365">
        <w:rPr>
          <w:rFonts w:asciiTheme="minorHAnsi" w:eastAsia="MS Mincho" w:hAnsiTheme="minorHAnsi" w:cstheme="minorHAnsi"/>
          <w:lang w:val="fr-FR" w:eastAsia="ja-JP"/>
        </w:rPr>
        <w:t xml:space="preserve"> et Feder est intégralement remboursée. </w:t>
      </w:r>
      <w:r w:rsidR="00F46C7B" w:rsidRPr="00C73365">
        <w:rPr>
          <w:rFonts w:asciiTheme="minorHAnsi" w:eastAsia="MS Mincho" w:hAnsiTheme="minorHAnsi" w:cstheme="minorHAnsi"/>
          <w:lang w:val="fr-FR" w:eastAsia="ja-JP"/>
        </w:rPr>
        <w:t>La Société ne dispose pas de ressources financières de type bancaire</w:t>
      </w:r>
      <w:r w:rsidR="009D0B10" w:rsidRPr="00C73365">
        <w:rPr>
          <w:rFonts w:asciiTheme="minorHAnsi" w:eastAsia="MS Mincho" w:hAnsiTheme="minorHAnsi" w:cstheme="minorHAnsi"/>
          <w:lang w:val="fr-FR" w:eastAsia="ja-JP"/>
        </w:rPr>
        <w:t xml:space="preserve"> au 31 décembre 2017</w:t>
      </w:r>
      <w:r w:rsidR="00F46C7B" w:rsidRPr="00C73365">
        <w:rPr>
          <w:rFonts w:asciiTheme="minorHAnsi" w:eastAsia="MS Mincho" w:hAnsiTheme="minorHAnsi" w:cstheme="minorHAnsi"/>
          <w:lang w:val="fr-FR" w:eastAsia="ja-JP"/>
        </w:rPr>
        <w:t xml:space="preserve">, les emprunts et dettes financières divers figurant au bilan à la clôture correspondant aux avances à rembourser </w:t>
      </w:r>
      <w:r w:rsidR="001479F8">
        <w:rPr>
          <w:rFonts w:asciiTheme="minorHAnsi" w:eastAsia="MS Mincho" w:hAnsiTheme="minorHAnsi" w:cstheme="minorHAnsi"/>
          <w:lang w:val="fr-FR" w:eastAsia="ja-JP"/>
        </w:rPr>
        <w:t>Bpifrance</w:t>
      </w:r>
      <w:r w:rsidR="00F46C7B" w:rsidRPr="00C73365">
        <w:rPr>
          <w:rFonts w:asciiTheme="minorHAnsi" w:eastAsia="MS Mincho" w:hAnsiTheme="minorHAnsi" w:cstheme="minorHAnsi"/>
          <w:lang w:val="fr-FR" w:eastAsia="ja-JP"/>
        </w:rPr>
        <w:t>.</w:t>
      </w:r>
      <w:r w:rsidR="006D6044">
        <w:rPr>
          <w:rFonts w:asciiTheme="minorHAnsi" w:eastAsia="MS Mincho" w:hAnsiTheme="minorHAnsi" w:cstheme="minorHAnsi"/>
          <w:lang w:val="fr-FR" w:eastAsia="ja-JP"/>
        </w:rPr>
        <w:t xml:space="preserve"> Le détail des dettes financière est présenté à la note 9 du paragraphe 20.1.1. </w:t>
      </w:r>
    </w:p>
    <w:p w:rsidR="000760BF" w:rsidRPr="00C73365" w:rsidRDefault="00F46C7B" w:rsidP="002D590C">
      <w:pPr>
        <w:pStyle w:val="ListParagraph"/>
        <w:numPr>
          <w:ilvl w:val="2"/>
          <w:numId w:val="9"/>
        </w:numPr>
        <w:spacing w:after="0"/>
        <w:outlineLvl w:val="2"/>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t>Avances remboursables</w:t>
      </w:r>
    </w:p>
    <w:p w:rsidR="00FB3E68" w:rsidRPr="00C73365" w:rsidRDefault="00FB3E68" w:rsidP="005E0DB0">
      <w:pPr>
        <w:spacing w:after="0"/>
        <w:rPr>
          <w:rFonts w:asciiTheme="minorHAnsi" w:hAnsiTheme="minorHAnsi" w:cstheme="minorHAnsi"/>
          <w:lang w:val="fr-FR"/>
        </w:rPr>
      </w:pPr>
    </w:p>
    <w:p w:rsidR="00F46C7B" w:rsidRPr="0030056F" w:rsidRDefault="0081325D" w:rsidP="0030056F">
      <w:pPr>
        <w:pStyle w:val="BodyText"/>
        <w:rPr>
          <w:rFonts w:asciiTheme="minorHAnsi" w:hAnsiTheme="minorHAnsi" w:cstheme="minorHAnsi"/>
          <w:lang w:val="fr-FR"/>
        </w:rPr>
      </w:pPr>
      <w:r w:rsidRPr="00C73365">
        <w:rPr>
          <w:rFonts w:asciiTheme="minorHAnsi" w:hAnsiTheme="minorHAnsi" w:cstheme="minorHAnsi"/>
          <w:lang w:val="fr-FR"/>
        </w:rPr>
        <w:t xml:space="preserve">Sur l’année 2017,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reçu 2 056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d’avances remboursables (1</w:t>
      </w:r>
      <w:r w:rsidR="00EF089C" w:rsidRPr="00C73365">
        <w:rPr>
          <w:rFonts w:asciiTheme="minorHAnsi" w:hAnsiTheme="minorHAnsi" w:cstheme="minorHAnsi"/>
          <w:lang w:val="fr-FR"/>
        </w:rPr>
        <w:t> </w:t>
      </w:r>
      <w:r w:rsidRPr="00C73365">
        <w:rPr>
          <w:rFonts w:asciiTheme="minorHAnsi" w:hAnsiTheme="minorHAnsi" w:cstheme="minorHAnsi"/>
          <w:lang w:val="fr-FR"/>
        </w:rPr>
        <w:t>756</w:t>
      </w:r>
      <w:r w:rsidR="00EF089C" w:rsidRPr="00C73365">
        <w:rPr>
          <w:rFonts w:asciiTheme="minorHAnsi" w:hAnsiTheme="minorHAnsi" w:cstheme="minorHAnsi"/>
          <w:lang w:val="fr-FR"/>
        </w:rPr>
        <w:t xml:space="preserve"> K€</w:t>
      </w:r>
      <w:r w:rsidRPr="00C73365">
        <w:rPr>
          <w:rFonts w:asciiTheme="minorHAnsi" w:hAnsiTheme="minorHAnsi" w:cstheme="minorHAnsi"/>
          <w:lang w:val="fr-FR"/>
        </w:rPr>
        <w:t xml:space="preserve"> correspondant au projet RNP-VIR et 300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correspondant au projet E</w:t>
      </w:r>
      <w:r w:rsidR="00FB3E68" w:rsidRPr="00C73365">
        <w:rPr>
          <w:rFonts w:asciiTheme="minorHAnsi" w:hAnsiTheme="minorHAnsi" w:cstheme="minorHAnsi"/>
          <w:lang w:val="fr-FR"/>
        </w:rPr>
        <w:t>bola</w:t>
      </w:r>
      <w:r w:rsidRPr="00C73365">
        <w:rPr>
          <w:rFonts w:asciiTheme="minorHAnsi" w:hAnsiTheme="minorHAnsi" w:cstheme="minorHAnsi"/>
          <w:lang w:val="fr-FR"/>
        </w:rPr>
        <w:t>)</w:t>
      </w:r>
      <w:r w:rsidR="00665210" w:rsidRPr="00C73365">
        <w:rPr>
          <w:rFonts w:asciiTheme="minorHAnsi" w:hAnsiTheme="minorHAnsi" w:cstheme="minorHAnsi"/>
          <w:lang w:val="fr-FR"/>
        </w:rPr>
        <w:t xml:space="preserve"> et a remboursé 85 </w:t>
      </w:r>
      <w:r w:rsidR="00EF089C" w:rsidRPr="00C73365">
        <w:rPr>
          <w:rFonts w:asciiTheme="minorHAnsi" w:hAnsiTheme="minorHAnsi" w:cstheme="minorHAnsi"/>
          <w:lang w:val="fr-FR"/>
        </w:rPr>
        <w:t>K€</w:t>
      </w:r>
      <w:r w:rsidR="00665210" w:rsidRPr="00C73365">
        <w:rPr>
          <w:rFonts w:asciiTheme="minorHAnsi" w:hAnsiTheme="minorHAnsi" w:cstheme="minorHAnsi"/>
          <w:lang w:val="fr-FR"/>
        </w:rPr>
        <w:t xml:space="preserve"> correspondant </w:t>
      </w:r>
      <w:r w:rsidR="005E0DB0" w:rsidRPr="00C73365">
        <w:rPr>
          <w:rFonts w:asciiTheme="minorHAnsi" w:hAnsiTheme="minorHAnsi" w:cstheme="minorHAnsi"/>
          <w:lang w:val="fr-FR"/>
        </w:rPr>
        <w:t xml:space="preserve">à l’aide conjointe </w:t>
      </w:r>
      <w:r w:rsidR="001479F8">
        <w:rPr>
          <w:rFonts w:asciiTheme="minorHAnsi" w:hAnsiTheme="minorHAnsi" w:cstheme="minorHAnsi"/>
          <w:lang w:val="fr-FR"/>
        </w:rPr>
        <w:t>Bpifrance</w:t>
      </w:r>
      <w:r w:rsidR="005E0DB0" w:rsidRPr="00C73365">
        <w:rPr>
          <w:rFonts w:asciiTheme="minorHAnsi" w:hAnsiTheme="minorHAnsi" w:cstheme="minorHAnsi"/>
          <w:lang w:val="fr-FR"/>
        </w:rPr>
        <w:t xml:space="preserve"> et Feder (A 10 06 002G).</w:t>
      </w:r>
      <w:r w:rsidR="00FB3E68" w:rsidRPr="00C73365">
        <w:rPr>
          <w:rFonts w:asciiTheme="minorHAnsi" w:hAnsiTheme="minorHAnsi" w:cstheme="minorHAnsi"/>
          <w:lang w:val="fr-FR"/>
        </w:rPr>
        <w:t xml:space="preserve"> </w:t>
      </w:r>
      <w:r w:rsidR="009755C9" w:rsidRPr="00C73365">
        <w:rPr>
          <w:rFonts w:asciiTheme="minorHAnsi" w:hAnsiTheme="minorHAnsi" w:cstheme="minorHAnsi"/>
          <w:lang w:val="fr-FR"/>
        </w:rPr>
        <w:t>Le détail des</w:t>
      </w:r>
      <w:r w:rsidR="00FB3E68" w:rsidRPr="00C73365">
        <w:rPr>
          <w:rFonts w:asciiTheme="minorHAnsi" w:hAnsiTheme="minorHAnsi" w:cstheme="minorHAnsi"/>
          <w:lang w:val="fr-FR"/>
        </w:rPr>
        <w:t xml:space="preserve"> projets et des</w:t>
      </w:r>
      <w:r w:rsidR="009755C9" w:rsidRPr="00C73365">
        <w:rPr>
          <w:rFonts w:asciiTheme="minorHAnsi" w:hAnsiTheme="minorHAnsi" w:cstheme="minorHAnsi"/>
          <w:lang w:val="fr-FR"/>
        </w:rPr>
        <w:t xml:space="preserve"> remboursements est au paragraphe suivant.</w:t>
      </w:r>
      <w:r w:rsidR="006D6044" w:rsidRPr="006D6044">
        <w:rPr>
          <w:rFonts w:asciiTheme="minorHAnsi" w:eastAsia="MS Mincho" w:hAnsiTheme="minorHAnsi" w:cstheme="minorHAnsi"/>
          <w:lang w:val="fr-FR" w:eastAsia="ja-JP"/>
        </w:rPr>
        <w:t xml:space="preserve"> </w:t>
      </w:r>
      <w:r w:rsidR="006D6044">
        <w:rPr>
          <w:rFonts w:asciiTheme="minorHAnsi" w:eastAsia="MS Mincho" w:hAnsiTheme="minorHAnsi" w:cstheme="minorHAnsi"/>
          <w:lang w:val="fr-FR" w:eastAsia="ja-JP"/>
        </w:rPr>
        <w:t>Le détail des avances remboursables est présenté à la note 8 du paragraphe 20.1.1.</w:t>
      </w:r>
    </w:p>
    <w:p w:rsidR="00F46C7B" w:rsidRPr="00C73365" w:rsidRDefault="00616826" w:rsidP="00616826">
      <w:pPr>
        <w:pStyle w:val="ListParagraph"/>
        <w:numPr>
          <w:ilvl w:val="2"/>
          <w:numId w:val="9"/>
        </w:numPr>
        <w:spacing w:after="0"/>
        <w:outlineLvl w:val="2"/>
        <w:rPr>
          <w:rFonts w:asciiTheme="minorHAnsi" w:hAnsiTheme="minorHAnsi" w:cstheme="minorHAnsi"/>
          <w:b/>
          <w:color w:val="7030A0"/>
          <w:lang w:val="fr-FR"/>
        </w:rPr>
      </w:pPr>
      <w:r w:rsidRPr="00C73365">
        <w:rPr>
          <w:rFonts w:asciiTheme="minorHAnsi" w:hAnsiTheme="minorHAnsi" w:cstheme="minorHAnsi"/>
          <w:b/>
          <w:color w:val="7030A0"/>
          <w:lang w:val="fr-FR"/>
        </w:rPr>
        <w:t>Tableau récapitulatif des montants restant à rembourser au 31 décembre 2017 </w:t>
      </w:r>
      <w:r w:rsidR="00F46C7B" w:rsidRPr="00C73365">
        <w:rPr>
          <w:rFonts w:asciiTheme="minorHAnsi" w:hAnsiTheme="minorHAnsi" w:cstheme="minorHAnsi"/>
          <w:b/>
          <w:color w:val="7030A0"/>
          <w:lang w:val="fr-FR"/>
        </w:rPr>
        <w:t>:</w:t>
      </w:r>
    </w:p>
    <w:p w:rsidR="00FB3E68" w:rsidRPr="00C73365" w:rsidRDefault="00FB3E68" w:rsidP="00FB3E68">
      <w:pPr>
        <w:spacing w:after="0"/>
        <w:rPr>
          <w:rFonts w:asciiTheme="minorHAnsi" w:hAnsiTheme="minorHAnsi" w:cstheme="minorHAnsi"/>
          <w:highlight w:val="lightGray"/>
          <w:lang w:val="fr-FR"/>
        </w:rPr>
      </w:pPr>
    </w:p>
    <w:p w:rsidR="00FB3E68" w:rsidRPr="00C73365" w:rsidRDefault="00FB3E68" w:rsidP="004572A0">
      <w:pPr>
        <w:pStyle w:val="BodyText"/>
        <w:rPr>
          <w:rFonts w:asciiTheme="minorHAnsi" w:hAnsiTheme="minorHAnsi" w:cstheme="minorHAnsi"/>
          <w:lang w:val="fr-FR"/>
        </w:rPr>
      </w:pPr>
      <w:r w:rsidRPr="00C73365">
        <w:rPr>
          <w:rFonts w:asciiTheme="minorHAnsi" w:hAnsiTheme="minorHAnsi" w:cstheme="minorHAnsi"/>
          <w:lang w:val="fr-FR"/>
        </w:rPr>
        <w:t xml:space="preserve">WITTYCELL (absorbée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le 31 juillet 2014) et </w:t>
      </w:r>
      <w:r w:rsidR="001479F8">
        <w:rPr>
          <w:rFonts w:asciiTheme="minorHAnsi" w:hAnsiTheme="minorHAnsi" w:cstheme="minorHAnsi"/>
          <w:lang w:val="fr-FR"/>
        </w:rPr>
        <w:t>Bpifrance</w:t>
      </w:r>
      <w:r w:rsidRPr="00C73365">
        <w:rPr>
          <w:rFonts w:asciiTheme="minorHAnsi" w:hAnsiTheme="minorHAnsi" w:cstheme="minorHAnsi"/>
          <w:lang w:val="fr-FR"/>
        </w:rPr>
        <w:t xml:space="preserve"> avait conclu en date du 3 décembre 2010 un contrat d’aide à l’innovation conjointement à une aide sur fonds FEDER dans le cadre du développement de nouveaux adjuvants vaccinaux (Aide conjointe </w:t>
      </w:r>
      <w:r w:rsidR="001479F8">
        <w:rPr>
          <w:rFonts w:asciiTheme="minorHAnsi" w:hAnsiTheme="minorHAnsi" w:cstheme="minorHAnsi"/>
          <w:lang w:val="fr-FR"/>
        </w:rPr>
        <w:t>Bpifrance</w:t>
      </w:r>
      <w:r w:rsidRPr="00C73365">
        <w:rPr>
          <w:rFonts w:asciiTheme="minorHAnsi" w:hAnsiTheme="minorHAnsi" w:cstheme="minorHAnsi"/>
          <w:lang w:val="fr-FR"/>
        </w:rPr>
        <w:t xml:space="preserve"> et Feder (A 10 06 002G)). La Société a perçu l’intégralité de l’aide à l’innovation octroyée (montant de 800.000 euros).</w:t>
      </w:r>
    </w:p>
    <w:p w:rsidR="00FB3E68" w:rsidRPr="00C73365" w:rsidRDefault="00FB3E68" w:rsidP="004572A0">
      <w:pPr>
        <w:pStyle w:val="BodyText"/>
        <w:rPr>
          <w:rFonts w:asciiTheme="minorHAnsi" w:eastAsia="MS Mincho" w:hAnsiTheme="minorHAnsi" w:cstheme="minorHAnsi"/>
          <w:lang w:val="fr-FR" w:eastAsia="ja-JP"/>
        </w:rPr>
      </w:pPr>
      <w:r w:rsidRPr="00C73365">
        <w:rPr>
          <w:rFonts w:asciiTheme="minorHAnsi" w:eastAsia="MS Mincho" w:hAnsiTheme="minorHAnsi" w:cstheme="minorHAnsi"/>
          <w:lang w:val="fr-FR" w:eastAsia="ja-JP"/>
        </w:rPr>
        <w:t xml:space="preserve">Dans le cadre de contrat d’aide </w:t>
      </w:r>
      <w:r w:rsidR="001479F8">
        <w:rPr>
          <w:rFonts w:asciiTheme="minorHAnsi" w:eastAsia="MS Mincho" w:hAnsiTheme="minorHAnsi" w:cstheme="minorHAnsi"/>
          <w:lang w:val="fr-FR" w:eastAsia="ja-JP"/>
        </w:rPr>
        <w:t>Bpifrance</w:t>
      </w:r>
      <w:r w:rsidRPr="00C73365">
        <w:rPr>
          <w:rFonts w:asciiTheme="minorHAnsi" w:eastAsia="MS Mincho" w:hAnsiTheme="minorHAnsi" w:cstheme="minorHAnsi"/>
          <w:lang w:val="fr-FR" w:eastAsia="ja-JP"/>
        </w:rPr>
        <w:t xml:space="preserve"> (détaillé au paragraphe 22.4), </w:t>
      </w:r>
      <w:r w:rsidR="00EF089C" w:rsidRPr="00C73365">
        <w:rPr>
          <w:rFonts w:asciiTheme="minorHAnsi" w:eastAsia="MS Mincho" w:hAnsiTheme="minorHAnsi" w:cstheme="minorHAnsi"/>
          <w:lang w:val="fr-FR" w:eastAsia="ja-JP"/>
        </w:rPr>
        <w:t>ABIVAX</w:t>
      </w:r>
      <w:r w:rsidRPr="00C73365">
        <w:rPr>
          <w:rFonts w:asciiTheme="minorHAnsi" w:eastAsia="MS Mincho" w:hAnsiTheme="minorHAnsi" w:cstheme="minorHAnsi"/>
          <w:lang w:val="fr-FR" w:eastAsia="ja-JP"/>
        </w:rPr>
        <w:t xml:space="preserve"> bénéficie</w:t>
      </w:r>
      <w:r w:rsidR="005C675A">
        <w:rPr>
          <w:rFonts w:asciiTheme="minorHAnsi" w:eastAsia="MS Mincho" w:hAnsiTheme="minorHAnsi" w:cstheme="minorHAnsi"/>
          <w:lang w:val="fr-FR" w:eastAsia="ja-JP"/>
        </w:rPr>
        <w:t xml:space="preserve"> via</w:t>
      </w:r>
      <w:r w:rsidRPr="00C73365">
        <w:rPr>
          <w:rFonts w:asciiTheme="minorHAnsi" w:eastAsia="MS Mincho" w:hAnsiTheme="minorHAnsi" w:cstheme="minorHAnsi"/>
          <w:lang w:val="fr-FR" w:eastAsia="ja-JP"/>
        </w:rPr>
        <w:t xml:space="preserve"> le contrat Carena</w:t>
      </w:r>
      <w:r w:rsidR="005C675A">
        <w:rPr>
          <w:rFonts w:asciiTheme="minorHAnsi" w:eastAsia="MS Mincho" w:hAnsiTheme="minorHAnsi" w:cstheme="minorHAnsi"/>
          <w:lang w:val="fr-FR" w:eastAsia="ja-JP"/>
        </w:rPr>
        <w:t xml:space="preserve"> d’une aide</w:t>
      </w:r>
      <w:r w:rsidRPr="00C73365">
        <w:rPr>
          <w:rFonts w:asciiTheme="minorHAnsi" w:eastAsia="MS Mincho" w:hAnsiTheme="minorHAnsi" w:cstheme="minorHAnsi"/>
          <w:lang w:val="fr-FR" w:eastAsia="ja-JP"/>
        </w:rPr>
        <w:t xml:space="preserve"> en vue de </w:t>
      </w:r>
      <w:r w:rsidRPr="00C73365">
        <w:rPr>
          <w:rFonts w:asciiTheme="minorHAnsi" w:hAnsiTheme="minorHAnsi" w:cstheme="minorHAnsi"/>
          <w:lang w:val="fr-FR"/>
        </w:rPr>
        <w:t>développer un programme thérapeutique anti VIH-Sida avec le composé ABX464</w:t>
      </w:r>
      <w:r w:rsidRPr="00C73365">
        <w:rPr>
          <w:rFonts w:asciiTheme="minorHAnsi" w:eastAsia="MS Mincho" w:hAnsiTheme="minorHAnsi" w:cstheme="minorHAnsi"/>
          <w:lang w:val="fr-FR" w:eastAsia="ja-JP"/>
        </w:rPr>
        <w:t xml:space="preserve"> de 3,8 </w:t>
      </w:r>
      <w:r w:rsidR="00EF089C" w:rsidRPr="00C73365">
        <w:rPr>
          <w:rFonts w:asciiTheme="minorHAnsi" w:eastAsia="MS Mincho" w:hAnsiTheme="minorHAnsi" w:cstheme="minorHAnsi"/>
          <w:lang w:val="fr-FR" w:eastAsia="ja-JP"/>
        </w:rPr>
        <w:t>M€</w:t>
      </w:r>
      <w:r w:rsidRPr="00C73365">
        <w:rPr>
          <w:rFonts w:asciiTheme="minorHAnsi" w:eastAsia="MS Mincho" w:hAnsiTheme="minorHAnsi" w:cstheme="minorHAnsi"/>
          <w:lang w:val="fr-FR" w:eastAsia="ja-JP"/>
        </w:rPr>
        <w:t xml:space="preserve"> d’avances conditionnées assimilées à des fonds propres réparties sur cinq années. Les aides sont débloquées au fur et à mesure de l’avancée du projet et par la remise à </w:t>
      </w:r>
      <w:r w:rsidR="001479F8">
        <w:rPr>
          <w:rFonts w:asciiTheme="minorHAnsi" w:eastAsia="MS Mincho" w:hAnsiTheme="minorHAnsi" w:cstheme="minorHAnsi"/>
          <w:lang w:val="fr-FR" w:eastAsia="ja-JP"/>
        </w:rPr>
        <w:t>Bpifrance</w:t>
      </w:r>
      <w:r w:rsidRPr="00C73365">
        <w:rPr>
          <w:rFonts w:asciiTheme="minorHAnsi" w:eastAsia="MS Mincho" w:hAnsiTheme="minorHAnsi" w:cstheme="minorHAnsi"/>
          <w:lang w:val="fr-FR" w:eastAsia="ja-JP"/>
        </w:rPr>
        <w:t xml:space="preserve">. Sauf échec du programme, le remboursement de l’avance reçue est prévu sur 5 ans à compter du 30 juin 2020. Un remboursement complémentaire est prévu en fonction des revenus qui seront générés par </w:t>
      </w:r>
      <w:r w:rsidR="00EF089C" w:rsidRPr="00C73365">
        <w:rPr>
          <w:rFonts w:asciiTheme="minorHAnsi" w:eastAsia="MS Mincho" w:hAnsiTheme="minorHAnsi" w:cstheme="minorHAnsi"/>
          <w:lang w:val="fr-FR" w:eastAsia="ja-JP"/>
        </w:rPr>
        <w:t>ABIVAX</w:t>
      </w:r>
      <w:r w:rsidRPr="00C73365">
        <w:rPr>
          <w:rFonts w:asciiTheme="minorHAnsi" w:eastAsia="MS Mincho" w:hAnsiTheme="minorHAnsi" w:cstheme="minorHAnsi"/>
          <w:lang w:val="fr-FR" w:eastAsia="ja-JP"/>
        </w:rPr>
        <w:t xml:space="preserve"> grâce à ce programme de recherche et développement.</w:t>
      </w:r>
    </w:p>
    <w:p w:rsidR="00FB3E68"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B3E68" w:rsidRPr="00C73365">
        <w:rPr>
          <w:rFonts w:asciiTheme="minorHAnsi" w:hAnsiTheme="minorHAnsi" w:cstheme="minorHAnsi"/>
          <w:lang w:val="fr-FR"/>
        </w:rPr>
        <w:t xml:space="preserve"> bénéficie également </w:t>
      </w:r>
      <w:r w:rsidR="00742833">
        <w:rPr>
          <w:rFonts w:asciiTheme="minorHAnsi" w:hAnsiTheme="minorHAnsi" w:cstheme="minorHAnsi"/>
          <w:lang w:val="fr-FR"/>
        </w:rPr>
        <w:t>via</w:t>
      </w:r>
      <w:r w:rsidR="00FB3E68" w:rsidRPr="00C73365">
        <w:rPr>
          <w:rFonts w:asciiTheme="minorHAnsi" w:hAnsiTheme="minorHAnsi" w:cstheme="minorHAnsi"/>
          <w:lang w:val="fr-FR"/>
        </w:rPr>
        <w:t xml:space="preserve"> le contrat RNP-VIR en vue d’approfondir les méthodes de découverte de nouvelles molécules visant au traitement de maladies infectieuses par le développement de la plateforme technologique antivirale d’avances remboursables d</w:t>
      </w:r>
      <w:r w:rsidR="004572A0" w:rsidRPr="00C73365">
        <w:rPr>
          <w:rFonts w:asciiTheme="minorHAnsi" w:hAnsiTheme="minorHAnsi" w:cstheme="minorHAnsi"/>
          <w:lang w:val="fr-FR"/>
        </w:rPr>
        <w:t>’</w:t>
      </w:r>
      <w:r w:rsidR="00FB3E68" w:rsidRPr="00C73365">
        <w:rPr>
          <w:rFonts w:asciiTheme="minorHAnsi" w:hAnsiTheme="minorHAnsi" w:cstheme="minorHAnsi"/>
          <w:lang w:val="fr-FR"/>
        </w:rPr>
        <w:t>un montant global maximum de 6.3</w:t>
      </w:r>
      <w:r w:rsidRPr="00C73365">
        <w:rPr>
          <w:rFonts w:asciiTheme="minorHAnsi" w:hAnsiTheme="minorHAnsi" w:cstheme="minorHAnsi"/>
          <w:lang w:val="fr-FR"/>
        </w:rPr>
        <w:t xml:space="preserve"> M€</w:t>
      </w:r>
      <w:r w:rsidR="00FB3E68" w:rsidRPr="00C73365">
        <w:rPr>
          <w:rFonts w:asciiTheme="minorHAnsi" w:hAnsiTheme="minorHAnsi" w:cstheme="minorHAnsi"/>
          <w:lang w:val="fr-FR"/>
        </w:rPr>
        <w:t xml:space="preserve"> répartis sur cinq années</w:t>
      </w:r>
      <w:r w:rsidRPr="00C73365">
        <w:rPr>
          <w:rFonts w:asciiTheme="minorHAnsi" w:hAnsiTheme="minorHAnsi" w:cstheme="minorHAnsi"/>
          <w:lang w:val="fr-FR"/>
        </w:rPr>
        <w:t xml:space="preserve"> à compter de 2022</w:t>
      </w:r>
      <w:r w:rsidR="00FB3E68" w:rsidRPr="00C73365">
        <w:rPr>
          <w:rFonts w:asciiTheme="minorHAnsi" w:hAnsiTheme="minorHAnsi" w:cstheme="minorHAnsi"/>
          <w:lang w:val="fr-FR"/>
        </w:rPr>
        <w:t>.</w:t>
      </w:r>
      <w:r w:rsidR="0030056F">
        <w:rPr>
          <w:rFonts w:asciiTheme="minorHAnsi" w:hAnsiTheme="minorHAnsi" w:cstheme="minorHAnsi"/>
          <w:lang w:val="fr-FR"/>
        </w:rPr>
        <w:t xml:space="preserve"> </w:t>
      </w:r>
      <w:r w:rsidR="00FB3E68" w:rsidRPr="00C73365">
        <w:rPr>
          <w:rFonts w:asciiTheme="minorHAnsi" w:hAnsiTheme="minorHAnsi" w:cstheme="minorHAnsi"/>
          <w:lang w:val="fr-FR"/>
        </w:rPr>
        <w:t>Le contrat d</w:t>
      </w:r>
      <w:r w:rsidR="004572A0" w:rsidRPr="00C73365">
        <w:rPr>
          <w:rFonts w:asciiTheme="minorHAnsi" w:hAnsiTheme="minorHAnsi" w:cstheme="minorHAnsi"/>
          <w:lang w:val="fr-FR"/>
        </w:rPr>
        <w:t>’</w:t>
      </w:r>
      <w:r w:rsidR="00FB3E68" w:rsidRPr="00C73365">
        <w:rPr>
          <w:rFonts w:asciiTheme="minorHAnsi" w:hAnsiTheme="minorHAnsi" w:cstheme="minorHAnsi"/>
          <w:lang w:val="fr-FR"/>
        </w:rPr>
        <w:t xml:space="preserve">aide conjointe </w:t>
      </w:r>
      <w:r w:rsidR="001479F8">
        <w:rPr>
          <w:rFonts w:asciiTheme="minorHAnsi" w:hAnsiTheme="minorHAnsi" w:cstheme="minorHAnsi"/>
          <w:lang w:val="fr-FR"/>
        </w:rPr>
        <w:t>Bpifrance</w:t>
      </w:r>
      <w:r w:rsidR="00FB3E68" w:rsidRPr="00C73365">
        <w:rPr>
          <w:rFonts w:asciiTheme="minorHAnsi" w:hAnsiTheme="minorHAnsi" w:cstheme="minorHAnsi"/>
          <w:lang w:val="fr-FR"/>
        </w:rPr>
        <w:t xml:space="preserve"> et Région Occitanie concernant le projet Ebola accordé le 2 juin est constitué d’avances remboursables (conditionné au succès) d</w:t>
      </w:r>
      <w:r w:rsidR="004572A0" w:rsidRPr="00C73365">
        <w:rPr>
          <w:rFonts w:asciiTheme="minorHAnsi" w:hAnsiTheme="minorHAnsi" w:cstheme="minorHAnsi"/>
          <w:lang w:val="fr-FR"/>
        </w:rPr>
        <w:t>’</w:t>
      </w:r>
      <w:r w:rsidR="00FB3E68" w:rsidRPr="00C73365">
        <w:rPr>
          <w:rFonts w:asciiTheme="minorHAnsi" w:hAnsiTheme="minorHAnsi" w:cstheme="minorHAnsi"/>
          <w:lang w:val="fr-FR"/>
        </w:rPr>
        <w:t xml:space="preserve">un montant global maximum de 390 000 euros pour </w:t>
      </w:r>
      <w:r w:rsidRPr="00C73365">
        <w:rPr>
          <w:rFonts w:asciiTheme="minorHAnsi" w:hAnsiTheme="minorHAnsi" w:cstheme="minorHAnsi"/>
          <w:lang w:val="fr-FR"/>
        </w:rPr>
        <w:t>ABIVAX</w:t>
      </w:r>
      <w:r w:rsidR="00FB3E68" w:rsidRPr="00C73365">
        <w:rPr>
          <w:rFonts w:asciiTheme="minorHAnsi" w:hAnsiTheme="minorHAnsi" w:cstheme="minorHAnsi"/>
          <w:lang w:val="fr-FR"/>
        </w:rPr>
        <w:t xml:space="preserve"> sur une durée de deux ans.</w:t>
      </w:r>
    </w:p>
    <w:tbl>
      <w:tblPr>
        <w:tblW w:w="10206" w:type="dxa"/>
        <w:tblCellMar>
          <w:left w:w="70" w:type="dxa"/>
          <w:right w:w="70" w:type="dxa"/>
        </w:tblCellMar>
        <w:tblLook w:val="04A0" w:firstRow="1" w:lastRow="0" w:firstColumn="1" w:lastColumn="0" w:noHBand="0" w:noVBand="1"/>
      </w:tblPr>
      <w:tblGrid>
        <w:gridCol w:w="4564"/>
        <w:gridCol w:w="546"/>
        <w:gridCol w:w="546"/>
        <w:gridCol w:w="546"/>
        <w:gridCol w:w="546"/>
        <w:gridCol w:w="546"/>
        <w:gridCol w:w="733"/>
        <w:gridCol w:w="674"/>
        <w:gridCol w:w="783"/>
        <w:gridCol w:w="722"/>
      </w:tblGrid>
      <w:tr w:rsidR="00FB3E68" w:rsidRPr="00C73365" w:rsidTr="008F376F">
        <w:trPr>
          <w:trHeight w:val="144"/>
        </w:trPr>
        <w:tc>
          <w:tcPr>
            <w:tcW w:w="0" w:type="auto"/>
            <w:tcBorders>
              <w:top w:val="single" w:sz="12" w:space="0" w:color="7030A0"/>
              <w:left w:val="nil"/>
              <w:bottom w:val="nil"/>
              <w:right w:val="nil"/>
            </w:tcBorders>
            <w:shd w:val="clear" w:color="auto" w:fill="auto"/>
            <w:vAlign w:val="center"/>
            <w:hideMark/>
          </w:tcPr>
          <w:p w:rsidR="00FB3E68" w:rsidRPr="00C73365" w:rsidRDefault="00FB3E68" w:rsidP="007F1850">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au 31 décembre 2017</w:t>
            </w:r>
          </w:p>
        </w:tc>
        <w:tc>
          <w:tcPr>
            <w:tcW w:w="0" w:type="auto"/>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2017</w:t>
            </w:r>
          </w:p>
        </w:tc>
        <w:tc>
          <w:tcPr>
            <w:tcW w:w="0" w:type="auto"/>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p>
        </w:tc>
        <w:tc>
          <w:tcPr>
            <w:tcW w:w="0" w:type="auto"/>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2019</w:t>
            </w:r>
          </w:p>
        </w:tc>
        <w:tc>
          <w:tcPr>
            <w:tcW w:w="0" w:type="auto"/>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2020</w:t>
            </w:r>
          </w:p>
        </w:tc>
        <w:tc>
          <w:tcPr>
            <w:tcW w:w="0" w:type="auto"/>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2021</w:t>
            </w:r>
          </w:p>
        </w:tc>
        <w:tc>
          <w:tcPr>
            <w:tcW w:w="733" w:type="dxa"/>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2022</w:t>
            </w:r>
          </w:p>
        </w:tc>
        <w:tc>
          <w:tcPr>
            <w:tcW w:w="674" w:type="dxa"/>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2023</w:t>
            </w:r>
          </w:p>
        </w:tc>
        <w:tc>
          <w:tcPr>
            <w:tcW w:w="783" w:type="dxa"/>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2024</w:t>
            </w:r>
          </w:p>
        </w:tc>
        <w:tc>
          <w:tcPr>
            <w:tcW w:w="722" w:type="dxa"/>
            <w:vMerge w:val="restart"/>
            <w:tcBorders>
              <w:top w:val="single" w:sz="12" w:space="0" w:color="7030A0"/>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2025</w:t>
            </w:r>
          </w:p>
        </w:tc>
      </w:tr>
      <w:tr w:rsidR="00FB3E68" w:rsidRPr="00C73365" w:rsidTr="008F376F">
        <w:trPr>
          <w:trHeight w:val="144"/>
        </w:trPr>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0" w:type="auto"/>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0" w:type="auto"/>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0" w:type="auto"/>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0" w:type="auto"/>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0" w:type="auto"/>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733" w:type="dxa"/>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674" w:type="dxa"/>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783" w:type="dxa"/>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c>
          <w:tcPr>
            <w:tcW w:w="722" w:type="dxa"/>
            <w:vMerge/>
            <w:tcBorders>
              <w:top w:val="single" w:sz="12" w:space="0" w:color="7030A0"/>
              <w:left w:val="nil"/>
              <w:bottom w:val="single" w:sz="8" w:space="0" w:color="7030A0"/>
              <w:right w:val="nil"/>
            </w:tcBorders>
            <w:vAlign w:val="center"/>
            <w:hideMark/>
          </w:tcPr>
          <w:p w:rsidR="00FB3E68" w:rsidRPr="00C73365" w:rsidRDefault="00FB3E68" w:rsidP="007F1850">
            <w:pPr>
              <w:rPr>
                <w:rFonts w:asciiTheme="minorHAnsi" w:hAnsiTheme="minorHAnsi" w:cstheme="minorHAnsi"/>
                <w:b/>
                <w:bCs/>
                <w:color w:val="000000"/>
                <w:szCs w:val="20"/>
                <w:lang w:val="fr-FR" w:eastAsia="fr-FR"/>
              </w:rPr>
            </w:pPr>
          </w:p>
        </w:tc>
      </w:tr>
      <w:tr w:rsidR="00FB3E68" w:rsidRPr="00C73365" w:rsidTr="008F376F">
        <w:trPr>
          <w:trHeight w:val="144"/>
        </w:trPr>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Projet ISI-CaReNA (part Avances Remboursables)</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-300</w:t>
            </w:r>
          </w:p>
        </w:tc>
        <w:tc>
          <w:tcPr>
            <w:tcW w:w="0" w:type="auto"/>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-500</w:t>
            </w:r>
          </w:p>
        </w:tc>
        <w:tc>
          <w:tcPr>
            <w:tcW w:w="733" w:type="dxa"/>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-750</w:t>
            </w:r>
          </w:p>
        </w:tc>
        <w:tc>
          <w:tcPr>
            <w:tcW w:w="674" w:type="dxa"/>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-1 100</w:t>
            </w:r>
          </w:p>
        </w:tc>
        <w:tc>
          <w:tcPr>
            <w:tcW w:w="783" w:type="dxa"/>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- 1 747</w:t>
            </w:r>
          </w:p>
        </w:tc>
        <w:tc>
          <w:tcPr>
            <w:tcW w:w="722"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FB3E68" w:rsidRPr="00C73365" w:rsidTr="008F376F">
        <w:trPr>
          <w:trHeight w:val="144"/>
        </w:trPr>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Projet PSPC- RNP Vir (part Avances Remboursables)</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733"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w:t>
            </w:r>
            <w:r w:rsidR="008F376F" w:rsidRPr="00C73365">
              <w:rPr>
                <w:rFonts w:asciiTheme="minorHAnsi" w:hAnsiTheme="minorHAnsi" w:cstheme="minorHAnsi"/>
                <w:color w:val="000000"/>
                <w:szCs w:val="20"/>
                <w:lang w:val="fr-FR" w:eastAsia="fr-FR"/>
              </w:rPr>
              <w:t>644</w:t>
            </w:r>
          </w:p>
        </w:tc>
        <w:tc>
          <w:tcPr>
            <w:tcW w:w="674"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w:t>
            </w:r>
            <w:r w:rsidR="008F376F" w:rsidRPr="00C73365">
              <w:rPr>
                <w:rFonts w:asciiTheme="minorHAnsi" w:hAnsiTheme="minorHAnsi" w:cstheme="minorHAnsi"/>
                <w:color w:val="000000"/>
                <w:szCs w:val="20"/>
                <w:lang w:val="fr-FR" w:eastAsia="fr-FR"/>
              </w:rPr>
              <w:t>644</w:t>
            </w:r>
          </w:p>
        </w:tc>
        <w:tc>
          <w:tcPr>
            <w:tcW w:w="783"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w:t>
            </w:r>
            <w:r w:rsidR="008F376F" w:rsidRPr="00C73365">
              <w:rPr>
                <w:rFonts w:asciiTheme="minorHAnsi" w:hAnsiTheme="minorHAnsi" w:cstheme="minorHAnsi"/>
                <w:color w:val="000000"/>
                <w:szCs w:val="20"/>
                <w:lang w:val="fr-FR" w:eastAsia="fr-FR"/>
              </w:rPr>
              <w:t>644</w:t>
            </w:r>
          </w:p>
        </w:tc>
        <w:tc>
          <w:tcPr>
            <w:tcW w:w="722"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008F376F" w:rsidRPr="00C73365">
              <w:rPr>
                <w:rFonts w:asciiTheme="minorHAnsi" w:hAnsiTheme="minorHAnsi" w:cstheme="minorHAnsi"/>
                <w:color w:val="000000"/>
                <w:szCs w:val="20"/>
                <w:lang w:val="fr-FR" w:eastAsia="fr-FR"/>
              </w:rPr>
              <w:t xml:space="preserve"> 644</w:t>
            </w:r>
          </w:p>
        </w:tc>
      </w:tr>
      <w:tr w:rsidR="00FB3E68" w:rsidRPr="00C73365" w:rsidTr="008F376F">
        <w:trPr>
          <w:trHeight w:val="144"/>
        </w:trPr>
        <w:tc>
          <w:tcPr>
            <w:tcW w:w="0" w:type="auto"/>
            <w:tcBorders>
              <w:top w:val="nil"/>
              <w:left w:val="nil"/>
              <w:bottom w:val="single" w:sz="8" w:space="0" w:color="7030A0"/>
              <w:right w:val="nil"/>
            </w:tcBorders>
            <w:shd w:val="clear" w:color="auto" w:fill="auto"/>
            <w:noWrap/>
            <w:vAlign w:val="center"/>
          </w:tcPr>
          <w:p w:rsidR="00FB3E68" w:rsidRPr="00C73365" w:rsidRDefault="00FB3E68" w:rsidP="007F1850">
            <w:pPr>
              <w:rPr>
                <w:rFonts w:asciiTheme="minorHAnsi" w:hAnsiTheme="minorHAnsi" w:cstheme="minorHAnsi"/>
                <w:color w:val="7030A0"/>
                <w:szCs w:val="20"/>
                <w:lang w:val="fr-FR" w:eastAsia="fr-FR"/>
              </w:rPr>
            </w:pPr>
            <w:r w:rsidRPr="00C73365">
              <w:rPr>
                <w:rFonts w:asciiTheme="minorHAnsi" w:hAnsiTheme="minorHAnsi" w:cstheme="minorHAnsi"/>
                <w:color w:val="000000"/>
                <w:szCs w:val="20"/>
                <w:lang w:val="fr-FR" w:eastAsia="fr-FR"/>
              </w:rPr>
              <w:t>Projet Ebola</w:t>
            </w:r>
          </w:p>
        </w:tc>
        <w:tc>
          <w:tcPr>
            <w:tcW w:w="0" w:type="auto"/>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 -40</w:t>
            </w:r>
          </w:p>
        </w:tc>
        <w:tc>
          <w:tcPr>
            <w:tcW w:w="0" w:type="auto"/>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 -60</w:t>
            </w:r>
          </w:p>
        </w:tc>
        <w:tc>
          <w:tcPr>
            <w:tcW w:w="0" w:type="auto"/>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 -80</w:t>
            </w:r>
          </w:p>
        </w:tc>
        <w:tc>
          <w:tcPr>
            <w:tcW w:w="733"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-100</w:t>
            </w:r>
          </w:p>
        </w:tc>
        <w:tc>
          <w:tcPr>
            <w:tcW w:w="674"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-110</w:t>
            </w:r>
          </w:p>
        </w:tc>
        <w:tc>
          <w:tcPr>
            <w:tcW w:w="783"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szCs w:val="20"/>
                <w:lang w:val="fr-FR" w:eastAsia="fr-FR"/>
              </w:rPr>
            </w:pPr>
          </w:p>
        </w:tc>
        <w:tc>
          <w:tcPr>
            <w:tcW w:w="722" w:type="dxa"/>
            <w:tcBorders>
              <w:top w:val="nil"/>
              <w:left w:val="nil"/>
              <w:bottom w:val="single" w:sz="8" w:space="0" w:color="7030A0"/>
              <w:right w:val="nil"/>
            </w:tcBorders>
            <w:shd w:val="clear" w:color="auto" w:fill="auto"/>
            <w:vAlign w:val="center"/>
          </w:tcPr>
          <w:p w:rsidR="00FB3E68" w:rsidRPr="00C73365" w:rsidRDefault="00FB3E68" w:rsidP="007F1850">
            <w:pPr>
              <w:jc w:val="center"/>
              <w:rPr>
                <w:rFonts w:asciiTheme="minorHAnsi" w:hAnsiTheme="minorHAnsi" w:cstheme="minorHAnsi"/>
                <w:color w:val="7030A0"/>
                <w:szCs w:val="20"/>
                <w:lang w:val="fr-FR" w:eastAsia="fr-FR"/>
              </w:rPr>
            </w:pPr>
          </w:p>
        </w:tc>
      </w:tr>
      <w:tr w:rsidR="00FB3E68" w:rsidRPr="00C73365" w:rsidTr="008F376F">
        <w:trPr>
          <w:trHeight w:val="144"/>
        </w:trPr>
        <w:tc>
          <w:tcPr>
            <w:tcW w:w="0" w:type="auto"/>
            <w:tcBorders>
              <w:top w:val="nil"/>
              <w:left w:val="nil"/>
              <w:bottom w:val="single" w:sz="8" w:space="0" w:color="7030A0"/>
              <w:right w:val="nil"/>
            </w:tcBorders>
            <w:shd w:val="clear" w:color="auto" w:fill="auto"/>
            <w:noWrap/>
            <w:vAlign w:val="center"/>
            <w:hideMark/>
          </w:tcPr>
          <w:p w:rsidR="00FB3E68" w:rsidRPr="00C73365" w:rsidRDefault="00FB3E68" w:rsidP="007F1850">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Sous-Total autres fonds propres </w:t>
            </w:r>
            <w:r w:rsidRPr="00C73365">
              <w:rPr>
                <w:rFonts w:asciiTheme="minorHAnsi" w:hAnsiTheme="minorHAnsi" w:cstheme="minorHAnsi"/>
                <w:b/>
                <w:bCs/>
                <w:color w:val="7030A0"/>
                <w:szCs w:val="20"/>
                <w:lang w:val="fr-FR" w:eastAsia="fr-FR"/>
              </w:rPr>
              <w:t>(hors intérêts courus)</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0" w:type="auto"/>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-40</w:t>
            </w:r>
          </w:p>
        </w:tc>
        <w:tc>
          <w:tcPr>
            <w:tcW w:w="0" w:type="auto"/>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-360</w:t>
            </w:r>
          </w:p>
        </w:tc>
        <w:tc>
          <w:tcPr>
            <w:tcW w:w="0" w:type="auto"/>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-580</w:t>
            </w:r>
          </w:p>
        </w:tc>
        <w:tc>
          <w:tcPr>
            <w:tcW w:w="733" w:type="dxa"/>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-2 494</w:t>
            </w:r>
          </w:p>
        </w:tc>
        <w:tc>
          <w:tcPr>
            <w:tcW w:w="674" w:type="dxa"/>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-2 854</w:t>
            </w:r>
          </w:p>
        </w:tc>
        <w:tc>
          <w:tcPr>
            <w:tcW w:w="783" w:type="dxa"/>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-3 391</w:t>
            </w:r>
          </w:p>
        </w:tc>
        <w:tc>
          <w:tcPr>
            <w:tcW w:w="722" w:type="dxa"/>
            <w:tcBorders>
              <w:top w:val="nil"/>
              <w:left w:val="nil"/>
              <w:bottom w:val="single" w:sz="8" w:space="0" w:color="7030A0"/>
              <w:right w:val="nil"/>
            </w:tcBorders>
            <w:shd w:val="clear" w:color="auto" w:fill="auto"/>
            <w:vAlign w:val="center"/>
          </w:tcPr>
          <w:p w:rsidR="00FB3E68" w:rsidRPr="00C73365" w:rsidRDefault="008F376F"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-1 644</w:t>
            </w:r>
          </w:p>
        </w:tc>
      </w:tr>
      <w:tr w:rsidR="00FB3E68" w:rsidRPr="00C73365" w:rsidTr="008F376F">
        <w:trPr>
          <w:trHeight w:val="144"/>
        </w:trPr>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Aide conjointe </w:t>
            </w:r>
            <w:r w:rsidR="001479F8">
              <w:rPr>
                <w:rFonts w:asciiTheme="minorHAnsi" w:hAnsiTheme="minorHAnsi" w:cstheme="minorHAnsi"/>
                <w:color w:val="000000"/>
                <w:szCs w:val="20"/>
                <w:lang w:val="fr-FR" w:eastAsia="fr-FR"/>
              </w:rPr>
              <w:t>Bpifrance</w:t>
            </w:r>
            <w:r w:rsidRPr="00C73365">
              <w:rPr>
                <w:rFonts w:asciiTheme="minorHAnsi" w:hAnsiTheme="minorHAnsi" w:cstheme="minorHAnsi"/>
                <w:color w:val="000000"/>
                <w:szCs w:val="20"/>
                <w:lang w:val="fr-FR" w:eastAsia="fr-FR"/>
              </w:rPr>
              <w:t xml:space="preserve"> et Feder (A 10 06 002G)</w:t>
            </w:r>
            <w:r w:rsidR="008F2F8F" w:rsidRPr="00C73365">
              <w:rPr>
                <w:rFonts w:asciiTheme="minorHAnsi" w:hAnsiTheme="minorHAnsi" w:cstheme="minorHAnsi"/>
                <w:color w:val="000000"/>
                <w:szCs w:val="20"/>
                <w:lang w:val="fr-FR" w:eastAsia="fr-FR"/>
              </w:rPr>
              <w:t>*</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-170</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-85</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733"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674"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783"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722"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FB3E68" w:rsidRPr="00C73365" w:rsidTr="008F376F">
        <w:trPr>
          <w:trHeight w:val="144"/>
        </w:trPr>
        <w:tc>
          <w:tcPr>
            <w:tcW w:w="0" w:type="auto"/>
            <w:tcBorders>
              <w:top w:val="nil"/>
              <w:left w:val="nil"/>
              <w:bottom w:val="single" w:sz="8" w:space="0" w:color="7030A0"/>
              <w:right w:val="nil"/>
            </w:tcBorders>
            <w:shd w:val="clear" w:color="auto" w:fill="auto"/>
            <w:noWrap/>
            <w:vAlign w:val="center"/>
            <w:hideMark/>
          </w:tcPr>
          <w:p w:rsidR="00FB3E68" w:rsidRPr="00C73365" w:rsidRDefault="00FB3E68" w:rsidP="007F1850">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Sous-Total emprunts et dettes financières</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-170</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-85</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0" w:type="auto"/>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733"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674"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783"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722" w:type="dxa"/>
            <w:tcBorders>
              <w:top w:val="nil"/>
              <w:left w:val="nil"/>
              <w:bottom w:val="single" w:sz="8" w:space="0" w:color="7030A0"/>
              <w:right w:val="nil"/>
            </w:tcBorders>
            <w:shd w:val="clear" w:color="auto" w:fill="auto"/>
            <w:vAlign w:val="center"/>
            <w:hideMark/>
          </w:tcPr>
          <w:p w:rsidR="00FB3E68" w:rsidRPr="00C73365" w:rsidRDefault="00FB3E68" w:rsidP="007F1850">
            <w:pPr>
              <w:jc w:val="cente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r>
      <w:tr w:rsidR="008F376F" w:rsidRPr="00C73365" w:rsidTr="008F376F">
        <w:trPr>
          <w:trHeight w:val="144"/>
        </w:trPr>
        <w:tc>
          <w:tcPr>
            <w:tcW w:w="0" w:type="auto"/>
            <w:tcBorders>
              <w:top w:val="nil"/>
              <w:left w:val="nil"/>
              <w:bottom w:val="single" w:sz="8" w:space="0" w:color="7030A0"/>
              <w:right w:val="nil"/>
            </w:tcBorders>
            <w:shd w:val="clear" w:color="auto" w:fill="auto"/>
            <w:noWrap/>
            <w:vAlign w:val="center"/>
            <w:hideMark/>
          </w:tcPr>
          <w:p w:rsidR="008F376F" w:rsidRPr="00C73365" w:rsidRDefault="008F376F" w:rsidP="008F376F">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0" w:type="auto"/>
            <w:tcBorders>
              <w:top w:val="nil"/>
              <w:left w:val="nil"/>
              <w:bottom w:val="single" w:sz="8" w:space="0" w:color="7030A0"/>
              <w:right w:val="nil"/>
            </w:tcBorders>
            <w:shd w:val="clear" w:color="auto" w:fill="auto"/>
            <w:vAlign w:val="center"/>
            <w:hideMark/>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-170</w:t>
            </w:r>
          </w:p>
        </w:tc>
        <w:tc>
          <w:tcPr>
            <w:tcW w:w="0" w:type="auto"/>
            <w:tcBorders>
              <w:top w:val="nil"/>
              <w:left w:val="nil"/>
              <w:bottom w:val="single" w:sz="8" w:space="0" w:color="7030A0"/>
              <w:right w:val="nil"/>
            </w:tcBorders>
            <w:shd w:val="clear" w:color="auto" w:fill="auto"/>
            <w:vAlign w:val="center"/>
            <w:hideMark/>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-85</w:t>
            </w:r>
          </w:p>
        </w:tc>
        <w:tc>
          <w:tcPr>
            <w:tcW w:w="0" w:type="auto"/>
            <w:tcBorders>
              <w:top w:val="nil"/>
              <w:left w:val="nil"/>
              <w:bottom w:val="single" w:sz="8" w:space="0" w:color="7030A0"/>
              <w:right w:val="nil"/>
            </w:tcBorders>
            <w:shd w:val="clear" w:color="auto" w:fill="auto"/>
            <w:vAlign w:val="center"/>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-40</w:t>
            </w:r>
          </w:p>
        </w:tc>
        <w:tc>
          <w:tcPr>
            <w:tcW w:w="0" w:type="auto"/>
            <w:tcBorders>
              <w:top w:val="nil"/>
              <w:left w:val="nil"/>
              <w:bottom w:val="single" w:sz="8" w:space="0" w:color="7030A0"/>
              <w:right w:val="nil"/>
            </w:tcBorders>
            <w:shd w:val="clear" w:color="auto" w:fill="auto"/>
            <w:vAlign w:val="center"/>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-360</w:t>
            </w:r>
          </w:p>
        </w:tc>
        <w:tc>
          <w:tcPr>
            <w:tcW w:w="0" w:type="auto"/>
            <w:tcBorders>
              <w:top w:val="nil"/>
              <w:left w:val="nil"/>
              <w:bottom w:val="single" w:sz="8" w:space="0" w:color="7030A0"/>
              <w:right w:val="nil"/>
            </w:tcBorders>
            <w:shd w:val="clear" w:color="auto" w:fill="auto"/>
            <w:vAlign w:val="center"/>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-580</w:t>
            </w:r>
          </w:p>
        </w:tc>
        <w:tc>
          <w:tcPr>
            <w:tcW w:w="733" w:type="dxa"/>
            <w:tcBorders>
              <w:top w:val="nil"/>
              <w:left w:val="nil"/>
              <w:bottom w:val="single" w:sz="8" w:space="0" w:color="7030A0"/>
              <w:right w:val="nil"/>
            </w:tcBorders>
            <w:shd w:val="clear" w:color="auto" w:fill="auto"/>
            <w:vAlign w:val="center"/>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-2 494</w:t>
            </w:r>
          </w:p>
        </w:tc>
        <w:tc>
          <w:tcPr>
            <w:tcW w:w="674" w:type="dxa"/>
            <w:tcBorders>
              <w:top w:val="nil"/>
              <w:left w:val="nil"/>
              <w:bottom w:val="single" w:sz="8" w:space="0" w:color="7030A0"/>
              <w:right w:val="nil"/>
            </w:tcBorders>
            <w:shd w:val="clear" w:color="auto" w:fill="auto"/>
            <w:vAlign w:val="center"/>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-2 854</w:t>
            </w:r>
          </w:p>
        </w:tc>
        <w:tc>
          <w:tcPr>
            <w:tcW w:w="783" w:type="dxa"/>
            <w:tcBorders>
              <w:top w:val="nil"/>
              <w:left w:val="nil"/>
              <w:bottom w:val="single" w:sz="8" w:space="0" w:color="7030A0"/>
              <w:right w:val="nil"/>
            </w:tcBorders>
            <w:shd w:val="clear" w:color="auto" w:fill="auto"/>
            <w:vAlign w:val="center"/>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-3 391</w:t>
            </w:r>
          </w:p>
        </w:tc>
        <w:tc>
          <w:tcPr>
            <w:tcW w:w="722" w:type="dxa"/>
            <w:tcBorders>
              <w:top w:val="nil"/>
              <w:left w:val="nil"/>
              <w:bottom w:val="single" w:sz="8" w:space="0" w:color="7030A0"/>
              <w:right w:val="nil"/>
            </w:tcBorders>
            <w:shd w:val="clear" w:color="auto" w:fill="auto"/>
            <w:vAlign w:val="center"/>
          </w:tcPr>
          <w:p w:rsidR="008F376F" w:rsidRPr="00C73365" w:rsidRDefault="008F376F" w:rsidP="008F376F">
            <w:pPr>
              <w:jc w:val="center"/>
              <w:rPr>
                <w:rFonts w:asciiTheme="minorHAnsi" w:hAnsiTheme="minorHAnsi" w:cstheme="minorHAnsi"/>
                <w:b/>
                <w:bCs/>
                <w:color w:val="7030A0"/>
                <w:szCs w:val="20"/>
                <w:lang w:val="fr-FR" w:eastAsia="fr-FR"/>
              </w:rPr>
            </w:pPr>
            <w:r w:rsidRPr="00C73365">
              <w:rPr>
                <w:rFonts w:asciiTheme="minorHAnsi" w:hAnsiTheme="minorHAnsi" w:cstheme="minorHAnsi"/>
                <w:color w:val="7030A0"/>
                <w:szCs w:val="20"/>
                <w:lang w:val="fr-FR" w:eastAsia="fr-FR"/>
              </w:rPr>
              <w:t>-1 644</w:t>
            </w:r>
          </w:p>
        </w:tc>
      </w:tr>
    </w:tbl>
    <w:p w:rsidR="00052CE9" w:rsidRPr="0030056F" w:rsidRDefault="00694421" w:rsidP="0030056F">
      <w:pPr>
        <w:pStyle w:val="ListBullet"/>
        <w:numPr>
          <w:ilvl w:val="0"/>
          <w:numId w:val="0"/>
        </w:numPr>
        <w:ind w:left="720" w:hanging="360"/>
        <w:rPr>
          <w:rFonts w:asciiTheme="minorHAnsi" w:hAnsiTheme="minorHAnsi" w:cstheme="minorHAnsi"/>
          <w:lang w:val="fr-FR"/>
        </w:rPr>
      </w:pPr>
      <w:r w:rsidRPr="00694421">
        <w:rPr>
          <w:rFonts w:asciiTheme="minorHAnsi" w:hAnsiTheme="minorHAnsi" w:cstheme="minorHAnsi"/>
          <w:lang w:val="fr-FR"/>
        </w:rPr>
        <w:t>*</w:t>
      </w:r>
      <w:r w:rsidR="008F2F8F" w:rsidRPr="00694421">
        <w:rPr>
          <w:rFonts w:asciiTheme="minorHAnsi" w:hAnsiTheme="minorHAnsi" w:cstheme="minorHAnsi"/>
          <w:lang w:val="fr-FR"/>
        </w:rPr>
        <w:t>à date d’enregistrement du DDR, l’aide conjointe</w:t>
      </w:r>
      <w:r w:rsidR="00EF089C" w:rsidRPr="00694421">
        <w:rPr>
          <w:rFonts w:asciiTheme="minorHAnsi" w:hAnsiTheme="minorHAnsi" w:cstheme="minorHAnsi"/>
          <w:lang w:val="fr-FR"/>
        </w:rPr>
        <w:t xml:space="preserve"> </w:t>
      </w:r>
      <w:r w:rsidR="001479F8" w:rsidRPr="00694421">
        <w:rPr>
          <w:rFonts w:asciiTheme="minorHAnsi" w:hAnsiTheme="minorHAnsi" w:cstheme="minorHAnsi"/>
          <w:lang w:val="fr-FR"/>
        </w:rPr>
        <w:t>Bpifrance</w:t>
      </w:r>
      <w:r w:rsidR="008F2F8F" w:rsidRPr="00694421">
        <w:rPr>
          <w:rFonts w:asciiTheme="minorHAnsi" w:hAnsiTheme="minorHAnsi" w:cstheme="minorHAnsi"/>
          <w:lang w:val="fr-FR"/>
        </w:rPr>
        <w:t xml:space="preserve"> et Feder est intégralement remboursée </w:t>
      </w:r>
      <w:r w:rsidR="00FB3E68" w:rsidRPr="00694421">
        <w:rPr>
          <w:rFonts w:asciiTheme="minorHAnsi" w:hAnsiTheme="minorHAnsi" w:cstheme="minorHAnsi"/>
          <w:lang w:val="fr-FR"/>
        </w:rPr>
        <w:t xml:space="preserve">(Voir Chapitre 22.4 Contrats d’aide </w:t>
      </w:r>
      <w:r w:rsidR="001479F8" w:rsidRPr="00694421">
        <w:rPr>
          <w:rFonts w:asciiTheme="minorHAnsi" w:hAnsiTheme="minorHAnsi" w:cstheme="minorHAnsi"/>
          <w:lang w:val="fr-FR"/>
        </w:rPr>
        <w:t>Bpifrance</w:t>
      </w:r>
      <w:r w:rsidR="00FB3E68" w:rsidRPr="00694421">
        <w:rPr>
          <w:rFonts w:asciiTheme="minorHAnsi" w:hAnsiTheme="minorHAnsi" w:cstheme="minorHAnsi"/>
          <w:lang w:val="fr-FR"/>
        </w:rPr>
        <w:t xml:space="preserve"> (subventions et/ou avances remboursables pour le détail</w:t>
      </w:r>
    </w:p>
    <w:p w:rsidR="00F46C7B" w:rsidRPr="00C73365" w:rsidRDefault="00F46C7B" w:rsidP="00616826">
      <w:pPr>
        <w:pStyle w:val="ListParagraph"/>
        <w:numPr>
          <w:ilvl w:val="2"/>
          <w:numId w:val="9"/>
        </w:numPr>
        <w:spacing w:after="0"/>
        <w:outlineLvl w:val="2"/>
        <w:rPr>
          <w:rFonts w:asciiTheme="minorHAnsi" w:hAnsiTheme="minorHAnsi" w:cstheme="minorHAnsi"/>
          <w:b/>
          <w:color w:val="7030A0"/>
          <w:szCs w:val="22"/>
          <w:lang w:val="fr-FR"/>
        </w:rPr>
      </w:pPr>
      <w:r w:rsidRPr="00C73365">
        <w:rPr>
          <w:rFonts w:asciiTheme="minorHAnsi" w:hAnsiTheme="minorHAnsi" w:cstheme="minorHAnsi"/>
          <w:b/>
          <w:color w:val="7030A0"/>
          <w:szCs w:val="22"/>
          <w:lang w:val="fr-FR"/>
        </w:rPr>
        <w:lastRenderedPageBreak/>
        <w:t>Introduction de la Société sur le marché Euronext Paris</w:t>
      </w:r>
    </w:p>
    <w:p w:rsidR="00EF089C" w:rsidRPr="00C73365" w:rsidRDefault="00EF089C">
      <w:pPr>
        <w:pStyle w:val="ListParagraph"/>
        <w:ind w:left="0"/>
        <w:rPr>
          <w:rFonts w:asciiTheme="minorHAnsi" w:hAnsiTheme="minorHAnsi" w:cstheme="minorHAnsi"/>
          <w:szCs w:val="22"/>
          <w:lang w:val="fr-FR"/>
        </w:rPr>
      </w:pPr>
    </w:p>
    <w:p w:rsidR="00EE4F61" w:rsidRPr="00C73365" w:rsidRDefault="00EF089C">
      <w:pPr>
        <w:pStyle w:val="ListParagraph"/>
        <w:ind w:left="0"/>
        <w:rPr>
          <w:rFonts w:asciiTheme="minorHAnsi" w:hAnsiTheme="minorHAnsi" w:cstheme="minorHAnsi"/>
          <w:szCs w:val="22"/>
          <w:lang w:val="fr-FR"/>
        </w:rPr>
      </w:pPr>
      <w:r w:rsidRPr="00C73365">
        <w:rPr>
          <w:rFonts w:asciiTheme="minorHAnsi" w:hAnsiTheme="minorHAnsi" w:cstheme="minorHAnsi"/>
          <w:szCs w:val="22"/>
          <w:lang w:val="fr-FR"/>
        </w:rPr>
        <w:t>La société a été introduite en bourse</w:t>
      </w:r>
      <w:r w:rsidR="00F46C7B" w:rsidRPr="00C73365">
        <w:rPr>
          <w:rFonts w:asciiTheme="minorHAnsi" w:hAnsiTheme="minorHAnsi" w:cstheme="minorHAnsi"/>
          <w:szCs w:val="22"/>
          <w:lang w:val="fr-FR"/>
        </w:rPr>
        <w:t xml:space="preserve"> en juin 2015 </w:t>
      </w:r>
      <w:r w:rsidRPr="00C73365">
        <w:rPr>
          <w:rFonts w:asciiTheme="minorHAnsi" w:hAnsiTheme="minorHAnsi" w:cstheme="minorHAnsi"/>
          <w:szCs w:val="22"/>
          <w:lang w:val="fr-FR"/>
        </w:rPr>
        <w:t xml:space="preserve">où elle </w:t>
      </w:r>
      <w:r w:rsidR="00F46C7B" w:rsidRPr="00C73365">
        <w:rPr>
          <w:rFonts w:asciiTheme="minorHAnsi" w:hAnsiTheme="minorHAnsi" w:cstheme="minorHAnsi"/>
          <w:szCs w:val="22"/>
          <w:lang w:val="fr-FR"/>
        </w:rPr>
        <w:t>a pu lever près de 58 M</w:t>
      </w:r>
      <w:r w:rsidR="003D4F94" w:rsidRPr="00C73365">
        <w:rPr>
          <w:rFonts w:asciiTheme="minorHAnsi" w:hAnsiTheme="minorHAnsi" w:cstheme="minorHAnsi"/>
          <w:szCs w:val="22"/>
          <w:lang w:val="fr-FR"/>
        </w:rPr>
        <w:t>€</w:t>
      </w:r>
      <w:r w:rsidRPr="00C73365">
        <w:rPr>
          <w:rFonts w:asciiTheme="minorHAnsi" w:hAnsiTheme="minorHAnsi" w:cstheme="minorHAnsi"/>
          <w:szCs w:val="22"/>
          <w:lang w:val="fr-FR"/>
        </w:rPr>
        <w:t>.</w:t>
      </w:r>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679" w:name="_Toc320733011"/>
      <w:bookmarkStart w:id="680" w:name="_Toc400469556"/>
      <w:bookmarkStart w:id="681" w:name="_Toc462673255"/>
      <w:bookmarkStart w:id="682" w:name="_Toc467835602"/>
      <w:bookmarkStart w:id="683" w:name="_Toc512863917"/>
      <w:r w:rsidRPr="00C73365">
        <w:rPr>
          <w:rFonts w:asciiTheme="minorHAnsi" w:hAnsiTheme="minorHAnsi" w:cstheme="minorHAnsi"/>
          <w:sz w:val="22"/>
          <w:szCs w:val="22"/>
          <w:lang w:val="fr-FR"/>
        </w:rPr>
        <w:t>Restrictions à l’utilisation des capitaux ayant influé sensiblement ou pouvant influer sensiblement, de manière directe ou indirecte sur les opérations de l</w:t>
      </w:r>
      <w:bookmarkEnd w:id="679"/>
      <w:bookmarkEnd w:id="680"/>
      <w:r w:rsidRPr="00C73365">
        <w:rPr>
          <w:rFonts w:asciiTheme="minorHAnsi" w:hAnsiTheme="minorHAnsi" w:cstheme="minorHAnsi"/>
          <w:sz w:val="22"/>
          <w:szCs w:val="22"/>
          <w:lang w:val="fr-FR"/>
        </w:rPr>
        <w:t>a Société</w:t>
      </w:r>
      <w:bookmarkEnd w:id="681"/>
      <w:bookmarkEnd w:id="682"/>
      <w:bookmarkEnd w:id="683"/>
    </w:p>
    <w:p w:rsidR="00F46C7B" w:rsidRPr="00C73365" w:rsidRDefault="00F46C7B" w:rsidP="004572A0">
      <w:pPr>
        <w:pStyle w:val="BodyText"/>
        <w:rPr>
          <w:rFonts w:asciiTheme="minorHAnsi" w:hAnsiTheme="minorHAnsi" w:cstheme="minorHAnsi"/>
          <w:lang w:val="fr-FR"/>
        </w:rPr>
      </w:pPr>
      <w:r w:rsidRPr="00C73365">
        <w:rPr>
          <w:rFonts w:asciiTheme="minorHAnsi" w:eastAsia="MS Mincho" w:hAnsiTheme="minorHAnsi" w:cstheme="minorHAnsi"/>
          <w:lang w:val="fr-FR" w:eastAsia="ja-JP"/>
        </w:rPr>
        <w:t>Néant</w:t>
      </w:r>
      <w:bookmarkStart w:id="684" w:name="_Toc400469557"/>
    </w:p>
    <w:p w:rsidR="00F46C7B" w:rsidRPr="00C73365" w:rsidRDefault="00F46C7B" w:rsidP="007A1897">
      <w:pPr>
        <w:pStyle w:val="ConmainL2"/>
        <w:numPr>
          <w:ilvl w:val="1"/>
          <w:numId w:val="9"/>
        </w:numPr>
        <w:spacing w:after="120"/>
        <w:rPr>
          <w:rFonts w:asciiTheme="minorHAnsi" w:hAnsiTheme="minorHAnsi" w:cstheme="minorHAnsi"/>
          <w:sz w:val="22"/>
          <w:szCs w:val="22"/>
          <w:lang w:val="fr-FR"/>
        </w:rPr>
      </w:pPr>
      <w:bookmarkStart w:id="685" w:name="_Toc462673256"/>
      <w:bookmarkStart w:id="686" w:name="_Toc467835603"/>
      <w:bookmarkStart w:id="687" w:name="_Toc512863918"/>
      <w:r w:rsidRPr="00C73365">
        <w:rPr>
          <w:rFonts w:asciiTheme="minorHAnsi" w:hAnsiTheme="minorHAnsi" w:cstheme="minorHAnsi"/>
          <w:sz w:val="22"/>
          <w:szCs w:val="22"/>
          <w:lang w:val="fr-FR"/>
        </w:rPr>
        <w:t>Sources de financement attendues</w:t>
      </w:r>
      <w:bookmarkEnd w:id="684"/>
      <w:bookmarkEnd w:id="685"/>
      <w:bookmarkEnd w:id="686"/>
      <w:bookmarkEnd w:id="687"/>
    </w:p>
    <w:p w:rsidR="00F46C7B" w:rsidRPr="000E78ED"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L’augmentation des charges d’exploitation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le reflet d’une activité de recherche et développement intensifiée sur la partie clinique et accélérée sur la partie pré clinique. </w:t>
      </w:r>
      <w:r w:rsidRPr="00C73365">
        <w:rPr>
          <w:rFonts w:asciiTheme="minorHAnsi" w:eastAsia="MS Mincho" w:hAnsiTheme="minorHAnsi" w:cstheme="minorHAnsi"/>
          <w:lang w:val="fr-FR" w:eastAsia="ja-JP"/>
        </w:rPr>
        <w:t>Pour financer cette augmentation des dépenses, les sources de financement attendues sont les suivantes :</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Financement par </w:t>
      </w:r>
      <w:r w:rsidR="001479F8">
        <w:rPr>
          <w:rFonts w:asciiTheme="minorHAnsi" w:hAnsiTheme="minorHAnsi" w:cstheme="minorHAnsi"/>
          <w:b/>
          <w:lang w:val="fr-FR"/>
        </w:rPr>
        <w:t>Bpifrance</w:t>
      </w:r>
      <w:r w:rsidRPr="00C73365">
        <w:rPr>
          <w:rFonts w:asciiTheme="minorHAnsi" w:hAnsiTheme="minorHAnsi" w:cstheme="minorHAnsi"/>
          <w:b/>
          <w:lang w:val="fr-FR"/>
        </w:rPr>
        <w:t> :</w:t>
      </w:r>
    </w:p>
    <w:p w:rsidR="00F46C7B" w:rsidRPr="00C73365" w:rsidRDefault="00F46C7B" w:rsidP="004572A0">
      <w:pPr>
        <w:pStyle w:val="BodyText"/>
        <w:rPr>
          <w:rFonts w:asciiTheme="minorHAnsi" w:eastAsia="MS Mincho" w:hAnsiTheme="minorHAnsi" w:cstheme="minorHAnsi"/>
          <w:lang w:val="fr-FR" w:eastAsia="ja-JP"/>
        </w:rPr>
      </w:pPr>
      <w:r w:rsidRPr="00C73365">
        <w:rPr>
          <w:rFonts w:asciiTheme="minorHAnsi" w:eastAsia="MS Mincho" w:hAnsiTheme="minorHAnsi" w:cstheme="minorHAnsi"/>
          <w:lang w:val="fr-FR" w:eastAsia="ja-JP"/>
        </w:rPr>
        <w:t>Le programme de développement ABX464</w:t>
      </w:r>
      <w:r w:rsidR="00B7090B" w:rsidRPr="00C73365">
        <w:rPr>
          <w:rFonts w:asciiTheme="minorHAnsi" w:eastAsia="MS Mincho" w:hAnsiTheme="minorHAnsi" w:cstheme="minorHAnsi"/>
          <w:lang w:val="fr-FR" w:eastAsia="ja-JP"/>
        </w:rPr>
        <w:t xml:space="preserve"> </w:t>
      </w:r>
      <w:r w:rsidRPr="00C73365">
        <w:rPr>
          <w:rFonts w:asciiTheme="minorHAnsi" w:eastAsia="MS Mincho" w:hAnsiTheme="minorHAnsi" w:cstheme="minorHAnsi"/>
          <w:lang w:val="fr-FR" w:eastAsia="ja-JP"/>
        </w:rPr>
        <w:t xml:space="preserve">fait l’objet d’un soutien financier important de la part de </w:t>
      </w:r>
      <w:r w:rsidR="001479F8">
        <w:rPr>
          <w:rFonts w:asciiTheme="minorHAnsi" w:eastAsia="MS Mincho" w:hAnsiTheme="minorHAnsi" w:cstheme="minorHAnsi"/>
          <w:lang w:val="fr-FR" w:eastAsia="ja-JP"/>
        </w:rPr>
        <w:t>Bpifrance</w:t>
      </w:r>
      <w:r w:rsidRPr="00C73365">
        <w:rPr>
          <w:rFonts w:asciiTheme="minorHAnsi" w:eastAsia="MS Mincho" w:hAnsiTheme="minorHAnsi" w:cstheme="minorHAnsi"/>
          <w:lang w:val="fr-FR" w:eastAsia="ja-JP"/>
        </w:rPr>
        <w:t xml:space="preserve"> (projet ISI-CaReNA) </w:t>
      </w:r>
      <w:r w:rsidR="00B7090B" w:rsidRPr="00C73365">
        <w:rPr>
          <w:rFonts w:asciiTheme="minorHAnsi" w:eastAsia="MS Mincho" w:hAnsiTheme="minorHAnsi" w:cstheme="minorHAnsi"/>
          <w:lang w:val="fr-FR" w:eastAsia="ja-JP"/>
        </w:rPr>
        <w:t xml:space="preserve">et </w:t>
      </w:r>
      <w:r w:rsidRPr="00C73365">
        <w:rPr>
          <w:rFonts w:asciiTheme="minorHAnsi" w:eastAsia="MS Mincho" w:hAnsiTheme="minorHAnsi" w:cstheme="minorHAnsi"/>
          <w:lang w:val="fr-FR" w:eastAsia="ja-JP"/>
        </w:rPr>
        <w:t xml:space="preserve">a franchi avec succès l’Etape Clé n°1 </w:t>
      </w:r>
      <w:r w:rsidR="00056331" w:rsidRPr="00C73365">
        <w:rPr>
          <w:rFonts w:asciiTheme="minorHAnsi" w:eastAsia="MS Mincho" w:hAnsiTheme="minorHAnsi" w:cstheme="minorHAnsi"/>
          <w:lang w:val="fr-FR" w:eastAsia="ja-JP"/>
        </w:rPr>
        <w:t xml:space="preserve">en </w:t>
      </w:r>
      <w:r w:rsidRPr="00C73365">
        <w:rPr>
          <w:rFonts w:asciiTheme="minorHAnsi" w:eastAsia="MS Mincho" w:hAnsiTheme="minorHAnsi" w:cstheme="minorHAnsi"/>
          <w:lang w:val="fr-FR" w:eastAsia="ja-JP"/>
        </w:rPr>
        <w:t xml:space="preserve">Août 2014 </w:t>
      </w:r>
      <w:r w:rsidR="00E42CD3" w:rsidRPr="00C73365">
        <w:rPr>
          <w:rFonts w:asciiTheme="minorHAnsi" w:eastAsia="MS Mincho" w:hAnsiTheme="minorHAnsi" w:cstheme="minorHAnsi"/>
          <w:lang w:val="fr-FR" w:eastAsia="ja-JP"/>
        </w:rPr>
        <w:t xml:space="preserve">et l’Etape-Clé 2 </w:t>
      </w:r>
      <w:r w:rsidR="00056331" w:rsidRPr="00C73365">
        <w:rPr>
          <w:rFonts w:asciiTheme="minorHAnsi" w:eastAsia="MS Mincho" w:hAnsiTheme="minorHAnsi" w:cstheme="minorHAnsi"/>
          <w:lang w:val="fr-FR" w:eastAsia="ja-JP"/>
        </w:rPr>
        <w:t>en</w:t>
      </w:r>
      <w:r w:rsidRPr="00C73365">
        <w:rPr>
          <w:rFonts w:asciiTheme="minorHAnsi" w:eastAsia="MS Mincho" w:hAnsiTheme="minorHAnsi" w:cstheme="minorHAnsi"/>
          <w:lang w:val="fr-FR" w:eastAsia="ja-JP"/>
        </w:rPr>
        <w:t xml:space="preserve"> Juin </w:t>
      </w:r>
      <w:r w:rsidR="00E42CD3" w:rsidRPr="00C73365">
        <w:rPr>
          <w:rFonts w:asciiTheme="minorHAnsi" w:eastAsia="MS Mincho" w:hAnsiTheme="minorHAnsi" w:cstheme="minorHAnsi"/>
          <w:lang w:val="fr-FR" w:eastAsia="ja-JP"/>
        </w:rPr>
        <w:t>2016</w:t>
      </w:r>
      <w:r w:rsidRPr="00C73365">
        <w:rPr>
          <w:rFonts w:asciiTheme="minorHAnsi" w:eastAsia="MS Mincho" w:hAnsiTheme="minorHAnsi" w:cstheme="minorHAnsi"/>
          <w:lang w:val="fr-FR" w:eastAsia="ja-JP"/>
        </w:rPr>
        <w:t xml:space="preserve"> déclenchant ainsi </w:t>
      </w:r>
      <w:r w:rsidR="00E42CD3" w:rsidRPr="00C73365">
        <w:rPr>
          <w:rFonts w:asciiTheme="minorHAnsi" w:eastAsia="MS Mincho" w:hAnsiTheme="minorHAnsi" w:cstheme="minorHAnsi"/>
          <w:lang w:val="fr-FR" w:eastAsia="ja-JP"/>
        </w:rPr>
        <w:t xml:space="preserve">outre le premier versement effectué </w:t>
      </w:r>
      <w:r w:rsidR="00056331" w:rsidRPr="00C73365">
        <w:rPr>
          <w:rFonts w:asciiTheme="minorHAnsi" w:eastAsia="MS Mincho" w:hAnsiTheme="minorHAnsi" w:cstheme="minorHAnsi"/>
          <w:lang w:val="fr-FR" w:eastAsia="ja-JP"/>
        </w:rPr>
        <w:t xml:space="preserve">après la signature du contrat, </w:t>
      </w:r>
      <w:r w:rsidRPr="00C73365">
        <w:rPr>
          <w:rFonts w:asciiTheme="minorHAnsi" w:eastAsia="MS Mincho" w:hAnsiTheme="minorHAnsi" w:cstheme="minorHAnsi"/>
          <w:lang w:val="fr-FR" w:eastAsia="ja-JP"/>
        </w:rPr>
        <w:t xml:space="preserve">l’encaissement </w:t>
      </w:r>
      <w:r w:rsidR="00E42CD3" w:rsidRPr="00C73365">
        <w:rPr>
          <w:rFonts w:asciiTheme="minorHAnsi" w:eastAsia="MS Mincho" w:hAnsiTheme="minorHAnsi" w:cstheme="minorHAnsi"/>
          <w:lang w:val="fr-FR" w:eastAsia="ja-JP"/>
        </w:rPr>
        <w:t>des subventions et avances remboursables associé</w:t>
      </w:r>
      <w:r w:rsidR="00056331" w:rsidRPr="00C73365">
        <w:rPr>
          <w:rFonts w:asciiTheme="minorHAnsi" w:eastAsia="MS Mincho" w:hAnsiTheme="minorHAnsi" w:cstheme="minorHAnsi"/>
          <w:lang w:val="fr-FR" w:eastAsia="ja-JP"/>
        </w:rPr>
        <w:t>s à EC1 et EC2</w:t>
      </w:r>
      <w:r w:rsidR="00E42CD3" w:rsidRPr="00C73365">
        <w:rPr>
          <w:rFonts w:asciiTheme="minorHAnsi" w:eastAsia="MS Mincho" w:hAnsiTheme="minorHAnsi" w:cstheme="minorHAnsi"/>
          <w:lang w:val="fr-FR" w:eastAsia="ja-JP"/>
        </w:rPr>
        <w:t xml:space="preserve">. </w:t>
      </w:r>
    </w:p>
    <w:p w:rsidR="00056331" w:rsidRPr="00C73365" w:rsidRDefault="006834D5" w:rsidP="004572A0">
      <w:pPr>
        <w:pStyle w:val="BodyText"/>
        <w:rPr>
          <w:rFonts w:asciiTheme="minorHAnsi" w:eastAsia="MS Mincho" w:hAnsiTheme="minorHAnsi" w:cstheme="minorHAnsi"/>
          <w:lang w:val="fr-FR" w:eastAsia="ja-JP"/>
        </w:rPr>
      </w:pPr>
      <w:r w:rsidRPr="00C73365">
        <w:rPr>
          <w:rFonts w:asciiTheme="minorHAnsi" w:eastAsia="MS Mincho" w:hAnsiTheme="minorHAnsi" w:cstheme="minorHAnsi"/>
          <w:lang w:val="fr-FR" w:eastAsia="ja-JP"/>
        </w:rPr>
        <w:t xml:space="preserve">Le programme </w:t>
      </w:r>
      <w:r w:rsidR="000E5435" w:rsidRPr="00C73365">
        <w:rPr>
          <w:rFonts w:asciiTheme="minorHAnsi" w:eastAsia="MS Mincho" w:hAnsiTheme="minorHAnsi" w:cstheme="minorHAnsi"/>
          <w:lang w:val="fr-FR" w:eastAsia="ja-JP"/>
        </w:rPr>
        <w:t>PSPC</w:t>
      </w:r>
      <w:r w:rsidRPr="00C73365">
        <w:rPr>
          <w:rFonts w:asciiTheme="minorHAnsi" w:eastAsia="MS Mincho" w:hAnsiTheme="minorHAnsi" w:cstheme="minorHAnsi"/>
          <w:lang w:val="fr-FR" w:eastAsia="ja-JP"/>
        </w:rPr>
        <w:t xml:space="preserve">-RNP Vir fait </w:t>
      </w:r>
      <w:r w:rsidR="00056331" w:rsidRPr="00C73365">
        <w:rPr>
          <w:rFonts w:asciiTheme="minorHAnsi" w:eastAsia="MS Mincho" w:hAnsiTheme="minorHAnsi" w:cstheme="minorHAnsi"/>
          <w:lang w:val="fr-FR" w:eastAsia="ja-JP"/>
        </w:rPr>
        <w:t xml:space="preserve">également </w:t>
      </w:r>
      <w:r w:rsidRPr="00C73365">
        <w:rPr>
          <w:rFonts w:asciiTheme="minorHAnsi" w:eastAsia="MS Mincho" w:hAnsiTheme="minorHAnsi" w:cstheme="minorHAnsi"/>
          <w:lang w:val="fr-FR" w:eastAsia="ja-JP"/>
        </w:rPr>
        <w:t xml:space="preserve">l’objet d’un soutien financier important de la part de </w:t>
      </w:r>
      <w:r w:rsidR="001479F8">
        <w:rPr>
          <w:rFonts w:asciiTheme="minorHAnsi" w:eastAsia="MS Mincho" w:hAnsiTheme="minorHAnsi" w:cstheme="minorHAnsi"/>
          <w:lang w:val="fr-FR" w:eastAsia="ja-JP"/>
        </w:rPr>
        <w:t>Bpifrance</w:t>
      </w:r>
      <w:r w:rsidRPr="00C73365">
        <w:rPr>
          <w:rFonts w:asciiTheme="minorHAnsi" w:eastAsia="MS Mincho" w:hAnsiTheme="minorHAnsi" w:cstheme="minorHAnsi"/>
          <w:lang w:val="fr-FR" w:eastAsia="ja-JP"/>
        </w:rPr>
        <w:t>.</w:t>
      </w:r>
      <w:r w:rsidR="008B425E" w:rsidRPr="00C73365">
        <w:rPr>
          <w:rFonts w:asciiTheme="minorHAnsi" w:eastAsia="MS Mincho" w:hAnsiTheme="minorHAnsi" w:cstheme="minorHAnsi"/>
          <w:lang w:val="fr-FR" w:eastAsia="ja-JP"/>
        </w:rPr>
        <w:t xml:space="preserve"> </w:t>
      </w:r>
      <w:r w:rsidR="00EF089C" w:rsidRPr="00C73365">
        <w:rPr>
          <w:rFonts w:asciiTheme="minorHAnsi" w:eastAsia="MS Mincho" w:hAnsiTheme="minorHAnsi" w:cstheme="minorHAnsi"/>
          <w:lang w:val="fr-FR" w:eastAsia="ja-JP"/>
        </w:rPr>
        <w:t>ABIVAX</w:t>
      </w:r>
      <w:r w:rsidR="00056331" w:rsidRPr="00C73365">
        <w:rPr>
          <w:rFonts w:asciiTheme="minorHAnsi" w:eastAsia="MS Mincho" w:hAnsiTheme="minorHAnsi" w:cstheme="minorHAnsi"/>
          <w:lang w:val="fr-FR" w:eastAsia="ja-JP"/>
        </w:rPr>
        <w:t xml:space="preserve"> a reçu en </w:t>
      </w:r>
      <w:r w:rsidR="00E73A7C">
        <w:rPr>
          <w:rFonts w:asciiTheme="minorHAnsi" w:eastAsia="MS Mincho" w:hAnsiTheme="minorHAnsi" w:cstheme="minorHAnsi"/>
          <w:lang w:val="fr-FR" w:eastAsia="ja-JP"/>
        </w:rPr>
        <w:t>septembre</w:t>
      </w:r>
      <w:r w:rsidR="00056331" w:rsidRPr="00C73365">
        <w:rPr>
          <w:rFonts w:asciiTheme="minorHAnsi" w:eastAsia="MS Mincho" w:hAnsiTheme="minorHAnsi" w:cstheme="minorHAnsi"/>
          <w:lang w:val="fr-FR" w:eastAsia="ja-JP"/>
        </w:rPr>
        <w:t xml:space="preserve"> 2017 </w:t>
      </w:r>
      <w:r w:rsidR="004572A0" w:rsidRPr="00C73365">
        <w:rPr>
          <w:rFonts w:asciiTheme="minorHAnsi" w:eastAsia="MS Mincho" w:hAnsiTheme="minorHAnsi" w:cstheme="minorHAnsi"/>
          <w:lang w:val="fr-FR" w:eastAsia="ja-JP"/>
        </w:rPr>
        <w:t>un</w:t>
      </w:r>
      <w:r w:rsidR="00056331" w:rsidRPr="00C73365">
        <w:rPr>
          <w:rFonts w:asciiTheme="minorHAnsi" w:eastAsia="MS Mincho" w:hAnsiTheme="minorHAnsi" w:cstheme="minorHAnsi"/>
          <w:lang w:val="fr-FR" w:eastAsia="ja-JP"/>
        </w:rPr>
        <w:t xml:space="preserve"> premier versement </w:t>
      </w:r>
      <w:r w:rsidR="004572A0" w:rsidRPr="00C73365">
        <w:rPr>
          <w:rFonts w:asciiTheme="minorHAnsi" w:eastAsia="MS Mincho" w:hAnsiTheme="minorHAnsi" w:cstheme="minorHAnsi"/>
          <w:lang w:val="fr-FR" w:eastAsia="ja-JP"/>
        </w:rPr>
        <w:t xml:space="preserve">de 2.1 M€ </w:t>
      </w:r>
      <w:r w:rsidR="00056331" w:rsidRPr="00C73365">
        <w:rPr>
          <w:rFonts w:asciiTheme="minorHAnsi" w:eastAsia="MS Mincho" w:hAnsiTheme="minorHAnsi" w:cstheme="minorHAnsi"/>
          <w:lang w:val="fr-FR" w:eastAsia="ja-JP"/>
        </w:rPr>
        <w:t>préalablement à l’EC1.</w:t>
      </w:r>
    </w:p>
    <w:p w:rsidR="00056331" w:rsidRPr="00C73365" w:rsidRDefault="00056331"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programme d’aide au développement d’un traitement basé sur un cocktail d’anticorps polyclonaux contre le virus EBOLA (ABX544) </w:t>
      </w:r>
      <w:r w:rsidR="00B7090B" w:rsidRPr="00C73365">
        <w:rPr>
          <w:rFonts w:asciiTheme="minorHAnsi" w:hAnsiTheme="minorHAnsi" w:cstheme="minorHAnsi"/>
          <w:lang w:val="fr-FR"/>
        </w:rPr>
        <w:t xml:space="preserve">est </w:t>
      </w:r>
      <w:r w:rsidRPr="00C73365">
        <w:rPr>
          <w:rFonts w:asciiTheme="minorHAnsi" w:hAnsiTheme="minorHAnsi" w:cstheme="minorHAnsi"/>
          <w:lang w:val="fr-FR"/>
        </w:rPr>
        <w:t xml:space="preserve">conjointement financé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et la région Occitanie avec des avances remboursables dont la majorité </w:t>
      </w:r>
      <w:r w:rsidR="004572A0" w:rsidRPr="00C73365">
        <w:rPr>
          <w:rFonts w:asciiTheme="minorHAnsi" w:hAnsiTheme="minorHAnsi" w:cstheme="minorHAnsi"/>
          <w:lang w:val="fr-FR"/>
        </w:rPr>
        <w:t xml:space="preserve">à hauteur de 300 K€ </w:t>
      </w:r>
      <w:r w:rsidRPr="00C73365">
        <w:rPr>
          <w:rFonts w:asciiTheme="minorHAnsi" w:hAnsiTheme="minorHAnsi" w:cstheme="minorHAnsi"/>
          <w:lang w:val="fr-FR"/>
        </w:rPr>
        <w:t>a été perçue en 2017.</w:t>
      </w:r>
    </w:p>
    <w:p w:rsidR="006834D5" w:rsidRPr="00C73365" w:rsidRDefault="006834D5" w:rsidP="004572A0">
      <w:pPr>
        <w:pStyle w:val="BodyText"/>
        <w:rPr>
          <w:rFonts w:asciiTheme="minorHAnsi" w:hAnsiTheme="minorHAnsi" w:cstheme="minorHAnsi"/>
          <w:lang w:val="fr-FR"/>
        </w:rPr>
      </w:pPr>
      <w:r w:rsidRPr="00C73365">
        <w:rPr>
          <w:rFonts w:asciiTheme="minorHAnsi" w:hAnsiTheme="minorHAnsi" w:cstheme="minorHAnsi"/>
          <w:lang w:val="fr-FR"/>
        </w:rPr>
        <w:t>Les versements</w:t>
      </w:r>
      <w:r w:rsidR="00056331" w:rsidRPr="00C73365">
        <w:rPr>
          <w:rFonts w:asciiTheme="minorHAnsi" w:hAnsiTheme="minorHAnsi" w:cstheme="minorHAnsi"/>
          <w:lang w:val="fr-FR"/>
        </w:rPr>
        <w:t xml:space="preserve"> de ces programmes</w:t>
      </w:r>
      <w:r w:rsidRPr="00C73365">
        <w:rPr>
          <w:rFonts w:asciiTheme="minorHAnsi" w:hAnsiTheme="minorHAnsi" w:cstheme="minorHAnsi"/>
          <w:lang w:val="fr-FR"/>
        </w:rPr>
        <w:t xml:space="preserve"> </w:t>
      </w:r>
      <w:r w:rsidR="00056331" w:rsidRPr="00C73365">
        <w:rPr>
          <w:rFonts w:asciiTheme="minorHAnsi" w:hAnsiTheme="minorHAnsi" w:cstheme="minorHAnsi"/>
          <w:lang w:val="fr-FR"/>
        </w:rPr>
        <w:t>sont</w:t>
      </w:r>
      <w:r w:rsidRPr="00C73365">
        <w:rPr>
          <w:rFonts w:asciiTheme="minorHAnsi" w:hAnsiTheme="minorHAnsi" w:cstheme="minorHAnsi"/>
          <w:lang w:val="fr-FR"/>
        </w:rPr>
        <w:t xml:space="preserve"> effectués à la fin de chaque étape clé et </w:t>
      </w:r>
      <w:r w:rsidR="00056331" w:rsidRPr="00C73365">
        <w:rPr>
          <w:rFonts w:asciiTheme="minorHAnsi" w:hAnsiTheme="minorHAnsi" w:cstheme="minorHAnsi"/>
          <w:lang w:val="fr-FR"/>
        </w:rPr>
        <w:t xml:space="preserve">sont variables en fonction </w:t>
      </w:r>
      <w:r w:rsidRPr="00C73365">
        <w:rPr>
          <w:rFonts w:asciiTheme="minorHAnsi" w:hAnsiTheme="minorHAnsi" w:cstheme="minorHAnsi"/>
          <w:lang w:val="fr-FR"/>
        </w:rPr>
        <w:t>de</w:t>
      </w:r>
      <w:r w:rsidR="00056331" w:rsidRPr="00C73365">
        <w:rPr>
          <w:rFonts w:asciiTheme="minorHAnsi" w:hAnsiTheme="minorHAnsi" w:cstheme="minorHAnsi"/>
          <w:lang w:val="fr-FR"/>
        </w:rPr>
        <w:t>s</w:t>
      </w:r>
      <w:r w:rsidRPr="00C73365">
        <w:rPr>
          <w:rFonts w:asciiTheme="minorHAnsi" w:hAnsiTheme="minorHAnsi" w:cstheme="minorHAnsi"/>
          <w:lang w:val="fr-FR"/>
        </w:rPr>
        <w:t xml:space="preserve"> justificatifs de dépenses</w:t>
      </w:r>
      <w:r w:rsidR="00056331" w:rsidRPr="00C73365">
        <w:rPr>
          <w:rFonts w:asciiTheme="minorHAnsi" w:hAnsiTheme="minorHAnsi" w:cstheme="minorHAnsi"/>
          <w:lang w:val="fr-FR"/>
        </w:rPr>
        <w:t xml:space="preserve"> et livrables scientifiques effectués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w:t>
      </w:r>
      <w:r w:rsidR="00056331" w:rsidRPr="00C73365">
        <w:rPr>
          <w:rFonts w:asciiTheme="minorHAnsi" w:hAnsiTheme="minorHAnsi" w:cstheme="minorHAnsi"/>
          <w:lang w:val="fr-FR"/>
        </w:rPr>
        <w:t>L</w:t>
      </w:r>
      <w:r w:rsidRPr="00C73365">
        <w:rPr>
          <w:rFonts w:asciiTheme="minorHAnsi" w:hAnsiTheme="minorHAnsi" w:cstheme="minorHAnsi"/>
          <w:lang w:val="fr-FR"/>
        </w:rPr>
        <w:t xml:space="preserve">e calendrier associé est indiqué </w:t>
      </w:r>
      <w:r w:rsidR="00B7090B" w:rsidRPr="00C73365">
        <w:rPr>
          <w:rFonts w:asciiTheme="minorHAnsi" w:hAnsiTheme="minorHAnsi" w:cstheme="minorHAnsi"/>
          <w:lang w:val="fr-FR"/>
        </w:rPr>
        <w:t xml:space="preserve">ci-dessous </w:t>
      </w:r>
      <w:r w:rsidRPr="00C73365">
        <w:rPr>
          <w:rFonts w:asciiTheme="minorHAnsi" w:hAnsiTheme="minorHAnsi" w:cstheme="minorHAnsi"/>
          <w:lang w:val="fr-FR"/>
        </w:rPr>
        <w:t>à titre indicatif et sera susceptible d’évoluer en fonction de l’avancée des livrables</w:t>
      </w:r>
      <w:r w:rsidR="008B425E" w:rsidRPr="00C73365">
        <w:rPr>
          <w:rFonts w:asciiTheme="minorHAnsi" w:hAnsiTheme="minorHAnsi" w:cstheme="minorHAnsi"/>
          <w:lang w:val="fr-FR"/>
        </w:rPr>
        <w:t>.</w:t>
      </w:r>
    </w:p>
    <w:p w:rsidR="00056331" w:rsidRPr="00C73365" w:rsidRDefault="006B2036" w:rsidP="004572A0">
      <w:pPr>
        <w:pStyle w:val="BodyText"/>
        <w:rPr>
          <w:rFonts w:asciiTheme="minorHAnsi" w:hAnsiTheme="minorHAnsi" w:cstheme="minorHAnsi"/>
          <w:lang w:val="fr-FR"/>
        </w:rPr>
      </w:pPr>
      <w:r w:rsidRPr="00C73365">
        <w:rPr>
          <w:rFonts w:asciiTheme="minorHAnsi" w:hAnsiTheme="minorHAnsi" w:cstheme="minorHAnsi"/>
          <w:lang w:val="fr-FR"/>
        </w:rPr>
        <w:t>Tableaux récapitulatifs</w:t>
      </w:r>
      <w:r w:rsidR="008B425E" w:rsidRPr="00C73365">
        <w:rPr>
          <w:rFonts w:asciiTheme="minorHAnsi" w:hAnsiTheme="minorHAnsi" w:cstheme="minorHAnsi"/>
          <w:lang w:val="fr-FR"/>
        </w:rPr>
        <w:t xml:space="preserve"> des montants à recevoir </w:t>
      </w:r>
      <w:r w:rsidR="00B7090B" w:rsidRPr="00C73365">
        <w:rPr>
          <w:rFonts w:asciiTheme="minorHAnsi" w:hAnsiTheme="minorHAnsi" w:cstheme="minorHAnsi"/>
          <w:lang w:val="fr-FR"/>
        </w:rPr>
        <w:t xml:space="preserve">à titre indicatif </w:t>
      </w:r>
      <w:r w:rsidR="008B425E" w:rsidRPr="00C73365">
        <w:rPr>
          <w:rFonts w:asciiTheme="minorHAnsi" w:hAnsiTheme="minorHAnsi" w:cstheme="minorHAnsi"/>
          <w:lang w:val="fr-FR"/>
        </w:rPr>
        <w:t>(détail au chapitre</w:t>
      </w:r>
      <w:r w:rsidR="00470BB2" w:rsidRPr="00C73365">
        <w:rPr>
          <w:rFonts w:asciiTheme="minorHAnsi" w:hAnsiTheme="minorHAnsi" w:cstheme="minorHAnsi"/>
          <w:lang w:val="fr-FR"/>
        </w:rPr>
        <w:t xml:space="preserve"> </w:t>
      </w:r>
      <w:r w:rsidR="008B425E" w:rsidRPr="00C73365">
        <w:rPr>
          <w:rFonts w:asciiTheme="minorHAnsi" w:hAnsiTheme="minorHAnsi" w:cstheme="minorHAnsi"/>
          <w:lang w:val="fr-FR"/>
        </w:rPr>
        <w:t xml:space="preserve">22.4 Contrat d’aide </w:t>
      </w:r>
      <w:r w:rsidR="001479F8">
        <w:rPr>
          <w:rFonts w:asciiTheme="minorHAnsi" w:hAnsiTheme="minorHAnsi" w:cstheme="minorHAnsi"/>
          <w:lang w:val="fr-FR"/>
        </w:rPr>
        <w:t>Bpifrance</w:t>
      </w:r>
      <w:r w:rsidR="008B425E" w:rsidRPr="00C73365">
        <w:rPr>
          <w:rFonts w:asciiTheme="minorHAnsi" w:hAnsiTheme="minorHAnsi" w:cstheme="minorHAnsi"/>
          <w:lang w:val="fr-FR"/>
        </w:rPr>
        <w:t xml:space="preserve"> (subventions et avances remboursables)</w:t>
      </w:r>
    </w:p>
    <w:tbl>
      <w:tblPr>
        <w:tblW w:w="9494" w:type="dxa"/>
        <w:tblLook w:val="04A0" w:firstRow="1" w:lastRow="0" w:firstColumn="1" w:lastColumn="0" w:noHBand="0" w:noVBand="1"/>
      </w:tblPr>
      <w:tblGrid>
        <w:gridCol w:w="2791"/>
        <w:gridCol w:w="1908"/>
        <w:gridCol w:w="753"/>
        <w:gridCol w:w="753"/>
        <w:gridCol w:w="753"/>
        <w:gridCol w:w="753"/>
        <w:gridCol w:w="753"/>
        <w:gridCol w:w="231"/>
        <w:gridCol w:w="799"/>
      </w:tblGrid>
      <w:tr w:rsidR="00B7090B" w:rsidRPr="00C73365" w:rsidTr="006A05A6">
        <w:trPr>
          <w:trHeight w:val="315"/>
        </w:trPr>
        <w:tc>
          <w:tcPr>
            <w:tcW w:w="2791"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au 31 décembre 2017</w:t>
            </w:r>
          </w:p>
        </w:tc>
        <w:tc>
          <w:tcPr>
            <w:tcW w:w="1908"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Solde au 31 décembre 2017</w:t>
            </w:r>
          </w:p>
        </w:tc>
        <w:tc>
          <w:tcPr>
            <w:tcW w:w="753"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2018*</w:t>
            </w:r>
          </w:p>
        </w:tc>
        <w:tc>
          <w:tcPr>
            <w:tcW w:w="753"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2019*</w:t>
            </w:r>
          </w:p>
        </w:tc>
        <w:tc>
          <w:tcPr>
            <w:tcW w:w="753"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2020*</w:t>
            </w:r>
          </w:p>
        </w:tc>
        <w:tc>
          <w:tcPr>
            <w:tcW w:w="753"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2021*</w:t>
            </w:r>
          </w:p>
        </w:tc>
        <w:tc>
          <w:tcPr>
            <w:tcW w:w="753"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2022*</w:t>
            </w:r>
          </w:p>
        </w:tc>
        <w:tc>
          <w:tcPr>
            <w:tcW w:w="231" w:type="dxa"/>
            <w:tcBorders>
              <w:top w:val="nil"/>
              <w:left w:val="nil"/>
              <w:bottom w:val="nil"/>
              <w:right w:val="nil"/>
            </w:tcBorders>
            <w:shd w:val="clear" w:color="auto" w:fill="auto"/>
            <w:noWrap/>
            <w:vAlign w:val="center"/>
            <w:hideMark/>
          </w:tcPr>
          <w:p w:rsidR="00B7090B" w:rsidRPr="00C73365" w:rsidRDefault="00B7090B" w:rsidP="00B7090B">
            <w:pPr>
              <w:spacing w:after="0"/>
              <w:jc w:val="center"/>
              <w:rPr>
                <w:rFonts w:asciiTheme="minorHAnsi" w:hAnsiTheme="minorHAnsi" w:cstheme="minorHAnsi"/>
                <w:b/>
                <w:bCs/>
                <w:color w:val="000000"/>
                <w:szCs w:val="20"/>
              </w:rPr>
            </w:pPr>
          </w:p>
        </w:tc>
        <w:tc>
          <w:tcPr>
            <w:tcW w:w="799" w:type="dxa"/>
            <w:tcBorders>
              <w:top w:val="single" w:sz="12" w:space="0" w:color="7030A0"/>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Total*</w:t>
            </w:r>
          </w:p>
        </w:tc>
      </w:tr>
      <w:tr w:rsidR="00B7090B" w:rsidRPr="00C73365" w:rsidTr="006A05A6">
        <w:trPr>
          <w:trHeight w:val="315"/>
        </w:trPr>
        <w:tc>
          <w:tcPr>
            <w:tcW w:w="2791"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908"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c>
          <w:tcPr>
            <w:tcW w:w="231" w:type="dxa"/>
            <w:tcBorders>
              <w:top w:val="nil"/>
              <w:left w:val="nil"/>
              <w:bottom w:val="nil"/>
              <w:right w:val="nil"/>
            </w:tcBorders>
            <w:shd w:val="clear" w:color="auto" w:fill="auto"/>
            <w:noWrap/>
            <w:vAlign w:val="center"/>
            <w:hideMark/>
          </w:tcPr>
          <w:p w:rsidR="00B7090B" w:rsidRPr="00C73365" w:rsidRDefault="00B7090B" w:rsidP="00B7090B">
            <w:pPr>
              <w:spacing w:after="0"/>
              <w:jc w:val="center"/>
              <w:rPr>
                <w:rFonts w:asciiTheme="minorHAnsi" w:hAnsiTheme="minorHAnsi" w:cstheme="minorHAnsi"/>
                <w:b/>
                <w:bCs/>
                <w:color w:val="000000"/>
                <w:szCs w:val="20"/>
              </w:rPr>
            </w:pPr>
          </w:p>
        </w:tc>
        <w:tc>
          <w:tcPr>
            <w:tcW w:w="799"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r>
      <w:tr w:rsidR="00B7090B" w:rsidRPr="00C73365" w:rsidTr="006A05A6">
        <w:trPr>
          <w:trHeight w:val="300"/>
        </w:trPr>
        <w:tc>
          <w:tcPr>
            <w:tcW w:w="2791" w:type="dxa"/>
            <w:tcBorders>
              <w:top w:val="nil"/>
              <w:left w:val="nil"/>
              <w:bottom w:val="nil"/>
              <w:right w:val="nil"/>
            </w:tcBorders>
            <w:shd w:val="clear" w:color="auto" w:fill="auto"/>
            <w:vAlign w:val="center"/>
            <w:hideMark/>
          </w:tcPr>
          <w:p w:rsidR="00B7090B" w:rsidRPr="00C73365" w:rsidRDefault="00B7090B" w:rsidP="00B7090B">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ISI-CaReNA (part Subventions)</w:t>
            </w:r>
            <w:r w:rsidRPr="00C73365">
              <w:rPr>
                <w:rFonts w:asciiTheme="minorHAnsi" w:hAnsiTheme="minorHAnsi" w:cstheme="minorHAnsi"/>
                <w:color w:val="7030A0"/>
                <w:szCs w:val="20"/>
                <w:lang w:val="fr-FR"/>
              </w:rPr>
              <w:t>*</w:t>
            </w:r>
          </w:p>
        </w:tc>
        <w:tc>
          <w:tcPr>
            <w:tcW w:w="1908"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1 187</w:t>
            </w: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210</w:t>
            </w: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szCs w:val="20"/>
              </w:rPr>
            </w:pP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szCs w:val="20"/>
              </w:rPr>
            </w:pP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szCs w:val="20"/>
              </w:rPr>
            </w:pPr>
          </w:p>
        </w:tc>
        <w:tc>
          <w:tcPr>
            <w:tcW w:w="231" w:type="dxa"/>
            <w:tcBorders>
              <w:top w:val="nil"/>
              <w:left w:val="nil"/>
              <w:bottom w:val="nil"/>
              <w:right w:val="nil"/>
            </w:tcBorders>
            <w:shd w:val="clear" w:color="auto" w:fill="auto"/>
            <w:noWrap/>
            <w:vAlign w:val="center"/>
            <w:hideMark/>
          </w:tcPr>
          <w:p w:rsidR="00B7090B" w:rsidRPr="00C73365" w:rsidRDefault="00B7090B" w:rsidP="00B7090B">
            <w:pPr>
              <w:spacing w:after="0"/>
              <w:jc w:val="center"/>
              <w:rPr>
                <w:rFonts w:asciiTheme="minorHAnsi" w:hAnsiTheme="minorHAnsi" w:cstheme="minorHAnsi"/>
                <w:szCs w:val="20"/>
              </w:rPr>
            </w:pPr>
          </w:p>
        </w:tc>
        <w:tc>
          <w:tcPr>
            <w:tcW w:w="799"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 w:val="22"/>
                <w:szCs w:val="22"/>
              </w:rPr>
            </w:pPr>
            <w:r w:rsidRPr="00C73365">
              <w:rPr>
                <w:rFonts w:asciiTheme="minorHAnsi" w:hAnsiTheme="minorHAnsi" w:cstheme="minorHAnsi"/>
                <w:color w:val="000000"/>
                <w:sz w:val="22"/>
                <w:szCs w:val="22"/>
              </w:rPr>
              <w:t>1 397</w:t>
            </w:r>
          </w:p>
        </w:tc>
      </w:tr>
      <w:tr w:rsidR="00B7090B" w:rsidRPr="00C73365" w:rsidTr="006A05A6">
        <w:trPr>
          <w:trHeight w:val="315"/>
        </w:trPr>
        <w:tc>
          <w:tcPr>
            <w:tcW w:w="2791"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ISI-CaReNA (part Av Remb)</w:t>
            </w:r>
            <w:r w:rsidRPr="00C73365">
              <w:rPr>
                <w:rFonts w:asciiTheme="minorHAnsi" w:hAnsiTheme="minorHAnsi" w:cstheme="minorHAnsi"/>
                <w:color w:val="7030A0"/>
                <w:szCs w:val="20"/>
                <w:lang w:val="fr-FR"/>
              </w:rPr>
              <w:t>*</w:t>
            </w:r>
          </w:p>
        </w:tc>
        <w:tc>
          <w:tcPr>
            <w:tcW w:w="1908"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2 187</w:t>
            </w:r>
          </w:p>
        </w:tc>
        <w:tc>
          <w:tcPr>
            <w:tcW w:w="753" w:type="dxa"/>
            <w:tcBorders>
              <w:top w:val="nil"/>
              <w:left w:val="nil"/>
              <w:bottom w:val="single" w:sz="8" w:space="0" w:color="7030A0"/>
              <w:right w:val="nil"/>
            </w:tcBorders>
            <w:shd w:val="clear" w:color="auto" w:fill="auto"/>
            <w:vAlign w:val="center"/>
            <w:hideMark/>
          </w:tcPr>
          <w:p w:rsidR="00B7090B" w:rsidRPr="00C73365" w:rsidRDefault="004572A0" w:rsidP="008F376F">
            <w:pPr>
              <w:spacing w:after="0"/>
              <w:rPr>
                <w:rFonts w:asciiTheme="minorHAnsi" w:hAnsiTheme="minorHAnsi" w:cstheme="minorHAnsi"/>
                <w:color w:val="000000"/>
                <w:szCs w:val="20"/>
              </w:rPr>
            </w:pPr>
            <w:r w:rsidRPr="00C73365">
              <w:rPr>
                <w:rFonts w:asciiTheme="minorHAnsi" w:hAnsiTheme="minorHAnsi" w:cstheme="minorHAnsi"/>
                <w:color w:val="000000"/>
                <w:szCs w:val="20"/>
              </w:rPr>
              <w:t>1 643</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4572A0">
            <w:pPr>
              <w:spacing w:after="0"/>
              <w:rPr>
                <w:rFonts w:asciiTheme="minorHAnsi" w:hAnsiTheme="minorHAnsi" w:cstheme="minorHAnsi"/>
                <w:color w:val="000000"/>
                <w:sz w:val="22"/>
                <w:szCs w:val="22"/>
              </w:rPr>
            </w:pPr>
            <w:r w:rsidRPr="00C73365">
              <w:rPr>
                <w:rFonts w:asciiTheme="minorHAnsi" w:hAnsiTheme="minorHAnsi" w:cstheme="minorHAnsi"/>
                <w:color w:val="000000"/>
                <w:sz w:val="22"/>
                <w:szCs w:val="22"/>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 w:val="22"/>
                <w:szCs w:val="22"/>
              </w:rPr>
            </w:pPr>
            <w:r w:rsidRPr="00C73365">
              <w:rPr>
                <w:rFonts w:asciiTheme="minorHAnsi" w:hAnsiTheme="minorHAnsi" w:cstheme="minorHAnsi"/>
                <w:color w:val="000000"/>
                <w:sz w:val="22"/>
                <w:szCs w:val="22"/>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231" w:type="dxa"/>
            <w:tcBorders>
              <w:top w:val="nil"/>
              <w:left w:val="nil"/>
              <w:bottom w:val="nil"/>
              <w:right w:val="nil"/>
            </w:tcBorders>
            <w:shd w:val="clear" w:color="auto" w:fill="auto"/>
            <w:noWrap/>
            <w:vAlign w:val="center"/>
            <w:hideMark/>
          </w:tcPr>
          <w:p w:rsidR="00B7090B" w:rsidRPr="00C73365" w:rsidRDefault="00B7090B" w:rsidP="00B7090B">
            <w:pPr>
              <w:spacing w:after="0"/>
              <w:jc w:val="center"/>
              <w:rPr>
                <w:rFonts w:asciiTheme="minorHAnsi" w:hAnsiTheme="minorHAnsi" w:cstheme="minorHAnsi"/>
                <w:color w:val="000000"/>
                <w:szCs w:val="20"/>
              </w:rPr>
            </w:pPr>
          </w:p>
        </w:tc>
        <w:tc>
          <w:tcPr>
            <w:tcW w:w="799" w:type="dxa"/>
            <w:tcBorders>
              <w:top w:val="nil"/>
              <w:left w:val="nil"/>
              <w:bottom w:val="single" w:sz="8" w:space="0" w:color="7030A0"/>
              <w:right w:val="nil"/>
            </w:tcBorders>
            <w:shd w:val="clear" w:color="auto" w:fill="auto"/>
            <w:vAlign w:val="center"/>
            <w:hideMark/>
          </w:tcPr>
          <w:p w:rsidR="00B7090B" w:rsidRPr="00C73365" w:rsidRDefault="00DF7C11" w:rsidP="00B7090B">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3 830</w:t>
            </w:r>
          </w:p>
        </w:tc>
      </w:tr>
      <w:tr w:rsidR="00B7090B" w:rsidRPr="00C73365" w:rsidTr="006A05A6">
        <w:trPr>
          <w:trHeight w:val="300"/>
        </w:trPr>
        <w:tc>
          <w:tcPr>
            <w:tcW w:w="2791" w:type="dxa"/>
            <w:tcBorders>
              <w:top w:val="nil"/>
              <w:left w:val="nil"/>
              <w:bottom w:val="nil"/>
              <w:right w:val="nil"/>
            </w:tcBorders>
            <w:shd w:val="clear" w:color="auto" w:fill="auto"/>
            <w:vAlign w:val="center"/>
            <w:hideMark/>
          </w:tcPr>
          <w:p w:rsidR="00B7090B" w:rsidRPr="00C73365" w:rsidRDefault="00B7090B" w:rsidP="00B7090B">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PSCPC- RNP Vir (part Subventions)</w:t>
            </w:r>
            <w:r w:rsidRPr="00C73365">
              <w:rPr>
                <w:rFonts w:asciiTheme="minorHAnsi" w:hAnsiTheme="minorHAnsi" w:cstheme="minorHAnsi"/>
                <w:color w:val="7030A0"/>
                <w:szCs w:val="20"/>
                <w:lang w:val="fr-FR"/>
              </w:rPr>
              <w:t>*</w:t>
            </w:r>
          </w:p>
        </w:tc>
        <w:tc>
          <w:tcPr>
            <w:tcW w:w="1908"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347</w:t>
            </w:r>
          </w:p>
        </w:tc>
        <w:tc>
          <w:tcPr>
            <w:tcW w:w="753" w:type="dxa"/>
            <w:tcBorders>
              <w:top w:val="nil"/>
              <w:left w:val="nil"/>
              <w:bottom w:val="nil"/>
              <w:right w:val="nil"/>
            </w:tcBorders>
            <w:shd w:val="clear" w:color="auto" w:fill="auto"/>
            <w:vAlign w:val="center"/>
            <w:hideMark/>
          </w:tcPr>
          <w:p w:rsidR="00B7090B" w:rsidRPr="00C73365" w:rsidRDefault="00900757" w:rsidP="00B7090B">
            <w:pPr>
              <w:spacing w:after="0"/>
              <w:jc w:val="center"/>
              <w:rPr>
                <w:rFonts w:asciiTheme="minorHAnsi" w:hAnsiTheme="minorHAnsi" w:cstheme="minorHAnsi"/>
                <w:color w:val="000000"/>
                <w:szCs w:val="20"/>
              </w:rPr>
            </w:pPr>
            <w:r>
              <w:rPr>
                <w:rFonts w:asciiTheme="minorHAnsi" w:hAnsiTheme="minorHAnsi" w:cstheme="minorHAnsi"/>
                <w:color w:val="000000"/>
                <w:szCs w:val="20"/>
              </w:rPr>
              <w:t>309</w:t>
            </w:r>
          </w:p>
        </w:tc>
        <w:tc>
          <w:tcPr>
            <w:tcW w:w="753" w:type="dxa"/>
            <w:tcBorders>
              <w:top w:val="nil"/>
              <w:left w:val="nil"/>
              <w:bottom w:val="nil"/>
              <w:right w:val="nil"/>
            </w:tcBorders>
            <w:shd w:val="clear" w:color="auto" w:fill="auto"/>
            <w:vAlign w:val="center"/>
            <w:hideMark/>
          </w:tcPr>
          <w:p w:rsidR="00B7090B" w:rsidRPr="00C73365" w:rsidRDefault="008F376F"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r w:rsidR="00900757">
              <w:rPr>
                <w:rFonts w:asciiTheme="minorHAnsi" w:hAnsiTheme="minorHAnsi" w:cstheme="minorHAnsi"/>
                <w:color w:val="000000"/>
                <w:szCs w:val="20"/>
              </w:rPr>
              <w:t>28</w:t>
            </w: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414</w:t>
            </w: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96</w:t>
            </w:r>
          </w:p>
        </w:tc>
        <w:tc>
          <w:tcPr>
            <w:tcW w:w="753" w:type="dxa"/>
            <w:tcBorders>
              <w:top w:val="nil"/>
              <w:left w:val="nil"/>
              <w:bottom w:val="nil"/>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318</w:t>
            </w:r>
          </w:p>
        </w:tc>
        <w:tc>
          <w:tcPr>
            <w:tcW w:w="231" w:type="dxa"/>
            <w:tcBorders>
              <w:top w:val="nil"/>
              <w:left w:val="nil"/>
              <w:bottom w:val="nil"/>
              <w:right w:val="nil"/>
            </w:tcBorders>
            <w:shd w:val="clear" w:color="auto" w:fill="auto"/>
            <w:noWrap/>
            <w:vAlign w:val="center"/>
            <w:hideMark/>
          </w:tcPr>
          <w:p w:rsidR="00B7090B" w:rsidRPr="00C73365" w:rsidRDefault="00B7090B" w:rsidP="00B7090B">
            <w:pPr>
              <w:spacing w:after="0"/>
              <w:jc w:val="center"/>
              <w:rPr>
                <w:rFonts w:asciiTheme="minorHAnsi" w:hAnsiTheme="minorHAnsi" w:cstheme="minorHAnsi"/>
                <w:color w:val="000000"/>
                <w:szCs w:val="20"/>
              </w:rPr>
            </w:pPr>
          </w:p>
        </w:tc>
        <w:tc>
          <w:tcPr>
            <w:tcW w:w="799" w:type="dxa"/>
            <w:tcBorders>
              <w:top w:val="nil"/>
              <w:left w:val="nil"/>
              <w:bottom w:val="nil"/>
              <w:right w:val="nil"/>
            </w:tcBorders>
            <w:shd w:val="clear" w:color="auto" w:fill="auto"/>
            <w:vAlign w:val="center"/>
            <w:hideMark/>
          </w:tcPr>
          <w:p w:rsidR="00B7090B" w:rsidRPr="00C73365" w:rsidRDefault="00FB7E16" w:rsidP="00B7090B">
            <w:pPr>
              <w:spacing w:after="0"/>
              <w:jc w:val="center"/>
              <w:rPr>
                <w:rFonts w:asciiTheme="minorHAnsi" w:hAnsiTheme="minorHAnsi" w:cstheme="minorHAnsi"/>
                <w:color w:val="000000"/>
                <w:sz w:val="22"/>
                <w:szCs w:val="22"/>
              </w:rPr>
            </w:pPr>
            <w:r>
              <w:rPr>
                <w:rFonts w:asciiTheme="minorHAnsi" w:hAnsiTheme="minorHAnsi" w:cstheme="minorHAnsi"/>
                <w:color w:val="000000"/>
                <w:sz w:val="22"/>
                <w:szCs w:val="22"/>
              </w:rPr>
              <w:t>2 112</w:t>
            </w:r>
          </w:p>
        </w:tc>
      </w:tr>
      <w:tr w:rsidR="00B7090B" w:rsidRPr="00C73365" w:rsidTr="006A05A6">
        <w:trPr>
          <w:trHeight w:val="315"/>
        </w:trPr>
        <w:tc>
          <w:tcPr>
            <w:tcW w:w="2791"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PSPC- RNP Vir (part Av Remb)</w:t>
            </w:r>
            <w:r w:rsidRPr="00C73365">
              <w:rPr>
                <w:rFonts w:asciiTheme="minorHAnsi" w:hAnsiTheme="minorHAnsi" w:cstheme="minorHAnsi"/>
                <w:color w:val="7030A0"/>
                <w:szCs w:val="20"/>
                <w:lang w:val="fr-FR"/>
              </w:rPr>
              <w:t>*</w:t>
            </w:r>
          </w:p>
        </w:tc>
        <w:tc>
          <w:tcPr>
            <w:tcW w:w="1908"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1 756</w:t>
            </w:r>
          </w:p>
        </w:tc>
        <w:tc>
          <w:tcPr>
            <w:tcW w:w="753" w:type="dxa"/>
            <w:tcBorders>
              <w:top w:val="nil"/>
              <w:left w:val="nil"/>
              <w:bottom w:val="single" w:sz="8" w:space="0" w:color="7030A0"/>
              <w:right w:val="nil"/>
            </w:tcBorders>
            <w:shd w:val="clear" w:color="auto" w:fill="auto"/>
            <w:vAlign w:val="center"/>
            <w:hideMark/>
          </w:tcPr>
          <w:p w:rsidR="00B7090B" w:rsidRPr="00C73365" w:rsidRDefault="00900757" w:rsidP="00B7090B">
            <w:pPr>
              <w:spacing w:after="0"/>
              <w:jc w:val="center"/>
              <w:rPr>
                <w:rFonts w:asciiTheme="minorHAnsi" w:hAnsiTheme="minorHAnsi" w:cstheme="minorHAnsi"/>
                <w:color w:val="000000"/>
                <w:szCs w:val="20"/>
              </w:rPr>
            </w:pPr>
            <w:r>
              <w:rPr>
                <w:rFonts w:asciiTheme="minorHAnsi" w:hAnsiTheme="minorHAnsi" w:cstheme="minorHAnsi"/>
                <w:color w:val="000000"/>
                <w:szCs w:val="20"/>
              </w:rPr>
              <w:t>979</w:t>
            </w:r>
          </w:p>
        </w:tc>
        <w:tc>
          <w:tcPr>
            <w:tcW w:w="753" w:type="dxa"/>
            <w:tcBorders>
              <w:top w:val="nil"/>
              <w:left w:val="nil"/>
              <w:bottom w:val="single" w:sz="8" w:space="0" w:color="7030A0"/>
              <w:right w:val="nil"/>
            </w:tcBorders>
            <w:shd w:val="clear" w:color="auto" w:fill="auto"/>
            <w:vAlign w:val="center"/>
          </w:tcPr>
          <w:p w:rsidR="00B7090B" w:rsidRPr="00C73365" w:rsidRDefault="008F376F"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xml:space="preserve">1 </w:t>
            </w:r>
            <w:r w:rsidR="00900757">
              <w:rPr>
                <w:rFonts w:asciiTheme="minorHAnsi" w:hAnsiTheme="minorHAnsi" w:cstheme="minorHAnsi"/>
                <w:color w:val="000000"/>
                <w:szCs w:val="20"/>
              </w:rPr>
              <w:t>297</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1 154</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167</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945</w:t>
            </w:r>
          </w:p>
        </w:tc>
        <w:tc>
          <w:tcPr>
            <w:tcW w:w="231" w:type="dxa"/>
            <w:tcBorders>
              <w:top w:val="nil"/>
              <w:left w:val="nil"/>
              <w:bottom w:val="nil"/>
              <w:right w:val="nil"/>
            </w:tcBorders>
            <w:shd w:val="clear" w:color="auto" w:fill="auto"/>
            <w:noWrap/>
            <w:vAlign w:val="center"/>
            <w:hideMark/>
          </w:tcPr>
          <w:p w:rsidR="00B7090B" w:rsidRPr="00C73365" w:rsidRDefault="00B7090B" w:rsidP="00B7090B">
            <w:pPr>
              <w:spacing w:after="0"/>
              <w:jc w:val="center"/>
              <w:rPr>
                <w:rFonts w:asciiTheme="minorHAnsi" w:hAnsiTheme="minorHAnsi" w:cstheme="minorHAnsi"/>
                <w:color w:val="000000"/>
                <w:szCs w:val="20"/>
              </w:rPr>
            </w:pPr>
          </w:p>
        </w:tc>
        <w:tc>
          <w:tcPr>
            <w:tcW w:w="799" w:type="dxa"/>
            <w:tcBorders>
              <w:top w:val="nil"/>
              <w:left w:val="nil"/>
              <w:bottom w:val="single" w:sz="8" w:space="0" w:color="7030A0"/>
              <w:right w:val="nil"/>
            </w:tcBorders>
            <w:shd w:val="clear" w:color="auto" w:fill="auto"/>
            <w:vAlign w:val="center"/>
            <w:hideMark/>
          </w:tcPr>
          <w:p w:rsidR="00B7090B" w:rsidRPr="00C73365" w:rsidRDefault="008F376F" w:rsidP="00B7090B">
            <w:pPr>
              <w:spacing w:after="0"/>
              <w:jc w:val="center"/>
              <w:rPr>
                <w:rFonts w:asciiTheme="minorHAnsi" w:hAnsiTheme="minorHAnsi" w:cstheme="minorHAnsi"/>
                <w:color w:val="000000"/>
                <w:sz w:val="22"/>
                <w:szCs w:val="22"/>
              </w:rPr>
            </w:pPr>
            <w:r w:rsidRPr="00C73365">
              <w:rPr>
                <w:rFonts w:asciiTheme="minorHAnsi" w:hAnsiTheme="minorHAnsi" w:cstheme="minorHAnsi"/>
                <w:color w:val="000000"/>
                <w:sz w:val="22"/>
                <w:szCs w:val="22"/>
              </w:rPr>
              <w:t>6 2</w:t>
            </w:r>
            <w:r w:rsidR="00900757">
              <w:rPr>
                <w:rFonts w:asciiTheme="minorHAnsi" w:hAnsiTheme="minorHAnsi" w:cstheme="minorHAnsi"/>
                <w:color w:val="000000"/>
                <w:sz w:val="22"/>
                <w:szCs w:val="22"/>
              </w:rPr>
              <w:t>9</w:t>
            </w:r>
            <w:r w:rsidR="00FB7E16">
              <w:rPr>
                <w:rFonts w:asciiTheme="minorHAnsi" w:hAnsiTheme="minorHAnsi" w:cstheme="minorHAnsi"/>
                <w:color w:val="000000"/>
                <w:sz w:val="22"/>
                <w:szCs w:val="22"/>
              </w:rPr>
              <w:t>8</w:t>
            </w:r>
          </w:p>
        </w:tc>
      </w:tr>
      <w:tr w:rsidR="00B7090B" w:rsidRPr="00C73365" w:rsidTr="006A05A6">
        <w:trPr>
          <w:trHeight w:val="526"/>
        </w:trPr>
        <w:tc>
          <w:tcPr>
            <w:tcW w:w="2791"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Aide conjointe </w:t>
            </w:r>
            <w:r w:rsidR="001479F8">
              <w:rPr>
                <w:rFonts w:asciiTheme="minorHAnsi" w:hAnsiTheme="minorHAnsi" w:cstheme="minorHAnsi"/>
                <w:color w:val="000000"/>
                <w:szCs w:val="20"/>
                <w:lang w:val="fr-FR"/>
              </w:rPr>
              <w:t>Bpifrance</w:t>
            </w:r>
            <w:r w:rsidRPr="00C73365">
              <w:rPr>
                <w:rFonts w:asciiTheme="minorHAnsi" w:hAnsiTheme="minorHAnsi" w:cstheme="minorHAnsi"/>
                <w:color w:val="000000"/>
                <w:szCs w:val="20"/>
                <w:lang w:val="fr-FR"/>
              </w:rPr>
              <w:t xml:space="preserve"> et Région Occitanie pour Ebola</w:t>
            </w:r>
          </w:p>
        </w:tc>
        <w:tc>
          <w:tcPr>
            <w:tcW w:w="1908"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90</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753"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231" w:type="dxa"/>
            <w:tcBorders>
              <w:top w:val="nil"/>
              <w:left w:val="nil"/>
              <w:bottom w:val="nil"/>
              <w:right w:val="nil"/>
            </w:tcBorders>
            <w:shd w:val="clear" w:color="auto" w:fill="auto"/>
            <w:noWrap/>
            <w:vAlign w:val="center"/>
            <w:hideMark/>
          </w:tcPr>
          <w:p w:rsidR="00B7090B" w:rsidRPr="00C73365" w:rsidRDefault="00B7090B" w:rsidP="00B7090B">
            <w:pPr>
              <w:spacing w:after="0"/>
              <w:jc w:val="center"/>
              <w:rPr>
                <w:rFonts w:asciiTheme="minorHAnsi" w:hAnsiTheme="minorHAnsi" w:cstheme="minorHAnsi"/>
                <w:color w:val="000000"/>
                <w:szCs w:val="20"/>
              </w:rPr>
            </w:pPr>
          </w:p>
        </w:tc>
        <w:tc>
          <w:tcPr>
            <w:tcW w:w="799"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390</w:t>
            </w:r>
          </w:p>
        </w:tc>
      </w:tr>
      <w:tr w:rsidR="00B7090B" w:rsidRPr="00C73365" w:rsidTr="006A05A6">
        <w:trPr>
          <w:trHeight w:val="315"/>
        </w:trPr>
        <w:tc>
          <w:tcPr>
            <w:tcW w:w="2791"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Total</w:t>
            </w:r>
          </w:p>
        </w:tc>
        <w:tc>
          <w:tcPr>
            <w:tcW w:w="1908" w:type="dxa"/>
            <w:tcBorders>
              <w:top w:val="nil"/>
              <w:left w:val="nil"/>
              <w:bottom w:val="single" w:sz="8" w:space="0" w:color="7030A0"/>
              <w:right w:val="nil"/>
            </w:tcBorders>
            <w:shd w:val="clear" w:color="auto" w:fill="auto"/>
            <w:vAlign w:val="center"/>
            <w:hideMark/>
          </w:tcPr>
          <w:p w:rsidR="00B7090B" w:rsidRPr="00C73365" w:rsidRDefault="00B7090B" w:rsidP="00B7090B">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5 777</w:t>
            </w:r>
          </w:p>
        </w:tc>
        <w:tc>
          <w:tcPr>
            <w:tcW w:w="753" w:type="dxa"/>
            <w:tcBorders>
              <w:top w:val="nil"/>
              <w:left w:val="nil"/>
              <w:bottom w:val="single" w:sz="8" w:space="0" w:color="7030A0"/>
              <w:right w:val="nil"/>
            </w:tcBorders>
            <w:shd w:val="clear" w:color="auto" w:fill="auto"/>
            <w:vAlign w:val="center"/>
          </w:tcPr>
          <w:p w:rsidR="00B7090B" w:rsidRPr="00C73365" w:rsidRDefault="00694421" w:rsidP="00B7090B">
            <w:pPr>
              <w:spacing w:after="0"/>
              <w:jc w:val="center"/>
              <w:rPr>
                <w:rFonts w:asciiTheme="minorHAnsi" w:hAnsiTheme="minorHAnsi" w:cstheme="minorHAnsi"/>
                <w:b/>
                <w:bCs/>
                <w:color w:val="7030A0"/>
                <w:szCs w:val="20"/>
              </w:rPr>
            </w:pPr>
            <w:r>
              <w:rPr>
                <w:rFonts w:asciiTheme="minorHAnsi" w:hAnsiTheme="minorHAnsi" w:cstheme="minorHAnsi"/>
                <w:b/>
                <w:bCs/>
                <w:color w:val="7030A0"/>
                <w:szCs w:val="20"/>
              </w:rPr>
              <w:t xml:space="preserve">3 </w:t>
            </w:r>
            <w:r w:rsidR="00FB7E16">
              <w:rPr>
                <w:rFonts w:asciiTheme="minorHAnsi" w:hAnsiTheme="minorHAnsi" w:cstheme="minorHAnsi"/>
                <w:b/>
                <w:bCs/>
                <w:color w:val="7030A0"/>
                <w:szCs w:val="20"/>
              </w:rPr>
              <w:t>231</w:t>
            </w:r>
          </w:p>
        </w:tc>
        <w:tc>
          <w:tcPr>
            <w:tcW w:w="753" w:type="dxa"/>
            <w:tcBorders>
              <w:top w:val="nil"/>
              <w:left w:val="nil"/>
              <w:bottom w:val="single" w:sz="8" w:space="0" w:color="7030A0"/>
              <w:right w:val="nil"/>
            </w:tcBorders>
            <w:shd w:val="clear" w:color="auto" w:fill="auto"/>
            <w:vAlign w:val="center"/>
          </w:tcPr>
          <w:p w:rsidR="00B7090B" w:rsidRPr="00C73365" w:rsidRDefault="00FB7E16" w:rsidP="00B7090B">
            <w:pPr>
              <w:spacing w:after="0"/>
              <w:jc w:val="center"/>
              <w:rPr>
                <w:rFonts w:asciiTheme="minorHAnsi" w:hAnsiTheme="minorHAnsi" w:cstheme="minorHAnsi"/>
                <w:b/>
                <w:bCs/>
                <w:color w:val="7030A0"/>
                <w:szCs w:val="20"/>
              </w:rPr>
            </w:pPr>
            <w:r>
              <w:rPr>
                <w:rFonts w:asciiTheme="minorHAnsi" w:hAnsiTheme="minorHAnsi" w:cstheme="minorHAnsi"/>
                <w:b/>
                <w:bCs/>
                <w:color w:val="7030A0"/>
                <w:szCs w:val="20"/>
              </w:rPr>
              <w:t>1 925</w:t>
            </w:r>
          </w:p>
        </w:tc>
        <w:tc>
          <w:tcPr>
            <w:tcW w:w="753" w:type="dxa"/>
            <w:tcBorders>
              <w:top w:val="nil"/>
              <w:left w:val="nil"/>
              <w:bottom w:val="single" w:sz="8" w:space="0" w:color="7030A0"/>
              <w:right w:val="nil"/>
            </w:tcBorders>
            <w:shd w:val="clear" w:color="auto" w:fill="auto"/>
            <w:vAlign w:val="center"/>
          </w:tcPr>
          <w:p w:rsidR="00B7090B" w:rsidRPr="00C73365" w:rsidRDefault="006A05A6" w:rsidP="00B7090B">
            <w:pPr>
              <w:spacing w:after="0"/>
              <w:jc w:val="center"/>
              <w:rPr>
                <w:rFonts w:asciiTheme="minorHAnsi" w:hAnsiTheme="minorHAnsi" w:cstheme="minorHAnsi"/>
                <w:b/>
                <w:bCs/>
                <w:color w:val="7030A0"/>
                <w:szCs w:val="20"/>
              </w:rPr>
            </w:pPr>
            <w:r>
              <w:rPr>
                <w:rFonts w:asciiTheme="minorHAnsi" w:hAnsiTheme="minorHAnsi" w:cstheme="minorHAnsi"/>
                <w:b/>
                <w:bCs/>
                <w:color w:val="7030A0"/>
                <w:szCs w:val="20"/>
              </w:rPr>
              <w:t>1 568</w:t>
            </w:r>
          </w:p>
        </w:tc>
        <w:tc>
          <w:tcPr>
            <w:tcW w:w="753" w:type="dxa"/>
            <w:tcBorders>
              <w:top w:val="nil"/>
              <w:left w:val="nil"/>
              <w:bottom w:val="single" w:sz="8" w:space="0" w:color="7030A0"/>
              <w:right w:val="nil"/>
            </w:tcBorders>
            <w:shd w:val="clear" w:color="auto" w:fill="auto"/>
            <w:vAlign w:val="center"/>
          </w:tcPr>
          <w:p w:rsidR="00B7090B" w:rsidRPr="00C73365" w:rsidRDefault="0056443F" w:rsidP="00B7090B">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263</w:t>
            </w:r>
          </w:p>
        </w:tc>
        <w:tc>
          <w:tcPr>
            <w:tcW w:w="753" w:type="dxa"/>
            <w:tcBorders>
              <w:top w:val="nil"/>
              <w:left w:val="nil"/>
              <w:bottom w:val="single" w:sz="8" w:space="0" w:color="7030A0"/>
              <w:right w:val="nil"/>
            </w:tcBorders>
            <w:shd w:val="clear" w:color="auto" w:fill="auto"/>
            <w:vAlign w:val="center"/>
          </w:tcPr>
          <w:p w:rsidR="00B7090B" w:rsidRPr="00C73365" w:rsidRDefault="0056443F" w:rsidP="00B7090B">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1 263</w:t>
            </w:r>
          </w:p>
        </w:tc>
        <w:tc>
          <w:tcPr>
            <w:tcW w:w="231" w:type="dxa"/>
            <w:tcBorders>
              <w:top w:val="nil"/>
              <w:left w:val="nil"/>
              <w:bottom w:val="nil"/>
              <w:right w:val="nil"/>
            </w:tcBorders>
            <w:shd w:val="clear" w:color="auto" w:fill="auto"/>
            <w:noWrap/>
            <w:vAlign w:val="center"/>
          </w:tcPr>
          <w:p w:rsidR="00B7090B" w:rsidRPr="00C73365" w:rsidRDefault="00B7090B" w:rsidP="00B7090B">
            <w:pPr>
              <w:spacing w:after="0"/>
              <w:jc w:val="center"/>
              <w:rPr>
                <w:rFonts w:asciiTheme="minorHAnsi" w:hAnsiTheme="minorHAnsi" w:cstheme="minorHAnsi"/>
                <w:b/>
                <w:bCs/>
                <w:color w:val="7030A0"/>
                <w:szCs w:val="20"/>
              </w:rPr>
            </w:pPr>
          </w:p>
        </w:tc>
        <w:tc>
          <w:tcPr>
            <w:tcW w:w="799" w:type="dxa"/>
            <w:tcBorders>
              <w:top w:val="nil"/>
              <w:left w:val="nil"/>
              <w:bottom w:val="single" w:sz="8" w:space="0" w:color="7030A0"/>
              <w:right w:val="nil"/>
            </w:tcBorders>
            <w:shd w:val="clear" w:color="auto" w:fill="auto"/>
            <w:vAlign w:val="center"/>
          </w:tcPr>
          <w:p w:rsidR="00B7090B" w:rsidRPr="00C73365" w:rsidRDefault="00FB7E16" w:rsidP="00B7090B">
            <w:pPr>
              <w:spacing w:after="0"/>
              <w:jc w:val="center"/>
              <w:rPr>
                <w:rFonts w:asciiTheme="minorHAnsi" w:hAnsiTheme="minorHAnsi" w:cstheme="minorHAnsi"/>
                <w:b/>
                <w:bCs/>
                <w:color w:val="7030A0"/>
                <w:szCs w:val="20"/>
              </w:rPr>
            </w:pPr>
            <w:r>
              <w:rPr>
                <w:rFonts w:asciiTheme="minorHAnsi" w:hAnsiTheme="minorHAnsi" w:cstheme="minorHAnsi"/>
                <w:b/>
                <w:bCs/>
                <w:color w:val="7030A0"/>
                <w:szCs w:val="20"/>
              </w:rPr>
              <w:t>14 027</w:t>
            </w:r>
          </w:p>
        </w:tc>
      </w:tr>
    </w:tbl>
    <w:p w:rsidR="00056331" w:rsidRPr="00C73365" w:rsidRDefault="005C675A">
      <w:pPr>
        <w:autoSpaceDE w:val="0"/>
        <w:autoSpaceDN w:val="0"/>
        <w:adjustRightInd w:val="0"/>
        <w:rPr>
          <w:rFonts w:asciiTheme="minorHAnsi" w:hAnsiTheme="minorHAnsi" w:cstheme="minorHAnsi"/>
          <w:b/>
          <w:color w:val="7030A0"/>
          <w:szCs w:val="22"/>
          <w:lang w:val="fr-FR"/>
        </w:rPr>
      </w:pPr>
      <w:r w:rsidRPr="00C73365">
        <w:rPr>
          <w:rFonts w:asciiTheme="minorHAnsi" w:hAnsiTheme="minorHAnsi" w:cstheme="minorHAnsi"/>
          <w:lang w:val="fr-FR"/>
        </w:rPr>
        <w:t>*Montants estimés</w:t>
      </w:r>
      <w:r>
        <w:rPr>
          <w:rFonts w:asciiTheme="minorHAnsi" w:hAnsiTheme="minorHAnsi" w:cstheme="minorHAnsi"/>
          <w:lang w:val="fr-FR"/>
        </w:rPr>
        <w:t xml:space="preserve"> </w:t>
      </w:r>
      <w:r w:rsidRPr="00C73365">
        <w:rPr>
          <w:rFonts w:asciiTheme="minorHAnsi" w:hAnsiTheme="minorHAnsi" w:cstheme="minorHAnsi"/>
          <w:lang w:val="fr-FR"/>
        </w:rPr>
        <w:t>au 31</w:t>
      </w:r>
      <w:r>
        <w:rPr>
          <w:rFonts w:asciiTheme="minorHAnsi" w:hAnsiTheme="minorHAnsi" w:cstheme="minorHAnsi"/>
          <w:lang w:val="fr-FR"/>
        </w:rPr>
        <w:t xml:space="preserve"> mars </w:t>
      </w:r>
      <w:r w:rsidRPr="00C73365">
        <w:rPr>
          <w:rFonts w:asciiTheme="minorHAnsi" w:hAnsiTheme="minorHAnsi" w:cstheme="minorHAnsi"/>
          <w:lang w:val="fr-FR"/>
        </w:rPr>
        <w:t>2018</w:t>
      </w:r>
      <w:r>
        <w:rPr>
          <w:rFonts w:asciiTheme="minorHAnsi" w:hAnsiTheme="minorHAnsi" w:cstheme="minorHAnsi"/>
          <w:lang w:val="fr-FR"/>
        </w:rPr>
        <w:t xml:space="preserve"> (se référer </w:t>
      </w:r>
      <w:r w:rsidRPr="00C73365">
        <w:rPr>
          <w:rFonts w:asciiTheme="minorHAnsi" w:hAnsiTheme="minorHAnsi" w:cstheme="minorHAnsi"/>
          <w:lang w:val="fr-FR"/>
        </w:rPr>
        <w:t>au chapitres 22.4</w:t>
      </w:r>
      <w:r>
        <w:rPr>
          <w:rFonts w:asciiTheme="minorHAnsi" w:hAnsiTheme="minorHAnsi" w:cstheme="minorHAnsi"/>
          <w:lang w:val="fr-FR"/>
        </w:rPr>
        <w:t xml:space="preserve"> pour une inofrmation plus détaillée)</w:t>
      </w:r>
    </w:p>
    <w:p w:rsidR="006B2036" w:rsidRPr="00C73365" w:rsidRDefault="006B2036">
      <w:pPr>
        <w:autoSpaceDE w:val="0"/>
        <w:autoSpaceDN w:val="0"/>
        <w:adjustRightInd w:val="0"/>
        <w:rPr>
          <w:rFonts w:asciiTheme="minorHAnsi" w:hAnsiTheme="minorHAnsi" w:cstheme="minorHAnsi"/>
          <w:b/>
          <w:color w:val="7030A0"/>
          <w:szCs w:val="22"/>
          <w:lang w:val="fr-FR"/>
        </w:rPr>
      </w:pPr>
    </w:p>
    <w:p w:rsidR="006834D5" w:rsidRPr="00C73365" w:rsidRDefault="006834D5" w:rsidP="004572A0">
      <w:pPr>
        <w:pStyle w:val="BodyText"/>
        <w:rPr>
          <w:rFonts w:asciiTheme="minorHAnsi" w:hAnsiTheme="minorHAnsi" w:cstheme="minorHAnsi"/>
          <w:b/>
          <w:u w:val="single"/>
          <w:lang w:val="fr-FR"/>
        </w:rPr>
      </w:pPr>
      <w:r w:rsidRPr="00C73365">
        <w:rPr>
          <w:rFonts w:asciiTheme="minorHAnsi" w:hAnsiTheme="minorHAnsi" w:cstheme="minorHAnsi"/>
          <w:b/>
          <w:lang w:val="fr-FR"/>
        </w:rPr>
        <w:t>Crédit Impôt Recherche (CIR) :</w:t>
      </w:r>
    </w:p>
    <w:p w:rsidR="004801C8" w:rsidRPr="00C73365" w:rsidRDefault="006834D5" w:rsidP="004572A0">
      <w:pPr>
        <w:pStyle w:val="BodyText"/>
        <w:rPr>
          <w:rFonts w:asciiTheme="minorHAnsi" w:hAnsiTheme="minorHAnsi" w:cstheme="minorHAnsi"/>
          <w:lang w:val="fr-FR"/>
        </w:rPr>
      </w:pPr>
      <w:r w:rsidRPr="00C73365">
        <w:rPr>
          <w:rFonts w:asciiTheme="minorHAnsi" w:hAnsiTheme="minorHAnsi" w:cstheme="minorHAnsi"/>
          <w:lang w:val="fr-FR"/>
        </w:rPr>
        <w:t>La société ayant une activité de recherche et développement, elle bénéficie du crédit d’impôt recherche.</w:t>
      </w:r>
      <w:r w:rsidR="005C675A">
        <w:rPr>
          <w:rFonts w:asciiTheme="minorHAnsi" w:hAnsiTheme="minorHAnsi" w:cstheme="minorHAnsi"/>
          <w:lang w:val="fr-FR"/>
        </w:rPr>
        <w:t xml:space="preserve"> </w:t>
      </w:r>
      <w:r w:rsidR="004801C8" w:rsidRPr="00C73365">
        <w:rPr>
          <w:rFonts w:asciiTheme="minorHAnsi" w:hAnsiTheme="minorHAnsi" w:cstheme="minorHAnsi"/>
          <w:lang w:val="fr-FR"/>
        </w:rPr>
        <w:t>Le CIR d’un montant de</w:t>
      </w:r>
      <w:r w:rsidR="008F3083" w:rsidRPr="00C73365">
        <w:rPr>
          <w:rFonts w:asciiTheme="minorHAnsi" w:hAnsiTheme="minorHAnsi" w:cstheme="minorHAnsi"/>
          <w:lang w:val="fr-FR"/>
        </w:rPr>
        <w:t xml:space="preserve"> </w:t>
      </w:r>
      <w:r w:rsidR="004801C8" w:rsidRPr="00C73365">
        <w:rPr>
          <w:rFonts w:asciiTheme="minorHAnsi" w:hAnsiTheme="minorHAnsi" w:cstheme="minorHAnsi"/>
          <w:lang w:val="fr-FR"/>
        </w:rPr>
        <w:t xml:space="preserve">3 578 </w:t>
      </w:r>
      <w:r w:rsidR="00EF089C" w:rsidRPr="00C73365">
        <w:rPr>
          <w:rFonts w:asciiTheme="minorHAnsi" w:hAnsiTheme="minorHAnsi" w:cstheme="minorHAnsi"/>
          <w:lang w:val="fr-FR"/>
        </w:rPr>
        <w:t>K€</w:t>
      </w:r>
      <w:r w:rsidR="004801C8" w:rsidRPr="00C73365">
        <w:rPr>
          <w:rFonts w:asciiTheme="minorHAnsi" w:hAnsiTheme="minorHAnsi" w:cstheme="minorHAnsi"/>
          <w:lang w:val="fr-FR"/>
        </w:rPr>
        <w:t xml:space="preserve"> au titre des dépenses de R&amp;D éligibles générées en 2016 a été encaissé dans son intégralité le 30 Août 2017.</w:t>
      </w:r>
    </w:p>
    <w:p w:rsidR="006834D5" w:rsidRPr="00C73365" w:rsidRDefault="006834D5"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 xml:space="preserve">L’activité de recherche et développement de la société au cours de l’année </w:t>
      </w:r>
      <w:r w:rsidR="004801C8" w:rsidRPr="00C73365">
        <w:rPr>
          <w:rFonts w:asciiTheme="minorHAnsi" w:hAnsiTheme="minorHAnsi" w:cstheme="minorHAnsi"/>
          <w:lang w:val="fr-FR"/>
        </w:rPr>
        <w:t xml:space="preserve">2017 </w:t>
      </w:r>
      <w:r w:rsidRPr="00C73365">
        <w:rPr>
          <w:rFonts w:asciiTheme="minorHAnsi" w:hAnsiTheme="minorHAnsi" w:cstheme="minorHAnsi"/>
          <w:lang w:val="fr-FR"/>
        </w:rPr>
        <w:t xml:space="preserve">a permis d’estimer un crédit d’impôt recherche de </w:t>
      </w:r>
      <w:r w:rsidR="00E30413" w:rsidRPr="00C73365">
        <w:rPr>
          <w:rFonts w:asciiTheme="minorHAnsi" w:hAnsiTheme="minorHAnsi" w:cstheme="minorHAnsi"/>
          <w:lang w:val="fr-FR"/>
        </w:rPr>
        <w:t>2 632</w:t>
      </w:r>
      <w:r w:rsidRPr="00C73365">
        <w:rPr>
          <w:rFonts w:asciiTheme="minorHAnsi" w:hAnsiTheme="minorHAnsi" w:cstheme="minorHAnsi"/>
          <w:lang w:val="fr-FR"/>
        </w:rPr>
        <w:t xml:space="preserve"> </w:t>
      </w:r>
      <w:r w:rsidR="00EF089C" w:rsidRPr="00C73365">
        <w:rPr>
          <w:rFonts w:asciiTheme="minorHAnsi" w:hAnsiTheme="minorHAnsi" w:cstheme="minorHAnsi"/>
          <w:lang w:val="fr-FR"/>
        </w:rPr>
        <w:t>K€</w:t>
      </w:r>
      <w:r w:rsidRPr="00C73365">
        <w:rPr>
          <w:rFonts w:asciiTheme="minorHAnsi" w:hAnsiTheme="minorHAnsi" w:cstheme="minorHAnsi"/>
          <w:lang w:val="fr-FR"/>
        </w:rPr>
        <w:t>.</w:t>
      </w:r>
    </w:p>
    <w:p w:rsidR="006834D5" w:rsidRPr="00C73365" w:rsidRDefault="006834D5"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crédit d’impôt compétitivité emploi a été estimé pour l’année </w:t>
      </w:r>
      <w:r w:rsidR="004801C8" w:rsidRPr="00C73365">
        <w:rPr>
          <w:rFonts w:asciiTheme="minorHAnsi" w:hAnsiTheme="minorHAnsi" w:cstheme="minorHAnsi"/>
          <w:lang w:val="fr-FR"/>
        </w:rPr>
        <w:t xml:space="preserve">2017 </w:t>
      </w:r>
      <w:r w:rsidRPr="00C73365">
        <w:rPr>
          <w:rFonts w:asciiTheme="minorHAnsi" w:hAnsiTheme="minorHAnsi" w:cstheme="minorHAnsi"/>
          <w:lang w:val="fr-FR"/>
        </w:rPr>
        <w:t xml:space="preserve">sur la base des rémunérations éligibles sur cette période, pondérée de l’impact des bonus provisionnés à cette même date. Il a été estimé </w:t>
      </w:r>
      <w:r w:rsidR="00E30413" w:rsidRPr="00C73365">
        <w:rPr>
          <w:rFonts w:asciiTheme="minorHAnsi" w:hAnsiTheme="minorHAnsi" w:cstheme="minorHAnsi"/>
          <w:lang w:val="fr-FR"/>
        </w:rPr>
        <w:t xml:space="preserve">12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et a été constaté en autres créances et au crédit des charges sociales sur la période.</w:t>
      </w:r>
    </w:p>
    <w:p w:rsidR="00E832D4" w:rsidRPr="00C73365" w:rsidRDefault="00E832D4" w:rsidP="004572A0">
      <w:pPr>
        <w:pStyle w:val="BodyText"/>
        <w:rPr>
          <w:rFonts w:asciiTheme="minorHAnsi" w:hAnsiTheme="minorHAnsi" w:cstheme="minorHAnsi"/>
          <w:b/>
          <w:lang w:val="fr-FR"/>
        </w:rPr>
      </w:pPr>
      <w:r w:rsidRPr="00C73365">
        <w:rPr>
          <w:rFonts w:asciiTheme="minorHAnsi" w:hAnsiTheme="minorHAnsi" w:cstheme="minorHAnsi"/>
          <w:b/>
          <w:lang w:val="fr-FR"/>
        </w:rPr>
        <w:t>Equity Line</w:t>
      </w:r>
      <w:r w:rsidR="00D11919" w:rsidRPr="00C73365">
        <w:rPr>
          <w:rFonts w:asciiTheme="minorHAnsi" w:hAnsiTheme="minorHAnsi" w:cstheme="minorHAnsi"/>
          <w:b/>
          <w:lang w:val="fr-FR"/>
        </w:rPr>
        <w:t xml:space="preserve"> ou ligne de financement </w:t>
      </w:r>
      <w:r w:rsidR="006B119E" w:rsidRPr="00C73365">
        <w:rPr>
          <w:rFonts w:asciiTheme="minorHAnsi" w:hAnsiTheme="minorHAnsi" w:cstheme="minorHAnsi"/>
          <w:b/>
          <w:lang w:val="fr-FR"/>
        </w:rPr>
        <w:t xml:space="preserve">en </w:t>
      </w:r>
      <w:r w:rsidR="00D11919" w:rsidRPr="00C73365">
        <w:rPr>
          <w:rFonts w:asciiTheme="minorHAnsi" w:hAnsiTheme="minorHAnsi" w:cstheme="minorHAnsi"/>
          <w:b/>
          <w:lang w:val="fr-FR"/>
        </w:rPr>
        <w:t>fonds propres</w:t>
      </w:r>
      <w:r w:rsidRPr="00C73365">
        <w:rPr>
          <w:rFonts w:asciiTheme="minorHAnsi" w:hAnsiTheme="minorHAnsi" w:cstheme="minorHAnsi"/>
          <w:b/>
          <w:lang w:val="fr-FR"/>
        </w:rPr>
        <w:t xml:space="preserve"> </w:t>
      </w:r>
    </w:p>
    <w:p w:rsidR="00D11919" w:rsidRPr="00C73365" w:rsidRDefault="00D11919"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Directeur Général de la Société, agissant sur délégation du Conseil d’Administration, qui s’est tenu le 18 </w:t>
      </w:r>
      <w:r w:rsidR="00E73A7C">
        <w:rPr>
          <w:rFonts w:asciiTheme="minorHAnsi" w:hAnsiTheme="minorHAnsi" w:cstheme="minorHAnsi"/>
          <w:lang w:val="fr-FR"/>
        </w:rPr>
        <w:t>septembre</w:t>
      </w:r>
      <w:r w:rsidRPr="00C73365">
        <w:rPr>
          <w:rFonts w:asciiTheme="minorHAnsi" w:hAnsiTheme="minorHAnsi" w:cstheme="minorHAnsi"/>
          <w:lang w:val="fr-FR"/>
        </w:rPr>
        <w:t xml:space="preserve"> 2017, et conformément à la 10</w:t>
      </w:r>
      <w:r w:rsidR="00470BB2" w:rsidRPr="00C73365">
        <w:rPr>
          <w:rFonts w:asciiTheme="minorHAnsi" w:hAnsiTheme="minorHAnsi" w:cstheme="minorHAnsi"/>
          <w:vertAlign w:val="superscript"/>
          <w:lang w:val="fr-FR"/>
        </w:rPr>
        <w:t>ème</w:t>
      </w:r>
      <w:r w:rsidR="00470BB2" w:rsidRPr="00C73365">
        <w:rPr>
          <w:rFonts w:asciiTheme="minorHAnsi" w:hAnsiTheme="minorHAnsi" w:cstheme="minorHAnsi"/>
          <w:lang w:val="fr-FR"/>
        </w:rPr>
        <w:t xml:space="preserve"> </w:t>
      </w:r>
      <w:r w:rsidRPr="00C73365">
        <w:rPr>
          <w:rFonts w:asciiTheme="minorHAnsi" w:hAnsiTheme="minorHAnsi" w:cstheme="minorHAnsi"/>
          <w:lang w:val="fr-FR"/>
        </w:rPr>
        <w:t>résolution de l’Assemblée Générale Mixte des actionnaires du 24 juin 2016</w:t>
      </w:r>
      <w:r w:rsidRPr="00C73365">
        <w:rPr>
          <w:rFonts w:asciiTheme="minorHAnsi" w:hAnsiTheme="minorHAnsi" w:cstheme="minorHAnsi"/>
          <w:vertAlign w:val="superscript"/>
          <w:lang w:val="fr-FR"/>
        </w:rPr>
        <w:t>[1],</w:t>
      </w:r>
      <w:r w:rsidRPr="00C73365">
        <w:rPr>
          <w:rFonts w:asciiTheme="minorHAnsi" w:hAnsiTheme="minorHAnsi" w:cstheme="minorHAnsi"/>
          <w:lang w:val="fr-FR"/>
        </w:rPr>
        <w:t xml:space="preserve"> a décidé la mise en place de cette ligne de financement.</w:t>
      </w:r>
    </w:p>
    <w:p w:rsidR="0089326E" w:rsidRDefault="00D11919" w:rsidP="004572A0">
      <w:pPr>
        <w:pStyle w:val="BodyText"/>
        <w:rPr>
          <w:rFonts w:asciiTheme="minorHAnsi" w:hAnsiTheme="minorHAnsi" w:cstheme="minorHAnsi"/>
          <w:lang w:val="fr-FR"/>
        </w:rPr>
      </w:pPr>
      <w:r w:rsidRPr="00C73365">
        <w:rPr>
          <w:rFonts w:asciiTheme="minorHAnsi" w:hAnsiTheme="minorHAnsi" w:cstheme="minorHAnsi"/>
          <w:lang w:val="fr-FR"/>
        </w:rPr>
        <w:t>Conformément aux termes de l’accord, Kepler Cheuvreux intervenant à titre d</w:t>
      </w:r>
      <w:r w:rsidR="004572A0" w:rsidRPr="00C73365">
        <w:rPr>
          <w:rFonts w:asciiTheme="minorHAnsi" w:hAnsiTheme="minorHAnsi" w:cstheme="minorHAnsi"/>
          <w:lang w:val="fr-FR"/>
        </w:rPr>
        <w:t>’</w:t>
      </w:r>
      <w:r w:rsidRPr="00C73365">
        <w:rPr>
          <w:rFonts w:asciiTheme="minorHAnsi" w:hAnsiTheme="minorHAnsi" w:cstheme="minorHAnsi"/>
          <w:lang w:val="fr-FR"/>
        </w:rPr>
        <w:t>intermédiaire financier et garant de la transaction, s’est engagé à souscrire 970 000 actions, à sa propre initiative suivant un calendrier d’une durée maximale de 24 mois. Les actions seront émises sur la base d’une moyenne des cours de bourse pondérée par les volumes sur les deux jours de bourse précédant chaque émission, diminuée d’une décote maximale de 7,0%.</w:t>
      </w:r>
      <w:r w:rsidR="007D4A5A">
        <w:rPr>
          <w:rFonts w:asciiTheme="minorHAnsi" w:hAnsiTheme="minorHAnsi" w:cstheme="minorHAnsi"/>
          <w:lang w:val="fr-FR"/>
        </w:rPr>
        <w:t xml:space="preserve"> </w:t>
      </w:r>
      <w:r w:rsidR="00220E64" w:rsidRPr="00C73365">
        <w:rPr>
          <w:rFonts w:asciiTheme="minorHAnsi" w:hAnsiTheme="minorHAnsi" w:cstheme="minorHAnsi"/>
          <w:lang w:val="fr-FR"/>
        </w:rPr>
        <w:t>Depuis la signature de l’accord, l</w:t>
      </w:r>
      <w:r w:rsidR="001E738B" w:rsidRPr="00C73365">
        <w:rPr>
          <w:rFonts w:asciiTheme="minorHAnsi" w:hAnsiTheme="minorHAnsi" w:cstheme="minorHAnsi"/>
          <w:lang w:val="fr-FR"/>
        </w:rPr>
        <w:t>’exercice de 60 000 bons par K</w:t>
      </w:r>
      <w:r w:rsidR="00220E64" w:rsidRPr="00C73365">
        <w:rPr>
          <w:rFonts w:asciiTheme="minorHAnsi" w:hAnsiTheme="minorHAnsi" w:cstheme="minorHAnsi"/>
          <w:lang w:val="fr-FR"/>
        </w:rPr>
        <w:t>epler Cheuvreux</w:t>
      </w:r>
      <w:r w:rsidR="001E738B" w:rsidRPr="00C73365">
        <w:rPr>
          <w:rFonts w:asciiTheme="minorHAnsi" w:hAnsiTheme="minorHAnsi" w:cstheme="minorHAnsi"/>
          <w:lang w:val="fr-FR"/>
        </w:rPr>
        <w:t xml:space="preserve"> a été réalisé en </w:t>
      </w:r>
      <w:r w:rsidR="00E73A7C">
        <w:rPr>
          <w:rFonts w:asciiTheme="minorHAnsi" w:hAnsiTheme="minorHAnsi" w:cstheme="minorHAnsi"/>
          <w:lang w:val="fr-FR"/>
        </w:rPr>
        <w:t>septembre</w:t>
      </w:r>
      <w:r w:rsidR="001E738B" w:rsidRPr="00C73365">
        <w:rPr>
          <w:rFonts w:asciiTheme="minorHAnsi" w:hAnsiTheme="minorHAnsi" w:cstheme="minorHAnsi"/>
          <w:lang w:val="fr-FR"/>
        </w:rPr>
        <w:t xml:space="preserve"> </w:t>
      </w:r>
      <w:r w:rsidR="00FE4BD4" w:rsidRPr="00C73365">
        <w:rPr>
          <w:rFonts w:asciiTheme="minorHAnsi" w:hAnsiTheme="minorHAnsi" w:cstheme="minorHAnsi"/>
          <w:lang w:val="fr-FR"/>
        </w:rPr>
        <w:t xml:space="preserve">2017 </w:t>
      </w:r>
      <w:r w:rsidR="001E738B" w:rsidRPr="00C73365">
        <w:rPr>
          <w:rFonts w:asciiTheme="minorHAnsi" w:hAnsiTheme="minorHAnsi" w:cstheme="minorHAnsi"/>
          <w:lang w:val="fr-FR"/>
        </w:rPr>
        <w:t xml:space="preserve">(40 000 titres émis) et en octobre </w:t>
      </w:r>
      <w:r w:rsidR="00FE4BD4" w:rsidRPr="00C73365">
        <w:rPr>
          <w:rFonts w:asciiTheme="minorHAnsi" w:hAnsiTheme="minorHAnsi" w:cstheme="minorHAnsi"/>
          <w:lang w:val="fr-FR"/>
        </w:rPr>
        <w:t xml:space="preserve">2017 </w:t>
      </w:r>
      <w:r w:rsidR="001E738B" w:rsidRPr="00C73365">
        <w:rPr>
          <w:rFonts w:asciiTheme="minorHAnsi" w:hAnsiTheme="minorHAnsi" w:cstheme="minorHAnsi"/>
          <w:lang w:val="fr-FR"/>
        </w:rPr>
        <w:t>(20 000 titres émis)</w:t>
      </w:r>
      <w:r w:rsidR="00FE4BD4" w:rsidRPr="00C73365">
        <w:rPr>
          <w:rFonts w:asciiTheme="minorHAnsi" w:hAnsiTheme="minorHAnsi" w:cstheme="minorHAnsi"/>
          <w:lang w:val="fr-FR"/>
        </w:rPr>
        <w:t xml:space="preserve"> et a permis de libérer un montant de 0.6 </w:t>
      </w:r>
      <w:r w:rsidR="006B119E" w:rsidRPr="00C73365">
        <w:rPr>
          <w:rFonts w:asciiTheme="minorHAnsi" w:hAnsiTheme="minorHAnsi" w:cstheme="minorHAnsi"/>
          <w:lang w:val="fr-FR"/>
        </w:rPr>
        <w:t>M</w:t>
      </w:r>
      <w:r w:rsidR="00FE4BD4" w:rsidRPr="00C73365">
        <w:rPr>
          <w:rFonts w:asciiTheme="minorHAnsi" w:hAnsiTheme="minorHAnsi" w:cstheme="minorHAnsi"/>
          <w:lang w:val="fr-FR"/>
        </w:rPr>
        <w:t xml:space="preserve">€. Le montant </w:t>
      </w:r>
      <w:r w:rsidR="00220E64" w:rsidRPr="00C73365">
        <w:rPr>
          <w:rFonts w:asciiTheme="minorHAnsi" w:hAnsiTheme="minorHAnsi" w:cstheme="minorHAnsi"/>
          <w:lang w:val="fr-FR"/>
        </w:rPr>
        <w:t xml:space="preserve">résiduel </w:t>
      </w:r>
      <w:r w:rsidR="00FE4BD4" w:rsidRPr="00C73365">
        <w:rPr>
          <w:rFonts w:asciiTheme="minorHAnsi" w:hAnsiTheme="minorHAnsi" w:cstheme="minorHAnsi"/>
          <w:lang w:val="fr-FR"/>
        </w:rPr>
        <w:t xml:space="preserve">de la ligne </w:t>
      </w:r>
      <w:r w:rsidR="00220E64" w:rsidRPr="00C73365">
        <w:rPr>
          <w:rFonts w:asciiTheme="minorHAnsi" w:hAnsiTheme="minorHAnsi" w:cstheme="minorHAnsi"/>
          <w:lang w:val="fr-FR"/>
        </w:rPr>
        <w:t>de financement en fond</w:t>
      </w:r>
      <w:r w:rsidR="00C73D72">
        <w:rPr>
          <w:rFonts w:asciiTheme="minorHAnsi" w:hAnsiTheme="minorHAnsi" w:cstheme="minorHAnsi"/>
          <w:lang w:val="fr-FR"/>
        </w:rPr>
        <w:t>s</w:t>
      </w:r>
      <w:r w:rsidR="00220E64" w:rsidRPr="00C73365">
        <w:rPr>
          <w:rFonts w:asciiTheme="minorHAnsi" w:hAnsiTheme="minorHAnsi" w:cstheme="minorHAnsi"/>
          <w:lang w:val="fr-FR"/>
        </w:rPr>
        <w:t xml:space="preserve"> propre</w:t>
      </w:r>
      <w:r w:rsidR="00C73D72">
        <w:rPr>
          <w:rFonts w:asciiTheme="minorHAnsi" w:hAnsiTheme="minorHAnsi" w:cstheme="minorHAnsi"/>
          <w:lang w:val="fr-FR"/>
        </w:rPr>
        <w:t>s</w:t>
      </w:r>
      <w:r w:rsidR="0089326E">
        <w:rPr>
          <w:rFonts w:asciiTheme="minorHAnsi" w:hAnsiTheme="minorHAnsi" w:cstheme="minorHAnsi"/>
          <w:lang w:val="fr-FR"/>
        </w:rPr>
        <w:t xml:space="preserve">, </w:t>
      </w:r>
      <w:r w:rsidR="00FE4BD4" w:rsidRPr="00C73365">
        <w:rPr>
          <w:rFonts w:asciiTheme="minorHAnsi" w:hAnsiTheme="minorHAnsi" w:cstheme="minorHAnsi"/>
          <w:lang w:val="fr-FR"/>
        </w:rPr>
        <w:t>au 31 mars 201</w:t>
      </w:r>
      <w:r w:rsidR="00BF6C49">
        <w:rPr>
          <w:rFonts w:asciiTheme="minorHAnsi" w:hAnsiTheme="minorHAnsi" w:cstheme="minorHAnsi"/>
          <w:lang w:val="fr-FR"/>
        </w:rPr>
        <w:t>8</w:t>
      </w:r>
      <w:r w:rsidR="0089326E">
        <w:rPr>
          <w:rFonts w:asciiTheme="minorHAnsi" w:hAnsiTheme="minorHAnsi" w:cstheme="minorHAnsi"/>
          <w:lang w:val="fr-FR"/>
        </w:rPr>
        <w:t>,</w:t>
      </w:r>
      <w:r w:rsidR="00FE4BD4" w:rsidRPr="00C73365">
        <w:rPr>
          <w:rFonts w:asciiTheme="minorHAnsi" w:hAnsiTheme="minorHAnsi" w:cstheme="minorHAnsi"/>
          <w:lang w:val="fr-FR"/>
        </w:rPr>
        <w:t xml:space="preserve"> est ainsi de 9</w:t>
      </w:r>
      <w:r w:rsidR="005E7389" w:rsidRPr="00C73365">
        <w:rPr>
          <w:rFonts w:asciiTheme="minorHAnsi" w:hAnsiTheme="minorHAnsi" w:cstheme="minorHAnsi"/>
          <w:lang w:val="fr-FR"/>
        </w:rPr>
        <w:t>1</w:t>
      </w:r>
      <w:r w:rsidR="00FE4BD4" w:rsidRPr="00C73365">
        <w:rPr>
          <w:rFonts w:asciiTheme="minorHAnsi" w:hAnsiTheme="minorHAnsi" w:cstheme="minorHAnsi"/>
          <w:lang w:val="fr-FR"/>
        </w:rPr>
        <w:t>0 000 titres.</w:t>
      </w:r>
      <w:r w:rsidR="0089326E">
        <w:rPr>
          <w:rFonts w:asciiTheme="minorHAnsi" w:hAnsiTheme="minorHAnsi" w:cstheme="minorHAnsi"/>
          <w:lang w:val="fr-FR"/>
        </w:rPr>
        <w:t xml:space="preserve"> </w:t>
      </w:r>
      <w:r w:rsidR="0089326E" w:rsidRPr="00C73365">
        <w:rPr>
          <w:rFonts w:asciiTheme="minorHAnsi" w:hAnsiTheme="minorHAnsi" w:cstheme="minorHAnsi"/>
          <w:lang w:val="fr-FR"/>
        </w:rPr>
        <w:t>Dans l’hypothèse d’une utilisation en totalité d</w:t>
      </w:r>
      <w:r w:rsidR="0089326E">
        <w:rPr>
          <w:rFonts w:asciiTheme="minorHAnsi" w:hAnsiTheme="minorHAnsi" w:cstheme="minorHAnsi"/>
          <w:lang w:val="fr-FR"/>
        </w:rPr>
        <w:t>es 910 000 titres restants,</w:t>
      </w:r>
      <w:r w:rsidR="0089326E">
        <w:rPr>
          <w:rFonts w:asciiTheme="minorHAnsi" w:hAnsiTheme="minorHAnsi" w:cstheme="minorHAnsi"/>
          <w:vertAlign w:val="superscript"/>
          <w:lang w:val="fr-FR"/>
        </w:rPr>
        <w:t xml:space="preserve"> </w:t>
      </w:r>
      <w:r w:rsidR="0089326E">
        <w:rPr>
          <w:rFonts w:asciiTheme="minorHAnsi" w:hAnsiTheme="minorHAnsi" w:cstheme="minorHAnsi"/>
          <w:lang w:val="fr-FR"/>
        </w:rPr>
        <w:t>la ligne de financement Kepler Cheuvreux</w:t>
      </w:r>
      <w:r w:rsidR="0089326E" w:rsidRPr="00C73365">
        <w:rPr>
          <w:rFonts w:asciiTheme="minorHAnsi" w:hAnsiTheme="minorHAnsi" w:cstheme="minorHAnsi"/>
          <w:lang w:val="fr-FR"/>
        </w:rPr>
        <w:t xml:space="preserve"> permettrait à la Société de lever</w:t>
      </w:r>
      <w:r w:rsidR="0089326E">
        <w:rPr>
          <w:rFonts w:asciiTheme="minorHAnsi" w:hAnsiTheme="minorHAnsi" w:cstheme="minorHAnsi"/>
          <w:lang w:val="fr-FR"/>
        </w:rPr>
        <w:t xml:space="preserve"> 6.8 </w:t>
      </w:r>
      <w:r w:rsidR="0089326E" w:rsidRPr="00C73365">
        <w:rPr>
          <w:rFonts w:asciiTheme="minorHAnsi" w:hAnsiTheme="minorHAnsi" w:cstheme="minorHAnsi"/>
          <w:lang w:val="fr-FR"/>
        </w:rPr>
        <w:t>millions d’euros au prix de l’action</w:t>
      </w:r>
      <w:r w:rsidR="0089326E">
        <w:rPr>
          <w:rFonts w:asciiTheme="minorHAnsi" w:hAnsiTheme="minorHAnsi" w:cstheme="minorHAnsi"/>
          <w:vertAlign w:val="superscript"/>
          <w:lang w:val="fr-FR"/>
        </w:rPr>
        <w:t xml:space="preserve"> </w:t>
      </w:r>
      <w:r w:rsidR="0089326E" w:rsidRPr="00C73365">
        <w:rPr>
          <w:rFonts w:asciiTheme="minorHAnsi" w:hAnsiTheme="minorHAnsi" w:cstheme="minorHAnsi"/>
          <w:lang w:val="fr-FR"/>
        </w:rPr>
        <w:t xml:space="preserve">en </w:t>
      </w:r>
      <w:r w:rsidR="0089326E">
        <w:rPr>
          <w:rFonts w:asciiTheme="minorHAnsi" w:hAnsiTheme="minorHAnsi" w:cstheme="minorHAnsi"/>
          <w:lang w:val="fr-FR"/>
        </w:rPr>
        <w:t xml:space="preserve">mars </w:t>
      </w:r>
      <w:r w:rsidR="0089326E" w:rsidRPr="00C73365">
        <w:rPr>
          <w:rFonts w:asciiTheme="minorHAnsi" w:hAnsiTheme="minorHAnsi" w:cstheme="minorHAnsi"/>
          <w:lang w:val="fr-FR"/>
        </w:rPr>
        <w:t>201</w:t>
      </w:r>
      <w:r w:rsidR="0089326E">
        <w:rPr>
          <w:rFonts w:asciiTheme="minorHAnsi" w:hAnsiTheme="minorHAnsi" w:cstheme="minorHAnsi"/>
          <w:lang w:val="fr-FR"/>
        </w:rPr>
        <w:t>8</w:t>
      </w:r>
      <w:r w:rsidR="0089326E" w:rsidRPr="00C73365">
        <w:rPr>
          <w:rFonts w:asciiTheme="minorHAnsi" w:hAnsiTheme="minorHAnsi" w:cstheme="minorHAnsi"/>
          <w:vertAlign w:val="superscript"/>
          <w:lang w:val="fr-FR"/>
        </w:rPr>
        <w:t xml:space="preserve"> [</w:t>
      </w:r>
      <w:r w:rsidR="0089326E">
        <w:rPr>
          <w:rFonts w:asciiTheme="minorHAnsi" w:hAnsiTheme="minorHAnsi" w:cstheme="minorHAnsi"/>
          <w:vertAlign w:val="superscript"/>
          <w:lang w:val="fr-FR"/>
        </w:rPr>
        <w:t>2</w:t>
      </w:r>
      <w:r w:rsidR="0089326E" w:rsidRPr="00C73365">
        <w:rPr>
          <w:rFonts w:asciiTheme="minorHAnsi" w:hAnsiTheme="minorHAnsi" w:cstheme="minorHAnsi"/>
          <w:vertAlign w:val="superscript"/>
          <w:lang w:val="fr-FR"/>
        </w:rPr>
        <w:t>]</w:t>
      </w:r>
      <w:r w:rsidR="0089326E" w:rsidRPr="00C73365">
        <w:rPr>
          <w:rFonts w:asciiTheme="minorHAnsi" w:hAnsiTheme="minorHAnsi" w:cstheme="minorHAnsi"/>
          <w:lang w:val="fr-FR"/>
        </w:rPr>
        <w:t>.</w:t>
      </w:r>
    </w:p>
    <w:p w:rsidR="00A74D51" w:rsidRPr="00C73365" w:rsidRDefault="00A74D51" w:rsidP="004572A0">
      <w:pPr>
        <w:pStyle w:val="BodyText"/>
        <w:rPr>
          <w:rFonts w:asciiTheme="minorHAnsi" w:hAnsiTheme="minorHAnsi" w:cstheme="minorHAnsi"/>
          <w:lang w:val="fr-FR"/>
        </w:rPr>
      </w:pPr>
      <w:r w:rsidRPr="00C73365">
        <w:rPr>
          <w:rFonts w:asciiTheme="minorHAnsi" w:hAnsiTheme="minorHAnsi" w:cstheme="minorHAnsi"/>
          <w:lang w:val="fr-FR"/>
        </w:rPr>
        <w:t>ABIVAX conserve la possibilité de suspendre ou mettre fin à cet accord à tout moment.</w:t>
      </w:r>
    </w:p>
    <w:p w:rsidR="0089326E" w:rsidRDefault="00D11919" w:rsidP="0089326E">
      <w:pPr>
        <w:pStyle w:val="BodyText"/>
        <w:rPr>
          <w:rFonts w:asciiTheme="minorHAnsi" w:hAnsiTheme="minorHAnsi" w:cstheme="minorHAnsi"/>
          <w:lang w:val="fr-FR"/>
        </w:rPr>
      </w:pPr>
      <w:r w:rsidRPr="00C73365">
        <w:rPr>
          <w:rFonts w:asciiTheme="minorHAnsi" w:hAnsiTheme="minorHAnsi" w:cstheme="minorHAnsi"/>
          <w:vertAlign w:val="superscript"/>
          <w:lang w:val="fr-FR"/>
        </w:rPr>
        <w:t>[1]</w:t>
      </w:r>
      <w:r w:rsidRPr="00C73365">
        <w:rPr>
          <w:rFonts w:asciiTheme="minorHAnsi" w:hAnsiTheme="minorHAnsi" w:cstheme="minorHAnsi"/>
          <w:lang w:val="fr-FR"/>
        </w:rPr>
        <w:t xml:space="preserve"> Augmentation de capital réalisée avec suppression du droit préférentiel de souscription par placement privé dans la limite de 20% du capital social par an conformément aux dispositions de l’article L. 225-136 (1° et 3°) du code de commerce.</w:t>
      </w:r>
    </w:p>
    <w:p w:rsidR="00D11919" w:rsidRPr="00C73365" w:rsidRDefault="0089326E" w:rsidP="0089326E">
      <w:pPr>
        <w:pStyle w:val="BodyText"/>
        <w:rPr>
          <w:rFonts w:asciiTheme="minorHAnsi" w:hAnsiTheme="minorHAnsi" w:cstheme="minorHAnsi"/>
          <w:lang w:val="fr-FR"/>
        </w:rPr>
      </w:pPr>
      <w:bookmarkStart w:id="688" w:name="_Hlk512586388"/>
      <w:r w:rsidRPr="00C73365">
        <w:rPr>
          <w:rFonts w:asciiTheme="minorHAnsi" w:hAnsiTheme="minorHAnsi" w:cstheme="minorHAnsi"/>
          <w:vertAlign w:val="superscript"/>
          <w:lang w:val="fr-FR"/>
        </w:rPr>
        <w:t xml:space="preserve"> </w:t>
      </w:r>
      <w:r w:rsidR="00D11919" w:rsidRPr="00C73365">
        <w:rPr>
          <w:rFonts w:asciiTheme="minorHAnsi" w:hAnsiTheme="minorHAnsi" w:cstheme="minorHAnsi"/>
          <w:vertAlign w:val="superscript"/>
          <w:lang w:val="fr-FR"/>
        </w:rPr>
        <w:t>[</w:t>
      </w:r>
      <w:r>
        <w:rPr>
          <w:rFonts w:asciiTheme="minorHAnsi" w:hAnsiTheme="minorHAnsi" w:cstheme="minorHAnsi"/>
          <w:vertAlign w:val="superscript"/>
          <w:lang w:val="fr-FR"/>
        </w:rPr>
        <w:t>2</w:t>
      </w:r>
      <w:r w:rsidR="00D11919" w:rsidRPr="00C73365">
        <w:rPr>
          <w:rFonts w:asciiTheme="minorHAnsi" w:hAnsiTheme="minorHAnsi" w:cstheme="minorHAnsi"/>
          <w:vertAlign w:val="superscript"/>
          <w:lang w:val="fr-FR"/>
        </w:rPr>
        <w:t>]</w:t>
      </w:r>
      <w:r w:rsidR="00D11919" w:rsidRPr="00C73365">
        <w:rPr>
          <w:rFonts w:asciiTheme="minorHAnsi" w:hAnsiTheme="minorHAnsi" w:cstheme="minorHAnsi"/>
          <w:lang w:val="fr-FR"/>
        </w:rPr>
        <w:t xml:space="preserve"> Sur la base indicative de la moyenne des cours des vingt</w:t>
      </w:r>
      <w:r w:rsidR="00BF2E5A">
        <w:rPr>
          <w:rFonts w:asciiTheme="minorHAnsi" w:hAnsiTheme="minorHAnsi" w:cstheme="minorHAnsi"/>
          <w:lang w:val="fr-FR"/>
        </w:rPr>
        <w:t xml:space="preserve"> </w:t>
      </w:r>
      <w:r w:rsidR="00D11919" w:rsidRPr="00C73365">
        <w:rPr>
          <w:rFonts w:asciiTheme="minorHAnsi" w:hAnsiTheme="minorHAnsi" w:cstheme="minorHAnsi"/>
          <w:lang w:val="fr-FR"/>
        </w:rPr>
        <w:t xml:space="preserve">séances de l’action </w:t>
      </w:r>
      <w:r w:rsidR="00EF089C" w:rsidRPr="00C73365">
        <w:rPr>
          <w:rFonts w:asciiTheme="minorHAnsi" w:hAnsiTheme="minorHAnsi" w:cstheme="minorHAnsi"/>
          <w:lang w:val="fr-FR"/>
        </w:rPr>
        <w:t>ABIVAX</w:t>
      </w:r>
      <w:r w:rsidR="00BF2E5A">
        <w:rPr>
          <w:rFonts w:asciiTheme="minorHAnsi" w:hAnsiTheme="minorHAnsi" w:cstheme="minorHAnsi"/>
          <w:lang w:val="fr-FR"/>
        </w:rPr>
        <w:t xml:space="preserve"> du mois de mars 2018</w:t>
      </w:r>
      <w:r w:rsidR="00D11919" w:rsidRPr="00C73365">
        <w:rPr>
          <w:rFonts w:asciiTheme="minorHAnsi" w:hAnsiTheme="minorHAnsi" w:cstheme="minorHAnsi"/>
          <w:lang w:val="fr-FR"/>
        </w:rPr>
        <w:t>.</w:t>
      </w:r>
    </w:p>
    <w:bookmarkEnd w:id="688"/>
    <w:p w:rsidR="00F46C7B" w:rsidRPr="00C73365" w:rsidRDefault="00F46C7B" w:rsidP="004572A0">
      <w:pPr>
        <w:rPr>
          <w:rFonts w:asciiTheme="minorHAnsi" w:hAnsiTheme="minorHAnsi" w:cstheme="minorHAnsi"/>
          <w:b/>
          <w:lang w:val="fr-FR"/>
        </w:rPr>
      </w:pPr>
      <w:r w:rsidRPr="00C73365">
        <w:rPr>
          <w:rFonts w:asciiTheme="minorHAnsi" w:hAnsiTheme="minorHAnsi" w:cstheme="minorHAnsi"/>
          <w:b/>
          <w:lang w:val="fr-FR"/>
        </w:rPr>
        <w:t>Introduction de la Société sur le marché Euronext Paris</w:t>
      </w:r>
      <w:r w:rsidR="00CD5D3D" w:rsidRPr="00C73365">
        <w:rPr>
          <w:rFonts w:asciiTheme="minorHAnsi" w:hAnsiTheme="minorHAnsi" w:cstheme="minorHAnsi"/>
          <w:b/>
          <w:lang w:val="fr-FR"/>
        </w:rPr>
        <w:t xml:space="preserve"> </w:t>
      </w:r>
      <w:r w:rsidRPr="00C73365">
        <w:rPr>
          <w:rFonts w:asciiTheme="minorHAnsi" w:hAnsiTheme="minorHAnsi" w:cstheme="minorHAnsi"/>
          <w:b/>
          <w:lang w:val="fr-FR"/>
        </w:rPr>
        <w:t>:</w:t>
      </w:r>
    </w:p>
    <w:p w:rsidR="003D4F94" w:rsidRPr="00C73365" w:rsidRDefault="003D4F94" w:rsidP="003D4F94">
      <w:pPr>
        <w:pStyle w:val="ListParagraph"/>
        <w:ind w:left="0"/>
        <w:rPr>
          <w:rFonts w:asciiTheme="minorHAnsi" w:hAnsiTheme="minorHAnsi" w:cstheme="minorHAnsi"/>
          <w:szCs w:val="22"/>
          <w:lang w:val="fr-FR"/>
        </w:rPr>
      </w:pPr>
      <w:r w:rsidRPr="00C73365">
        <w:rPr>
          <w:rFonts w:asciiTheme="minorHAnsi" w:hAnsiTheme="minorHAnsi" w:cstheme="minorHAnsi"/>
          <w:szCs w:val="22"/>
          <w:lang w:val="fr-FR"/>
        </w:rPr>
        <w:t>La société a été introduite en bourse en juin 2015 où elle a pu lever près de 58 M€.</w:t>
      </w:r>
    </w:p>
    <w:p w:rsidR="00F46C7B" w:rsidRPr="00C73365" w:rsidRDefault="00F46C7B" w:rsidP="007A1897">
      <w:pPr>
        <w:pStyle w:val="ConmainL1"/>
        <w:numPr>
          <w:ilvl w:val="0"/>
          <w:numId w:val="9"/>
        </w:numPr>
        <w:spacing w:after="120"/>
        <w:rPr>
          <w:rFonts w:asciiTheme="minorHAnsi" w:hAnsiTheme="minorHAnsi" w:cstheme="minorHAnsi"/>
          <w:sz w:val="22"/>
          <w:lang w:val="fr-FR"/>
        </w:rPr>
      </w:pPr>
      <w:bookmarkStart w:id="689" w:name="_Toc406257026"/>
      <w:bookmarkStart w:id="690" w:name="_Toc462673257"/>
      <w:bookmarkStart w:id="691" w:name="_Toc467835604"/>
      <w:bookmarkStart w:id="692" w:name="_Toc512863919"/>
      <w:r w:rsidRPr="00C73365">
        <w:rPr>
          <w:rFonts w:asciiTheme="minorHAnsi" w:hAnsiTheme="minorHAnsi" w:cstheme="minorHAnsi"/>
          <w:lang w:val="fr-FR"/>
        </w:rPr>
        <w:lastRenderedPageBreak/>
        <w:t>INVENTIONS, BREVETS, LICENCES, MARQUES ET NOMS DE DOMAINE</w:t>
      </w:r>
      <w:bookmarkEnd w:id="689"/>
      <w:bookmarkEnd w:id="690"/>
      <w:bookmarkEnd w:id="691"/>
      <w:bookmarkEnd w:id="692"/>
    </w:p>
    <w:p w:rsidR="00F46C7B" w:rsidRPr="00C73365" w:rsidRDefault="00F46C7B" w:rsidP="00434C49">
      <w:pPr>
        <w:pStyle w:val="ConmainL2"/>
        <w:numPr>
          <w:ilvl w:val="1"/>
          <w:numId w:val="96"/>
        </w:numPr>
        <w:spacing w:after="120"/>
        <w:rPr>
          <w:rFonts w:asciiTheme="minorHAnsi" w:hAnsiTheme="minorHAnsi" w:cstheme="minorHAnsi"/>
          <w:sz w:val="22"/>
          <w:szCs w:val="22"/>
          <w:lang w:val="fr-FR"/>
        </w:rPr>
      </w:pPr>
      <w:bookmarkStart w:id="693" w:name="_Toc406257027"/>
      <w:bookmarkStart w:id="694" w:name="_Toc462673258"/>
      <w:bookmarkStart w:id="695" w:name="_Toc467835605"/>
      <w:bookmarkStart w:id="696" w:name="_Toc512863920"/>
      <w:r w:rsidRPr="00C73365">
        <w:rPr>
          <w:rFonts w:asciiTheme="minorHAnsi" w:hAnsiTheme="minorHAnsi" w:cstheme="minorHAnsi"/>
          <w:sz w:val="22"/>
          <w:szCs w:val="22"/>
          <w:lang w:val="fr-FR"/>
        </w:rPr>
        <w:t>Politique d’innovation</w:t>
      </w:r>
      <w:bookmarkEnd w:id="693"/>
      <w:bookmarkEnd w:id="694"/>
      <w:bookmarkEnd w:id="695"/>
      <w:bookmarkEnd w:id="696"/>
    </w:p>
    <w:p w:rsidR="00F46C7B" w:rsidRPr="00C73365" w:rsidRDefault="00F46C7B" w:rsidP="004572A0">
      <w:pPr>
        <w:pStyle w:val="BodyText"/>
        <w:rPr>
          <w:rFonts w:asciiTheme="minorHAnsi" w:hAnsiTheme="minorHAnsi" w:cstheme="minorHAnsi"/>
          <w:lang w:val="fr-FR"/>
        </w:rPr>
      </w:pPr>
      <w:bookmarkStart w:id="697" w:name="_Toc460340987"/>
      <w:bookmarkStart w:id="698" w:name="_Toc460340988"/>
      <w:bookmarkStart w:id="699" w:name="_Toc460340989"/>
      <w:bookmarkStart w:id="700" w:name="_Toc460340990"/>
      <w:bookmarkStart w:id="701" w:name="_Toc460340991"/>
      <w:bookmarkStart w:id="702" w:name="_Toc460340992"/>
      <w:bookmarkStart w:id="703" w:name="_Toc460340993"/>
      <w:bookmarkStart w:id="704" w:name="_Toc460340994"/>
      <w:bookmarkStart w:id="705" w:name="_Toc460340995"/>
      <w:bookmarkStart w:id="706" w:name="_Toc460340996"/>
      <w:bookmarkStart w:id="707" w:name="_Toc460340997"/>
      <w:bookmarkStart w:id="708" w:name="_Toc460340998"/>
      <w:bookmarkStart w:id="709" w:name="_Toc460340999"/>
      <w:bookmarkStart w:id="710" w:name="_Toc460341000"/>
      <w:bookmarkStart w:id="711" w:name="_Toc460341001"/>
      <w:bookmarkStart w:id="712" w:name="_Toc460341002"/>
      <w:bookmarkStart w:id="713" w:name="_Toc460341003"/>
      <w:bookmarkStart w:id="714" w:name="_Toc460341004"/>
      <w:bookmarkStart w:id="715" w:name="_Toc460341005"/>
      <w:bookmarkStart w:id="716" w:name="_Toc460341006"/>
      <w:bookmarkStart w:id="717" w:name="_Toc406257028"/>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r w:rsidRPr="00C73365">
        <w:rPr>
          <w:rFonts w:asciiTheme="minorHAnsi" w:hAnsiTheme="minorHAnsi" w:cstheme="minorHAnsi"/>
          <w:lang w:val="fr-FR"/>
        </w:rPr>
        <w:t>La</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Société</w:t>
      </w:r>
      <w:r w:rsidRPr="00C73365">
        <w:rPr>
          <w:rFonts w:asciiTheme="minorHAnsi" w:hAnsiTheme="minorHAnsi" w:cstheme="minorHAnsi"/>
          <w:spacing w:val="6"/>
          <w:lang w:val="fr-FR"/>
        </w:rPr>
        <w:t xml:space="preserve"> </w:t>
      </w:r>
      <w:r w:rsidRPr="00C73365">
        <w:rPr>
          <w:rFonts w:asciiTheme="minorHAnsi" w:hAnsiTheme="minorHAnsi" w:cstheme="minorHAnsi"/>
          <w:lang w:val="fr-FR"/>
        </w:rPr>
        <w:t>a</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une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activité</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de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recherche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et</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développement</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(R&amp;D)</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ayant</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pour</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objectif</w:t>
      </w:r>
      <w:r w:rsidRPr="00C73365">
        <w:rPr>
          <w:rFonts w:asciiTheme="minorHAnsi" w:hAnsiTheme="minorHAnsi" w:cstheme="minorHAnsi"/>
          <w:spacing w:val="4"/>
          <w:lang w:val="fr-FR"/>
        </w:rPr>
        <w:t xml:space="preserve"> </w:t>
      </w:r>
      <w:r w:rsidRPr="00C73365">
        <w:rPr>
          <w:rFonts w:asciiTheme="minorHAnsi" w:hAnsiTheme="minorHAnsi" w:cstheme="minorHAnsi"/>
          <w:lang w:val="fr-FR"/>
        </w:rPr>
        <w:t>de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développer des</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produits</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innovants</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en</w:t>
      </w:r>
      <w:r w:rsidRPr="00C73365">
        <w:rPr>
          <w:rFonts w:asciiTheme="minorHAnsi" w:hAnsiTheme="minorHAnsi" w:cstheme="minorHAnsi"/>
          <w:spacing w:val="4"/>
          <w:lang w:val="fr-FR"/>
        </w:rPr>
        <w:t xml:space="preserve"> </w:t>
      </w:r>
      <w:r w:rsidRPr="00C73365">
        <w:rPr>
          <w:rFonts w:asciiTheme="minorHAnsi" w:hAnsiTheme="minorHAnsi" w:cstheme="minorHAnsi"/>
          <w:lang w:val="fr-FR"/>
        </w:rPr>
        <w:t>se</w:t>
      </w:r>
      <w:r w:rsidRPr="00C73365">
        <w:rPr>
          <w:rFonts w:asciiTheme="minorHAnsi" w:hAnsiTheme="minorHAnsi" w:cstheme="minorHAnsi"/>
          <w:spacing w:val="8"/>
          <w:lang w:val="fr-FR"/>
        </w:rPr>
        <w:t xml:space="preserve"> </w:t>
      </w:r>
      <w:r w:rsidRPr="00C73365">
        <w:rPr>
          <w:rFonts w:asciiTheme="minorHAnsi" w:hAnsiTheme="minorHAnsi" w:cstheme="minorHAnsi"/>
          <w:spacing w:val="-2"/>
          <w:lang w:val="fr-FR"/>
        </w:rPr>
        <w:t>basant</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sur</w:t>
      </w:r>
      <w:r w:rsidRPr="00C73365">
        <w:rPr>
          <w:rFonts w:asciiTheme="minorHAnsi" w:hAnsiTheme="minorHAnsi" w:cstheme="minorHAnsi"/>
          <w:spacing w:val="6"/>
          <w:lang w:val="fr-FR"/>
        </w:rPr>
        <w:t xml:space="preserve"> </w:t>
      </w:r>
      <w:r w:rsidRPr="00C73365">
        <w:rPr>
          <w:rFonts w:asciiTheme="minorHAnsi" w:hAnsiTheme="minorHAnsi" w:cstheme="minorHAnsi"/>
          <w:lang w:val="fr-FR"/>
        </w:rPr>
        <w:t>ses</w:t>
      </w:r>
      <w:r w:rsidRPr="00C73365">
        <w:rPr>
          <w:rFonts w:asciiTheme="minorHAnsi" w:hAnsiTheme="minorHAnsi" w:cstheme="minorHAnsi"/>
          <w:spacing w:val="6"/>
          <w:lang w:val="fr-FR"/>
        </w:rPr>
        <w:t xml:space="preserve"> </w:t>
      </w:r>
      <w:r w:rsidR="003D4F94" w:rsidRPr="00C73365">
        <w:rPr>
          <w:rFonts w:asciiTheme="minorHAnsi" w:hAnsiTheme="minorHAnsi" w:cstheme="minorHAnsi"/>
          <w:spacing w:val="6"/>
          <w:lang w:val="fr-FR"/>
        </w:rPr>
        <w:t>trois</w:t>
      </w:r>
      <w:r w:rsidRPr="00C73365">
        <w:rPr>
          <w:rFonts w:asciiTheme="minorHAnsi" w:hAnsiTheme="minorHAnsi" w:cstheme="minorHAnsi"/>
          <w:spacing w:val="6"/>
          <w:lang w:val="fr-FR"/>
        </w:rPr>
        <w:t xml:space="preserve"> </w:t>
      </w:r>
      <w:r w:rsidRPr="00C73365">
        <w:rPr>
          <w:rFonts w:asciiTheme="minorHAnsi" w:hAnsiTheme="minorHAnsi" w:cstheme="minorHAnsi"/>
          <w:lang w:val="fr-FR"/>
        </w:rPr>
        <w:t>plateformes</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technologiques</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dénommées « Antivirale»</w:t>
      </w:r>
      <w:r w:rsidR="003D4F94" w:rsidRPr="00C73365">
        <w:rPr>
          <w:rFonts w:asciiTheme="minorHAnsi" w:hAnsiTheme="minorHAnsi" w:cstheme="minorHAnsi"/>
          <w:lang w:val="fr-FR"/>
        </w:rPr>
        <w:t xml:space="preserve">, </w:t>
      </w:r>
      <w:r w:rsidRPr="00C73365">
        <w:rPr>
          <w:rFonts w:asciiTheme="minorHAnsi" w:hAnsiTheme="minorHAnsi" w:cstheme="minorHAnsi"/>
          <w:lang w:val="fr-FR"/>
        </w:rPr>
        <w:t xml:space="preserve">« Stimulations Immunitaires » </w:t>
      </w:r>
      <w:r w:rsidR="003D4F94" w:rsidRPr="00C73365">
        <w:rPr>
          <w:rFonts w:asciiTheme="minorHAnsi" w:hAnsiTheme="minorHAnsi" w:cstheme="minorHAnsi"/>
          <w:lang w:val="fr-FR"/>
        </w:rPr>
        <w:t xml:space="preserve"> et « Anticorps Polyclonaux » </w:t>
      </w:r>
      <w:r w:rsidRPr="00C73365">
        <w:rPr>
          <w:rFonts w:asciiTheme="minorHAnsi" w:hAnsiTheme="minorHAnsi" w:cstheme="minorHAnsi"/>
          <w:lang w:val="fr-FR"/>
        </w:rPr>
        <w:t>pour déterminer l’activité biologique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de ces nouveaux candidats-médicaments afin de les rendre les plus performants et</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permettre</w:t>
      </w:r>
      <w:r w:rsidRPr="00C73365">
        <w:rPr>
          <w:rFonts w:asciiTheme="minorHAnsi" w:hAnsiTheme="minorHAnsi" w:cstheme="minorHAnsi"/>
          <w:spacing w:val="6"/>
          <w:lang w:val="fr-FR"/>
        </w:rPr>
        <w:t xml:space="preserve"> de les </w:t>
      </w:r>
      <w:r w:rsidRPr="00C73365">
        <w:rPr>
          <w:rFonts w:asciiTheme="minorHAnsi" w:hAnsiTheme="minorHAnsi" w:cstheme="minorHAnsi"/>
          <w:lang w:val="fr-FR"/>
        </w:rPr>
        <w:t>utiliser dans de multiples indications.</w:t>
      </w:r>
      <w:r w:rsidR="005329D2" w:rsidRPr="00C73365">
        <w:rPr>
          <w:rFonts w:asciiTheme="minorHAnsi" w:hAnsiTheme="minorHAnsi" w:cstheme="minorHAnsi"/>
          <w:lang w:val="fr-FR"/>
        </w:rPr>
        <w:t xml:space="preserve"> </w:t>
      </w:r>
    </w:p>
    <w:p w:rsidR="00F46C7B" w:rsidRPr="00C73365" w:rsidRDefault="005329D2" w:rsidP="004572A0">
      <w:pPr>
        <w:pStyle w:val="BodyText"/>
        <w:rPr>
          <w:rFonts w:asciiTheme="minorHAnsi" w:hAnsiTheme="minorHAnsi" w:cstheme="minorHAnsi"/>
          <w:lang w:val="fr-FR"/>
        </w:rPr>
      </w:pPr>
      <w:r w:rsidRPr="00C73365">
        <w:rPr>
          <w:rFonts w:asciiTheme="minorHAnsi" w:hAnsiTheme="minorHAnsi" w:cstheme="minorHAnsi"/>
          <w:lang w:val="fr-FR"/>
        </w:rPr>
        <w:t>Depuis son origine, l</w:t>
      </w:r>
      <w:r w:rsidR="00F46C7B" w:rsidRPr="00C73365">
        <w:rPr>
          <w:rFonts w:asciiTheme="minorHAnsi" w:hAnsiTheme="minorHAnsi" w:cstheme="minorHAnsi"/>
          <w:lang w:val="fr-FR"/>
        </w:rPr>
        <w:t>a Société a</w:t>
      </w:r>
      <w:r w:rsidR="003D4F94" w:rsidRPr="00C73365">
        <w:rPr>
          <w:rFonts w:asciiTheme="minorHAnsi" w:hAnsiTheme="minorHAnsi" w:cstheme="minorHAnsi"/>
          <w:lang w:val="fr-FR"/>
        </w:rPr>
        <w:t xml:space="preserve"> de plus </w:t>
      </w:r>
      <w:r w:rsidR="00F46C7B" w:rsidRPr="00C73365">
        <w:rPr>
          <w:rFonts w:asciiTheme="minorHAnsi" w:hAnsiTheme="minorHAnsi" w:cstheme="minorHAnsi"/>
          <w:lang w:val="fr-FR"/>
        </w:rPr>
        <w:t>conclu des accords de licences exclusives avec des institutions académiques et des centres de recherche de premiers plans à la fois pour développer ses</w:t>
      </w:r>
      <w:r w:rsidR="003D4F94" w:rsidRPr="00C73365">
        <w:rPr>
          <w:rFonts w:asciiTheme="minorHAnsi" w:hAnsiTheme="minorHAnsi" w:cstheme="minorHAnsi"/>
          <w:lang w:val="fr-FR"/>
        </w:rPr>
        <w:t xml:space="preserve"> trois </w:t>
      </w:r>
      <w:r w:rsidR="00F46C7B" w:rsidRPr="00C73365">
        <w:rPr>
          <w:rFonts w:asciiTheme="minorHAnsi" w:hAnsiTheme="minorHAnsi" w:cstheme="minorHAnsi"/>
          <w:lang w:val="fr-FR"/>
        </w:rPr>
        <w:t xml:space="preserve">plateformes technologiques (accords avec le CNRS, l’Institut Curie et l’Université Montpellier 2 concernant la plateforme « Antivirale », accords avec Scripps Research Institute, l’Université de Chicago et l’Université de Brigham Young concernant la plateforme « Adjuvants») et pour permettre à la Société de compléter son portefeuille de </w:t>
      </w:r>
      <w:r w:rsidR="00F46C7B" w:rsidRPr="00C73365">
        <w:rPr>
          <w:rFonts w:asciiTheme="minorHAnsi" w:hAnsiTheme="minorHAnsi" w:cstheme="minorHAnsi"/>
          <w:spacing w:val="-1"/>
          <w:lang w:val="fr-FR"/>
        </w:rPr>
        <w:t xml:space="preserve">candidats-médicaments </w:t>
      </w:r>
      <w:r w:rsidR="00F46C7B" w:rsidRPr="00C73365">
        <w:rPr>
          <w:rFonts w:asciiTheme="minorHAnsi" w:hAnsiTheme="minorHAnsi" w:cstheme="minorHAnsi"/>
          <w:lang w:val="fr-FR"/>
        </w:rPr>
        <w:t>en phases précliniques et cliniques (accords avec Heber Biotec représentant le CIGB portant sur des brevets couvrant le développement d’un vaccin thérapeutique contre l’hépatite B chronique).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Avant tout engagement dans un projet, et tout au long de la vie du projet, une phase d</w:t>
      </w:r>
      <w:r w:rsidR="004572A0" w:rsidRPr="00C73365">
        <w:rPr>
          <w:rFonts w:asciiTheme="minorHAnsi" w:hAnsiTheme="minorHAnsi" w:cstheme="minorHAnsi"/>
          <w:lang w:val="fr-FR"/>
        </w:rPr>
        <w:t>’</w:t>
      </w:r>
      <w:r w:rsidRPr="00C73365">
        <w:rPr>
          <w:rFonts w:asciiTheme="minorHAnsi" w:hAnsiTheme="minorHAnsi" w:cstheme="minorHAnsi"/>
          <w:lang w:val="fr-FR"/>
        </w:rPr>
        <w:t>investigation est menée en interne, en liens étroits avec des cabinets de conseil en propriété industrielle, des conseils en « </w:t>
      </w:r>
      <w:r w:rsidRPr="00C73365">
        <w:rPr>
          <w:rFonts w:asciiTheme="minorHAnsi" w:hAnsiTheme="minorHAnsi" w:cstheme="minorHAnsi"/>
          <w:i/>
          <w:lang w:val="fr-FR"/>
        </w:rPr>
        <w:t>business development</w:t>
      </w:r>
      <w:r w:rsidRPr="00C73365">
        <w:rPr>
          <w:rFonts w:asciiTheme="minorHAnsi" w:hAnsiTheme="minorHAnsi" w:cstheme="minorHAnsi"/>
          <w:lang w:val="fr-FR"/>
        </w:rPr>
        <w:t> » et marketing, afin d</w:t>
      </w:r>
      <w:r w:rsidR="004572A0" w:rsidRPr="00C73365">
        <w:rPr>
          <w:rFonts w:asciiTheme="minorHAnsi" w:hAnsiTheme="minorHAnsi" w:cstheme="minorHAnsi"/>
          <w:lang w:val="fr-FR"/>
        </w:rPr>
        <w:t>’</w:t>
      </w:r>
      <w:r w:rsidRPr="00C73365">
        <w:rPr>
          <w:rFonts w:asciiTheme="minorHAnsi" w:hAnsiTheme="minorHAnsi" w:cstheme="minorHAnsi"/>
          <w:lang w:val="fr-FR"/>
        </w:rPr>
        <w:t>évaluer respectivement :</w:t>
      </w:r>
    </w:p>
    <w:p w:rsidR="00F46C7B" w:rsidRPr="00C73365" w:rsidRDefault="00F46C7B" w:rsidP="004572A0">
      <w:pPr>
        <w:pStyle w:val="ListBullet2"/>
        <w:numPr>
          <w:ilvl w:val="0"/>
          <w:numId w:val="44"/>
        </w:numPr>
        <w:rPr>
          <w:rFonts w:asciiTheme="minorHAnsi" w:hAnsiTheme="minorHAnsi" w:cstheme="minorHAnsi"/>
          <w:spacing w:val="-2"/>
        </w:rPr>
      </w:pPr>
      <w:r w:rsidRPr="00C73365">
        <w:rPr>
          <w:rFonts w:asciiTheme="minorHAnsi" w:hAnsiTheme="minorHAnsi" w:cstheme="minorHAnsi"/>
        </w:rPr>
        <w:t>le besoin médical</w:t>
      </w:r>
      <w:r w:rsidRPr="00C73365">
        <w:rPr>
          <w:rFonts w:asciiTheme="minorHAnsi" w:hAnsiTheme="minorHAnsi" w:cstheme="minorHAnsi"/>
          <w:spacing w:val="-2"/>
        </w:rPr>
        <w:t> ;</w:t>
      </w:r>
    </w:p>
    <w:p w:rsidR="00F46C7B" w:rsidRPr="00C73365" w:rsidRDefault="00F46C7B" w:rsidP="004572A0">
      <w:pPr>
        <w:pStyle w:val="ListBullet2"/>
        <w:numPr>
          <w:ilvl w:val="0"/>
          <w:numId w:val="44"/>
        </w:numPr>
        <w:rPr>
          <w:rFonts w:asciiTheme="minorHAnsi" w:hAnsiTheme="minorHAnsi" w:cstheme="minorHAnsi"/>
        </w:rPr>
      </w:pPr>
      <w:r w:rsidRPr="00C73365">
        <w:rPr>
          <w:rFonts w:asciiTheme="minorHAnsi" w:hAnsiTheme="minorHAnsi" w:cstheme="minorHAnsi"/>
        </w:rPr>
        <w:t>le marché ;</w:t>
      </w:r>
    </w:p>
    <w:p w:rsidR="00F46C7B" w:rsidRPr="00C73365" w:rsidRDefault="00F46C7B" w:rsidP="004572A0">
      <w:pPr>
        <w:pStyle w:val="ListBullet2"/>
        <w:numPr>
          <w:ilvl w:val="0"/>
          <w:numId w:val="44"/>
        </w:numPr>
        <w:rPr>
          <w:rFonts w:asciiTheme="minorHAnsi" w:hAnsiTheme="minorHAnsi" w:cstheme="minorHAnsi"/>
        </w:rPr>
      </w:pPr>
      <w:r w:rsidRPr="00C73365">
        <w:rPr>
          <w:rFonts w:asciiTheme="minorHAnsi" w:hAnsiTheme="minorHAnsi" w:cstheme="minorHAnsi"/>
        </w:rPr>
        <w:t>l</w:t>
      </w:r>
      <w:r w:rsidR="004572A0" w:rsidRPr="00C73365">
        <w:rPr>
          <w:rFonts w:asciiTheme="minorHAnsi" w:hAnsiTheme="minorHAnsi" w:cstheme="minorHAnsi"/>
        </w:rPr>
        <w:t>’</w:t>
      </w:r>
      <w:r w:rsidRPr="00C73365">
        <w:rPr>
          <w:rFonts w:asciiTheme="minorHAnsi" w:hAnsiTheme="minorHAnsi" w:cstheme="minorHAnsi"/>
        </w:rPr>
        <w:t>environnement concurrentiel ;</w:t>
      </w:r>
    </w:p>
    <w:p w:rsidR="00F46C7B" w:rsidRPr="00E66FAB" w:rsidRDefault="00F46C7B" w:rsidP="004572A0">
      <w:pPr>
        <w:pStyle w:val="ListBullet2"/>
        <w:numPr>
          <w:ilvl w:val="0"/>
          <w:numId w:val="44"/>
        </w:numPr>
        <w:rPr>
          <w:rFonts w:asciiTheme="minorHAnsi" w:hAnsiTheme="minorHAnsi" w:cstheme="minorHAnsi"/>
          <w:lang w:val="fr-FR"/>
        </w:rPr>
      </w:pPr>
      <w:r w:rsidRPr="00E66FAB">
        <w:rPr>
          <w:rFonts w:asciiTheme="minorHAnsi" w:hAnsiTheme="minorHAnsi" w:cstheme="minorHAnsi"/>
          <w:lang w:val="fr-FR"/>
        </w:rPr>
        <w:t>l</w:t>
      </w:r>
      <w:r w:rsidR="004572A0" w:rsidRPr="00E66FAB">
        <w:rPr>
          <w:rFonts w:asciiTheme="minorHAnsi" w:hAnsiTheme="minorHAnsi" w:cstheme="minorHAnsi"/>
          <w:lang w:val="fr-FR"/>
        </w:rPr>
        <w:t>’</w:t>
      </w:r>
      <w:r w:rsidRPr="00E66FAB">
        <w:rPr>
          <w:rFonts w:asciiTheme="minorHAnsi" w:hAnsiTheme="minorHAnsi" w:cstheme="minorHAnsi"/>
          <w:lang w:val="fr-FR"/>
        </w:rPr>
        <w:t>état de</w:t>
      </w:r>
      <w:r w:rsidRPr="00E66FAB">
        <w:rPr>
          <w:rFonts w:asciiTheme="minorHAnsi" w:hAnsiTheme="minorHAnsi" w:cstheme="minorHAnsi"/>
          <w:spacing w:val="-2"/>
          <w:lang w:val="fr-FR"/>
        </w:rPr>
        <w:t xml:space="preserve"> </w:t>
      </w:r>
      <w:r w:rsidRPr="00E66FAB">
        <w:rPr>
          <w:rFonts w:asciiTheme="minorHAnsi" w:hAnsiTheme="minorHAnsi" w:cstheme="minorHAnsi"/>
          <w:lang w:val="fr-FR"/>
        </w:rPr>
        <w:t>l</w:t>
      </w:r>
      <w:r w:rsidR="004572A0" w:rsidRPr="00E66FAB">
        <w:rPr>
          <w:rFonts w:asciiTheme="minorHAnsi" w:hAnsiTheme="minorHAnsi" w:cstheme="minorHAnsi"/>
          <w:lang w:val="fr-FR"/>
        </w:rPr>
        <w:t>’</w:t>
      </w:r>
      <w:r w:rsidRPr="00E66FAB">
        <w:rPr>
          <w:rFonts w:asciiTheme="minorHAnsi" w:hAnsiTheme="minorHAnsi" w:cstheme="minorHAnsi"/>
          <w:lang w:val="fr-FR"/>
        </w:rPr>
        <w:t>art et de la</w:t>
      </w:r>
      <w:r w:rsidRPr="00E66FAB">
        <w:rPr>
          <w:rFonts w:asciiTheme="minorHAnsi" w:hAnsiTheme="minorHAnsi" w:cstheme="minorHAnsi"/>
          <w:spacing w:val="-3"/>
          <w:lang w:val="fr-FR"/>
        </w:rPr>
        <w:t xml:space="preserve"> </w:t>
      </w:r>
      <w:r w:rsidRPr="00E66FAB">
        <w:rPr>
          <w:rFonts w:asciiTheme="minorHAnsi" w:hAnsiTheme="minorHAnsi" w:cstheme="minorHAnsi"/>
          <w:lang w:val="fr-FR"/>
        </w:rPr>
        <w:t>propriété intellectuelle</w:t>
      </w:r>
      <w:r w:rsidRPr="00E66FAB">
        <w:rPr>
          <w:rFonts w:asciiTheme="minorHAnsi" w:hAnsiTheme="minorHAnsi" w:cstheme="minorHAnsi"/>
          <w:spacing w:val="-2"/>
          <w:lang w:val="fr-FR"/>
        </w:rPr>
        <w:t xml:space="preserve"> </w:t>
      </w:r>
      <w:r w:rsidRPr="00E66FAB">
        <w:rPr>
          <w:rFonts w:asciiTheme="minorHAnsi" w:hAnsiTheme="minorHAnsi" w:cstheme="minorHAnsi"/>
          <w:lang w:val="fr-FR"/>
        </w:rPr>
        <w:t>;</w:t>
      </w:r>
      <w:r w:rsidRPr="00E66FAB">
        <w:rPr>
          <w:rFonts w:asciiTheme="minorHAnsi" w:hAnsiTheme="minorHAnsi" w:cstheme="minorHAnsi"/>
          <w:spacing w:val="-2"/>
          <w:lang w:val="fr-FR"/>
        </w:rPr>
        <w:t xml:space="preserve"> </w:t>
      </w:r>
    </w:p>
    <w:p w:rsidR="00F46C7B" w:rsidRPr="00C73365" w:rsidRDefault="00F46C7B" w:rsidP="004572A0">
      <w:pPr>
        <w:pStyle w:val="ListBullet2"/>
        <w:numPr>
          <w:ilvl w:val="0"/>
          <w:numId w:val="44"/>
        </w:numPr>
        <w:rPr>
          <w:rFonts w:asciiTheme="minorHAnsi" w:hAnsiTheme="minorHAnsi" w:cstheme="minorHAnsi"/>
        </w:rPr>
      </w:pPr>
      <w:r w:rsidRPr="00C73365">
        <w:rPr>
          <w:rFonts w:asciiTheme="minorHAnsi" w:hAnsiTheme="minorHAnsi" w:cstheme="minorHAnsi"/>
        </w:rPr>
        <w:t>la faisabilité du projet.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Selon les conclusions de cette phase d’investigation/suivi de projet, le comité de direction décide ou non de la réalisation et/ou continuation du projet. Ce comité est constitué des responsables des différents départements (R&amp;D, Qualité, Production, Affaires Réglementaires, Commerciale, et Business Development) afin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appréhender le </w:t>
      </w:r>
      <w:r w:rsidRPr="00C73365">
        <w:rPr>
          <w:rFonts w:asciiTheme="minorHAnsi" w:hAnsiTheme="minorHAnsi" w:cstheme="minorHAnsi"/>
          <w:spacing w:val="-1"/>
          <w:lang w:val="fr-FR"/>
        </w:rPr>
        <w:t xml:space="preserve">candidat-médicament </w:t>
      </w:r>
      <w:r w:rsidRPr="00C73365">
        <w:rPr>
          <w:rFonts w:asciiTheme="minorHAnsi" w:hAnsiTheme="minorHAnsi" w:cstheme="minorHAnsi"/>
          <w:lang w:val="fr-FR"/>
        </w:rPr>
        <w:t xml:space="preserve">dans tous les aspects de son développement scientifique, clinique, industriel et commercial.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inventions développées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sont transversales et couvrent différents domaines scientifiques comme </w:t>
      </w:r>
      <w:r w:rsidR="00463B44" w:rsidRPr="00C73365">
        <w:rPr>
          <w:rFonts w:asciiTheme="minorHAnsi" w:hAnsiTheme="minorHAnsi" w:cstheme="minorHAnsi"/>
          <w:lang w:val="fr-FR"/>
        </w:rPr>
        <w:t>la chimie</w:t>
      </w:r>
      <w:r w:rsidRPr="00C73365">
        <w:rPr>
          <w:rFonts w:asciiTheme="minorHAnsi" w:hAnsiTheme="minorHAnsi" w:cstheme="minorHAnsi"/>
          <w:lang w:val="fr-FR"/>
        </w:rPr>
        <w:t xml:space="preserve">, la virologie, l’immunologie, la biologie moléculaire, la biologie cellulaire. Pour faire face à ces défis, trois équipes d’experts ont été constituées dans les différentes activités de développement de ses </w:t>
      </w:r>
      <w:r w:rsidRPr="00C73365">
        <w:rPr>
          <w:rFonts w:asciiTheme="minorHAnsi" w:hAnsiTheme="minorHAnsi" w:cstheme="minorHAnsi"/>
          <w:spacing w:val="-1"/>
          <w:lang w:val="fr-FR"/>
        </w:rPr>
        <w:t xml:space="preserve">candidats-médicaments </w:t>
      </w:r>
      <w:r w:rsidRPr="00C73365">
        <w:rPr>
          <w:rFonts w:asciiTheme="minorHAnsi" w:hAnsiTheme="minorHAnsi" w:cstheme="minorHAnsi"/>
          <w:lang w:val="fr-FR"/>
        </w:rPr>
        <w:t>(virologie, chimie médicinale, immunologie etc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coordination de ces différentes équipes est assurée lors de réunions de travail régulières par projet. Un responsable projet coordonne les différentes étapes de développement de chaque </w:t>
      </w:r>
      <w:r w:rsidRPr="00C73365">
        <w:rPr>
          <w:rFonts w:asciiTheme="minorHAnsi" w:hAnsiTheme="minorHAnsi" w:cstheme="minorHAnsi"/>
          <w:spacing w:val="-1"/>
          <w:lang w:val="fr-FR"/>
        </w:rPr>
        <w:t xml:space="preserve">candidat-médicament </w:t>
      </w:r>
      <w:r w:rsidRPr="00C73365">
        <w:rPr>
          <w:rFonts w:asciiTheme="minorHAnsi" w:hAnsiTheme="minorHAnsi" w:cstheme="minorHAnsi"/>
          <w:lang w:val="fr-FR"/>
        </w:rPr>
        <w:t>(R&amp;D, Préclinique, Production et Clinique) pour s’assurer que le projet avance sans retard au sein des différentes équipes de la Société et auprès des prestataires externes.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recrutement des cadres et des techniciens, la formation du personnel ainsi que les méthodes de travail obéissant aux Bonnes Pratiques de Laboratoire sont orientés en fonction des innovations de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stratégie de gestion de la propriété intellectuelle développée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vise à constituer une véritable barrière à l’intrusion de sociétés tierces dans son univers propriétaire tant du point de vue des produits développés que du point de vue géographique. Ainsi, les plateformes technologiques et les candidats-médicaments qui en découlent sont protégées par des brevets sur les marchés clefs de la Société, à savoir les principaux pays européens, les Etats-Unis, le Canada, le Japon, l’Australie, le Brésil, la Chine et Hong-Kong, la Corée du Sud, l’Inde, la Russie, le Mexique, l’Argentine, et l’Afrique du Sud.</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politique d’innovation de la Société est soutenue par une veille scientifique et technologique sur toutes les indications dans le domaine des maladies infectieuses et/ou chronique.</w:t>
      </w:r>
    </w:p>
    <w:p w:rsidR="00F46C7B" w:rsidRPr="00C73365" w:rsidRDefault="00F46C7B" w:rsidP="00434C49">
      <w:pPr>
        <w:pStyle w:val="ConmainL2"/>
        <w:numPr>
          <w:ilvl w:val="1"/>
          <w:numId w:val="96"/>
        </w:numPr>
        <w:spacing w:after="120"/>
        <w:rPr>
          <w:rFonts w:asciiTheme="minorHAnsi" w:hAnsiTheme="minorHAnsi" w:cstheme="minorHAnsi"/>
          <w:sz w:val="22"/>
          <w:szCs w:val="22"/>
          <w:lang w:val="fr-FR"/>
        </w:rPr>
      </w:pPr>
      <w:bookmarkStart w:id="718" w:name="_Toc462673259"/>
      <w:bookmarkStart w:id="719" w:name="_Toc512863921"/>
      <w:r w:rsidRPr="00C73365">
        <w:rPr>
          <w:rFonts w:asciiTheme="minorHAnsi" w:hAnsiTheme="minorHAnsi" w:cstheme="minorHAnsi"/>
          <w:sz w:val="22"/>
          <w:szCs w:val="22"/>
          <w:lang w:val="fr-FR"/>
        </w:rPr>
        <w:lastRenderedPageBreak/>
        <w:t>Brevets et demandes de brevets</w:t>
      </w:r>
      <w:bookmarkEnd w:id="717"/>
      <w:bookmarkEnd w:id="718"/>
      <w:bookmarkEnd w:id="719"/>
    </w:p>
    <w:p w:rsidR="00F46C7B" w:rsidRPr="00C73365" w:rsidRDefault="00F46C7B" w:rsidP="00434C49">
      <w:pPr>
        <w:pStyle w:val="ConmainL3"/>
        <w:keepLines/>
        <w:numPr>
          <w:ilvl w:val="2"/>
          <w:numId w:val="96"/>
        </w:numPr>
        <w:spacing w:after="120"/>
        <w:ind w:left="1276" w:hanging="556"/>
        <w:rPr>
          <w:rFonts w:asciiTheme="minorHAnsi" w:hAnsiTheme="minorHAnsi" w:cstheme="minorHAnsi"/>
          <w:lang w:val="fr-FR"/>
        </w:rPr>
      </w:pPr>
      <w:r w:rsidRPr="00C73365">
        <w:rPr>
          <w:rFonts w:asciiTheme="minorHAnsi" w:hAnsiTheme="minorHAnsi" w:cstheme="minorHAnsi"/>
          <w:b/>
          <w:color w:val="7030A0"/>
          <w:lang w:val="fr-FR"/>
        </w:rPr>
        <w:t>Politique de protection de la propriété industrielle</w:t>
      </w:r>
    </w:p>
    <w:p w:rsidR="00F46C7B" w:rsidRPr="00C73365" w:rsidRDefault="00F46C7B" w:rsidP="004572A0">
      <w:pPr>
        <w:pStyle w:val="BodyText"/>
        <w:rPr>
          <w:rFonts w:asciiTheme="minorHAnsi" w:hAnsiTheme="minorHAnsi" w:cstheme="minorHAnsi"/>
          <w:spacing w:val="1"/>
          <w:lang w:val="fr-FR"/>
        </w:rPr>
      </w:pPr>
      <w:r w:rsidRPr="00C73365">
        <w:rPr>
          <w:rFonts w:asciiTheme="minorHAnsi" w:hAnsiTheme="minorHAnsi" w:cstheme="minorHAnsi"/>
          <w:lang w:val="fr-FR"/>
        </w:rPr>
        <w:t>Le</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succès</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de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la</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Société</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 xml:space="preserve">dépend </w:t>
      </w:r>
      <w:r w:rsidRPr="00C73365">
        <w:rPr>
          <w:rFonts w:asciiTheme="minorHAnsi" w:hAnsiTheme="minorHAnsi" w:cstheme="minorHAnsi"/>
          <w:spacing w:val="-2"/>
          <w:lang w:val="fr-FR"/>
        </w:rPr>
        <w:t>de</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sa</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capacité</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à</w:t>
      </w:r>
      <w:r w:rsidRPr="00C73365">
        <w:rPr>
          <w:rFonts w:asciiTheme="minorHAnsi" w:hAnsiTheme="minorHAnsi" w:cstheme="minorHAnsi"/>
          <w:spacing w:val="5"/>
          <w:lang w:val="fr-FR"/>
        </w:rPr>
        <w:t xml:space="preserve"> déposer et </w:t>
      </w:r>
      <w:r w:rsidRPr="00C73365">
        <w:rPr>
          <w:rFonts w:asciiTheme="minorHAnsi" w:hAnsiTheme="minorHAnsi" w:cstheme="minorHAnsi"/>
          <w:lang w:val="fr-FR"/>
        </w:rPr>
        <w:t>protéger</w:t>
      </w:r>
      <w:r w:rsidRPr="00C73365">
        <w:rPr>
          <w:rFonts w:asciiTheme="minorHAnsi" w:hAnsiTheme="minorHAnsi" w:cstheme="minorHAnsi"/>
          <w:spacing w:val="8"/>
          <w:lang w:val="fr-FR"/>
        </w:rPr>
        <w:t xml:space="preserve"> correctement </w:t>
      </w:r>
      <w:r w:rsidRPr="00C73365">
        <w:rPr>
          <w:rFonts w:asciiTheme="minorHAnsi" w:hAnsiTheme="minorHAnsi" w:cstheme="minorHAnsi"/>
          <w:lang w:val="fr-FR"/>
        </w:rPr>
        <w:t>ses</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inventions,</w:t>
      </w:r>
      <w:r w:rsidRPr="00C73365">
        <w:rPr>
          <w:rFonts w:asciiTheme="minorHAnsi" w:hAnsiTheme="minorHAnsi" w:cstheme="minorHAnsi"/>
          <w:spacing w:val="55"/>
          <w:lang w:val="fr-FR"/>
        </w:rPr>
        <w:t xml:space="preserve"> </w:t>
      </w:r>
      <w:r w:rsidRPr="00C73365">
        <w:rPr>
          <w:rFonts w:asciiTheme="minorHAnsi" w:hAnsiTheme="minorHAnsi" w:cstheme="minorHAnsi"/>
          <w:lang w:val="fr-FR"/>
        </w:rPr>
        <w:t>notamment</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par</w:t>
      </w:r>
      <w:r w:rsidRPr="00C73365">
        <w:rPr>
          <w:rFonts w:asciiTheme="minorHAnsi" w:hAnsiTheme="minorHAnsi" w:cstheme="minorHAnsi"/>
          <w:spacing w:val="13"/>
          <w:lang w:val="fr-FR"/>
        </w:rPr>
        <w:t xml:space="preserve"> </w:t>
      </w:r>
      <w:r w:rsidRPr="00C73365">
        <w:rPr>
          <w:rFonts w:asciiTheme="minorHAnsi" w:hAnsiTheme="minorHAnsi" w:cstheme="minorHAnsi"/>
          <w:lang w:val="fr-FR"/>
        </w:rPr>
        <w:t>l’obtention</w:t>
      </w:r>
      <w:r w:rsidRPr="00C73365">
        <w:rPr>
          <w:rFonts w:asciiTheme="minorHAnsi" w:hAnsiTheme="minorHAnsi" w:cstheme="minorHAnsi"/>
          <w:spacing w:val="12"/>
          <w:lang w:val="fr-FR"/>
        </w:rPr>
        <w:t xml:space="preserve"> </w:t>
      </w:r>
      <w:r w:rsidRPr="00C73365">
        <w:rPr>
          <w:rFonts w:asciiTheme="minorHAnsi" w:hAnsiTheme="minorHAnsi" w:cstheme="minorHAnsi"/>
          <w:lang w:val="fr-FR"/>
        </w:rPr>
        <w:t>et</w:t>
      </w:r>
      <w:r w:rsidRPr="00C73365">
        <w:rPr>
          <w:rFonts w:asciiTheme="minorHAnsi" w:hAnsiTheme="minorHAnsi" w:cstheme="minorHAnsi"/>
          <w:spacing w:val="13"/>
          <w:lang w:val="fr-FR"/>
        </w:rPr>
        <w:t xml:space="preserve"> </w:t>
      </w:r>
      <w:r w:rsidRPr="00C73365">
        <w:rPr>
          <w:rFonts w:asciiTheme="minorHAnsi" w:hAnsiTheme="minorHAnsi" w:cstheme="minorHAnsi"/>
          <w:lang w:val="fr-FR"/>
        </w:rPr>
        <w:t>le</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maintien</w:t>
      </w:r>
      <w:r w:rsidRPr="00C73365">
        <w:rPr>
          <w:rFonts w:asciiTheme="minorHAnsi" w:hAnsiTheme="minorHAnsi" w:cstheme="minorHAnsi"/>
          <w:spacing w:val="12"/>
          <w:lang w:val="fr-FR"/>
        </w:rPr>
        <w:t xml:space="preserve"> </w:t>
      </w:r>
      <w:r w:rsidRPr="00C73365">
        <w:rPr>
          <w:rFonts w:asciiTheme="minorHAnsi" w:hAnsiTheme="minorHAnsi" w:cstheme="minorHAnsi"/>
          <w:lang w:val="fr-FR"/>
        </w:rPr>
        <w:t>en</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vigueur</w:t>
      </w:r>
      <w:r w:rsidRPr="00C73365">
        <w:rPr>
          <w:rFonts w:asciiTheme="minorHAnsi" w:hAnsiTheme="minorHAnsi" w:cstheme="minorHAnsi"/>
          <w:spacing w:val="13"/>
          <w:lang w:val="fr-FR"/>
        </w:rPr>
        <w:t xml:space="preserve"> </w:t>
      </w:r>
      <w:r w:rsidRPr="00C73365">
        <w:rPr>
          <w:rFonts w:asciiTheme="minorHAnsi" w:hAnsiTheme="minorHAnsi" w:cstheme="minorHAnsi"/>
          <w:spacing w:val="-2"/>
          <w:lang w:val="fr-FR"/>
        </w:rPr>
        <w:t>de</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brevets</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dans les zones géographiques couvertes.</w:t>
      </w:r>
      <w:r w:rsidRPr="00C73365">
        <w:rPr>
          <w:rFonts w:asciiTheme="minorHAnsi" w:hAnsiTheme="minorHAnsi" w:cstheme="minorHAnsi"/>
          <w:spacing w:val="53"/>
          <w:lang w:val="fr-FR"/>
        </w:rPr>
        <w:t xml:space="preserve"> </w:t>
      </w:r>
      <w:r w:rsidRPr="00C73365">
        <w:rPr>
          <w:rFonts w:asciiTheme="minorHAnsi" w:hAnsiTheme="minorHAnsi" w:cstheme="minorHAnsi"/>
          <w:lang w:val="fr-FR"/>
        </w:rPr>
        <w:t>Une</w:t>
      </w:r>
      <w:r w:rsidRPr="00C73365">
        <w:rPr>
          <w:rFonts w:asciiTheme="minorHAnsi" w:hAnsiTheme="minorHAnsi" w:cstheme="minorHAnsi"/>
          <w:spacing w:val="32"/>
          <w:lang w:val="fr-FR"/>
        </w:rPr>
        <w:t xml:space="preserve"> </w:t>
      </w:r>
      <w:r w:rsidRPr="00C73365">
        <w:rPr>
          <w:rFonts w:asciiTheme="minorHAnsi" w:hAnsiTheme="minorHAnsi" w:cstheme="minorHAnsi"/>
          <w:lang w:val="fr-FR"/>
        </w:rPr>
        <w:t>politique</w:t>
      </w:r>
      <w:r w:rsidRPr="00C73365">
        <w:rPr>
          <w:rFonts w:asciiTheme="minorHAnsi" w:hAnsiTheme="minorHAnsi" w:cstheme="minorHAnsi"/>
          <w:spacing w:val="29"/>
          <w:lang w:val="fr-FR"/>
        </w:rPr>
        <w:t xml:space="preserve"> </w:t>
      </w:r>
      <w:r w:rsidRPr="00C73365">
        <w:rPr>
          <w:rFonts w:asciiTheme="minorHAnsi" w:hAnsiTheme="minorHAnsi" w:cstheme="minorHAnsi"/>
          <w:lang w:val="fr-FR"/>
        </w:rPr>
        <w:t>active</w:t>
      </w:r>
      <w:r w:rsidRPr="00C73365">
        <w:rPr>
          <w:rFonts w:asciiTheme="minorHAnsi" w:hAnsiTheme="minorHAnsi" w:cstheme="minorHAnsi"/>
          <w:spacing w:val="32"/>
          <w:lang w:val="fr-FR"/>
        </w:rPr>
        <w:t xml:space="preserve"> </w:t>
      </w:r>
      <w:r w:rsidRPr="00C73365">
        <w:rPr>
          <w:rFonts w:asciiTheme="minorHAnsi" w:hAnsiTheme="minorHAnsi" w:cstheme="minorHAnsi"/>
          <w:lang w:val="fr-FR"/>
        </w:rPr>
        <w:t>est</w:t>
      </w:r>
      <w:r w:rsidRPr="00C73365">
        <w:rPr>
          <w:rFonts w:asciiTheme="minorHAnsi" w:hAnsiTheme="minorHAnsi" w:cstheme="minorHAnsi"/>
          <w:spacing w:val="30"/>
          <w:lang w:val="fr-FR"/>
        </w:rPr>
        <w:t xml:space="preserve"> </w:t>
      </w:r>
      <w:r w:rsidRPr="00C73365">
        <w:rPr>
          <w:rFonts w:asciiTheme="minorHAnsi" w:hAnsiTheme="minorHAnsi" w:cstheme="minorHAnsi"/>
          <w:lang w:val="fr-FR"/>
        </w:rPr>
        <w:t>donc</w:t>
      </w:r>
      <w:r w:rsidRPr="00C73365">
        <w:rPr>
          <w:rFonts w:asciiTheme="minorHAnsi" w:hAnsiTheme="minorHAnsi" w:cstheme="minorHAnsi"/>
          <w:spacing w:val="29"/>
          <w:lang w:val="fr-FR"/>
        </w:rPr>
        <w:t xml:space="preserve"> </w:t>
      </w:r>
      <w:r w:rsidRPr="00C73365">
        <w:rPr>
          <w:rFonts w:asciiTheme="minorHAnsi" w:hAnsiTheme="minorHAnsi" w:cstheme="minorHAnsi"/>
          <w:lang w:val="fr-FR"/>
        </w:rPr>
        <w:t>poursuivie</w:t>
      </w:r>
      <w:r w:rsidRPr="00C73365">
        <w:rPr>
          <w:rFonts w:asciiTheme="minorHAnsi" w:hAnsiTheme="minorHAnsi" w:cstheme="minorHAnsi"/>
          <w:spacing w:val="32"/>
          <w:lang w:val="fr-FR"/>
        </w:rPr>
        <w:t xml:space="preserve"> </w:t>
      </w:r>
      <w:r w:rsidRPr="00C73365">
        <w:rPr>
          <w:rFonts w:asciiTheme="minorHAnsi" w:hAnsiTheme="minorHAnsi" w:cstheme="minorHAnsi"/>
          <w:lang w:val="fr-FR"/>
        </w:rPr>
        <w:t>pour,</w:t>
      </w:r>
      <w:r w:rsidRPr="00C73365">
        <w:rPr>
          <w:rFonts w:asciiTheme="minorHAnsi" w:hAnsiTheme="minorHAnsi" w:cstheme="minorHAnsi"/>
          <w:spacing w:val="26"/>
          <w:lang w:val="fr-FR"/>
        </w:rPr>
        <w:t xml:space="preserve"> </w:t>
      </w:r>
      <w:r w:rsidRPr="00C73365">
        <w:rPr>
          <w:rFonts w:asciiTheme="minorHAnsi" w:hAnsiTheme="minorHAnsi" w:cstheme="minorHAnsi"/>
          <w:lang w:val="fr-FR"/>
        </w:rPr>
        <w:t>à</w:t>
      </w:r>
      <w:r w:rsidRPr="00C73365">
        <w:rPr>
          <w:rFonts w:asciiTheme="minorHAnsi" w:hAnsiTheme="minorHAnsi" w:cstheme="minorHAnsi"/>
          <w:spacing w:val="32"/>
          <w:lang w:val="fr-FR"/>
        </w:rPr>
        <w:t xml:space="preserve"> </w:t>
      </w:r>
      <w:r w:rsidRPr="00C73365">
        <w:rPr>
          <w:rFonts w:asciiTheme="minorHAnsi" w:hAnsiTheme="minorHAnsi" w:cstheme="minorHAnsi"/>
          <w:lang w:val="fr-FR"/>
        </w:rPr>
        <w:t>la</w:t>
      </w:r>
      <w:r w:rsidRPr="00C73365">
        <w:rPr>
          <w:rFonts w:asciiTheme="minorHAnsi" w:hAnsiTheme="minorHAnsi" w:cstheme="minorHAnsi"/>
          <w:spacing w:val="29"/>
          <w:lang w:val="fr-FR"/>
        </w:rPr>
        <w:t xml:space="preserve"> </w:t>
      </w:r>
      <w:r w:rsidRPr="00C73365">
        <w:rPr>
          <w:rFonts w:asciiTheme="minorHAnsi" w:hAnsiTheme="minorHAnsi" w:cstheme="minorHAnsi"/>
          <w:lang w:val="fr-FR"/>
        </w:rPr>
        <w:t>fois,</w:t>
      </w:r>
      <w:r w:rsidRPr="00C73365">
        <w:rPr>
          <w:rFonts w:asciiTheme="minorHAnsi" w:hAnsiTheme="minorHAnsi" w:cstheme="minorHAnsi"/>
          <w:spacing w:val="31"/>
          <w:lang w:val="fr-FR"/>
        </w:rPr>
        <w:t xml:space="preserve"> </w:t>
      </w:r>
      <w:r w:rsidRPr="00C73365">
        <w:rPr>
          <w:rFonts w:asciiTheme="minorHAnsi" w:hAnsiTheme="minorHAnsi" w:cstheme="minorHAnsi"/>
          <w:lang w:val="fr-FR"/>
        </w:rPr>
        <w:t>protéger</w:t>
      </w:r>
      <w:r w:rsidRPr="00C73365">
        <w:rPr>
          <w:rFonts w:asciiTheme="minorHAnsi" w:hAnsiTheme="minorHAnsi" w:cstheme="minorHAnsi"/>
          <w:spacing w:val="30"/>
          <w:lang w:val="fr-FR"/>
        </w:rPr>
        <w:t xml:space="preserve"> </w:t>
      </w:r>
      <w:r w:rsidRPr="00C73365">
        <w:rPr>
          <w:rFonts w:asciiTheme="minorHAnsi" w:hAnsiTheme="minorHAnsi" w:cstheme="minorHAnsi"/>
          <w:lang w:val="fr-FR"/>
        </w:rPr>
        <w:t>les</w:t>
      </w:r>
      <w:r w:rsidRPr="00C73365">
        <w:rPr>
          <w:rFonts w:asciiTheme="minorHAnsi" w:hAnsiTheme="minorHAnsi" w:cstheme="minorHAnsi"/>
          <w:spacing w:val="29"/>
          <w:lang w:val="fr-FR"/>
        </w:rPr>
        <w:t xml:space="preserve"> </w:t>
      </w:r>
      <w:r w:rsidRPr="00C73365">
        <w:rPr>
          <w:rFonts w:asciiTheme="minorHAnsi" w:hAnsiTheme="minorHAnsi" w:cstheme="minorHAnsi"/>
          <w:lang w:val="fr-FR"/>
        </w:rPr>
        <w:t>candidats-médicaments en</w:t>
      </w:r>
      <w:r w:rsidRPr="00C73365">
        <w:rPr>
          <w:rFonts w:asciiTheme="minorHAnsi" w:hAnsiTheme="minorHAnsi" w:cstheme="minorHAnsi"/>
          <w:spacing w:val="29"/>
          <w:lang w:val="fr-FR"/>
        </w:rPr>
        <w:t xml:space="preserve"> </w:t>
      </w:r>
      <w:r w:rsidRPr="00C73365">
        <w:rPr>
          <w:rFonts w:asciiTheme="minorHAnsi" w:hAnsiTheme="minorHAnsi" w:cstheme="minorHAnsi"/>
          <w:lang w:val="fr-FR"/>
        </w:rPr>
        <w:t>cours</w:t>
      </w:r>
      <w:r w:rsidRPr="00C73365">
        <w:rPr>
          <w:rFonts w:asciiTheme="minorHAnsi" w:hAnsiTheme="minorHAnsi" w:cstheme="minorHAnsi"/>
          <w:spacing w:val="29"/>
          <w:lang w:val="fr-FR"/>
        </w:rPr>
        <w:t xml:space="preserve"> </w:t>
      </w:r>
      <w:r w:rsidRPr="00C73365">
        <w:rPr>
          <w:rFonts w:asciiTheme="minorHAnsi" w:hAnsiTheme="minorHAnsi" w:cstheme="minorHAnsi"/>
          <w:lang w:val="fr-FR"/>
        </w:rPr>
        <w:t>de</w:t>
      </w:r>
      <w:r w:rsidRPr="00C73365">
        <w:rPr>
          <w:rFonts w:asciiTheme="minorHAnsi" w:hAnsiTheme="minorHAnsi" w:cstheme="minorHAnsi"/>
          <w:spacing w:val="49"/>
          <w:lang w:val="fr-FR"/>
        </w:rPr>
        <w:t xml:space="preserve"> </w:t>
      </w:r>
      <w:r w:rsidRPr="00C73365">
        <w:rPr>
          <w:rFonts w:asciiTheme="minorHAnsi" w:hAnsiTheme="minorHAnsi" w:cstheme="minorHAnsi"/>
          <w:lang w:val="fr-FR"/>
        </w:rPr>
        <w:t>développement</w:t>
      </w:r>
      <w:r w:rsidRPr="00C73365">
        <w:rPr>
          <w:rFonts w:asciiTheme="minorHAnsi" w:hAnsiTheme="minorHAnsi" w:cstheme="minorHAnsi"/>
          <w:spacing w:val="1"/>
          <w:lang w:val="fr-FR"/>
        </w:rPr>
        <w:t xml:space="preserve"> </w:t>
      </w:r>
      <w:r w:rsidRPr="00C73365">
        <w:rPr>
          <w:rFonts w:asciiTheme="minorHAnsi" w:hAnsiTheme="minorHAnsi" w:cstheme="minorHAnsi"/>
          <w:lang w:val="fr-FR"/>
        </w:rPr>
        <w:t>clinique, mais</w:t>
      </w:r>
      <w:r w:rsidRPr="00C73365">
        <w:rPr>
          <w:rFonts w:asciiTheme="minorHAnsi" w:hAnsiTheme="minorHAnsi" w:cstheme="minorHAnsi"/>
          <w:spacing w:val="53"/>
          <w:lang w:val="fr-FR"/>
        </w:rPr>
        <w:t xml:space="preserve"> </w:t>
      </w:r>
      <w:r w:rsidRPr="00C73365">
        <w:rPr>
          <w:rFonts w:asciiTheme="minorHAnsi" w:hAnsiTheme="minorHAnsi" w:cstheme="minorHAnsi"/>
          <w:lang w:val="fr-FR"/>
        </w:rPr>
        <w:t>également</w:t>
      </w:r>
      <w:r w:rsidRPr="00C73365">
        <w:rPr>
          <w:rFonts w:asciiTheme="minorHAnsi" w:hAnsiTheme="minorHAnsi" w:cstheme="minorHAnsi"/>
          <w:spacing w:val="1"/>
          <w:lang w:val="fr-FR"/>
        </w:rPr>
        <w:t xml:space="preserve"> </w:t>
      </w:r>
      <w:r w:rsidRPr="00C73365">
        <w:rPr>
          <w:rFonts w:asciiTheme="minorHAnsi" w:hAnsiTheme="minorHAnsi" w:cstheme="minorHAnsi"/>
          <w:lang w:val="fr-FR"/>
        </w:rPr>
        <w:t>protéger</w:t>
      </w:r>
      <w:r w:rsidRPr="00C73365">
        <w:rPr>
          <w:rFonts w:asciiTheme="minorHAnsi" w:hAnsiTheme="minorHAnsi" w:cstheme="minorHAnsi"/>
          <w:spacing w:val="1"/>
          <w:lang w:val="fr-FR"/>
        </w:rPr>
        <w:t xml:space="preserve"> ses plateformes pour toute nouvelle molécule ayant une activité thérapeutique sur une indication particulière, mais également utilisable en diagnostic ou dans un autre domaine.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Conformément à sa stratégie visant à protéger ses technologies et ses </w:t>
      </w:r>
      <w:r w:rsidRPr="00C73365">
        <w:rPr>
          <w:rFonts w:asciiTheme="minorHAnsi" w:hAnsiTheme="minorHAnsi" w:cstheme="minorHAnsi"/>
          <w:spacing w:val="-1"/>
          <w:lang w:val="fr-FR"/>
        </w:rPr>
        <w:t xml:space="preserve">candidats-médicaments </w:t>
      </w:r>
      <w:r w:rsidRPr="00C73365">
        <w:rPr>
          <w:rFonts w:asciiTheme="minorHAnsi" w:hAnsiTheme="minorHAnsi" w:cstheme="minorHAnsi"/>
          <w:lang w:val="fr-FR"/>
        </w:rPr>
        <w:t xml:space="preserve">en développement,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déposé et continue de déposer de nombreuses demandes de brevet pour couvrir :</w:t>
      </w:r>
    </w:p>
    <w:p w:rsidR="00F46C7B" w:rsidRPr="00C73365" w:rsidRDefault="00F46C7B" w:rsidP="004572A0">
      <w:pPr>
        <w:pStyle w:val="ListBullet2"/>
        <w:numPr>
          <w:ilvl w:val="0"/>
          <w:numId w:val="45"/>
        </w:numPr>
        <w:rPr>
          <w:rFonts w:asciiTheme="minorHAnsi" w:hAnsiTheme="minorHAnsi" w:cstheme="minorHAnsi"/>
        </w:rPr>
      </w:pPr>
      <w:r w:rsidRPr="00C73365">
        <w:rPr>
          <w:rFonts w:asciiTheme="minorHAnsi" w:hAnsiTheme="minorHAnsi" w:cstheme="minorHAnsi"/>
        </w:rPr>
        <w:t>l’ensemble de ses technologies ;</w:t>
      </w:r>
    </w:p>
    <w:p w:rsidR="00F46C7B" w:rsidRPr="00E66FAB" w:rsidRDefault="00F46C7B" w:rsidP="004572A0">
      <w:pPr>
        <w:pStyle w:val="ListBullet2"/>
        <w:numPr>
          <w:ilvl w:val="0"/>
          <w:numId w:val="45"/>
        </w:numPr>
        <w:rPr>
          <w:rFonts w:asciiTheme="minorHAnsi" w:hAnsiTheme="minorHAnsi" w:cstheme="minorHAnsi"/>
          <w:lang w:val="fr-FR"/>
        </w:rPr>
      </w:pPr>
      <w:r w:rsidRPr="00E66FAB">
        <w:rPr>
          <w:rFonts w:asciiTheme="minorHAnsi" w:hAnsiTheme="minorHAnsi" w:cstheme="minorHAnsi"/>
          <w:lang w:val="fr-FR"/>
        </w:rPr>
        <w:t>les familles de produit sur un ensemble d’indications ;</w:t>
      </w:r>
    </w:p>
    <w:p w:rsidR="00F46C7B" w:rsidRPr="00E66FAB" w:rsidRDefault="00F46C7B" w:rsidP="004572A0">
      <w:pPr>
        <w:pStyle w:val="ListBullet2"/>
        <w:numPr>
          <w:ilvl w:val="0"/>
          <w:numId w:val="45"/>
        </w:numPr>
        <w:rPr>
          <w:rFonts w:asciiTheme="minorHAnsi" w:hAnsiTheme="minorHAnsi" w:cstheme="minorHAnsi"/>
          <w:lang w:val="fr-FR"/>
        </w:rPr>
      </w:pPr>
      <w:r w:rsidRPr="00E66FAB">
        <w:rPr>
          <w:rFonts w:asciiTheme="minorHAnsi" w:hAnsiTheme="minorHAnsi" w:cstheme="minorHAnsi"/>
          <w:lang w:val="fr-FR"/>
        </w:rPr>
        <w:t>l’utilisation de famille de produits ayant démontré une activité dans une indication particulière, ou utilisable pour du diagnostic ;</w:t>
      </w:r>
    </w:p>
    <w:p w:rsidR="00F46C7B" w:rsidRPr="00E66FAB" w:rsidRDefault="00F46C7B" w:rsidP="004572A0">
      <w:pPr>
        <w:pStyle w:val="ListBullet2"/>
        <w:numPr>
          <w:ilvl w:val="0"/>
          <w:numId w:val="45"/>
        </w:numPr>
        <w:rPr>
          <w:rFonts w:asciiTheme="minorHAnsi" w:hAnsiTheme="minorHAnsi" w:cstheme="minorHAnsi"/>
          <w:lang w:val="fr-FR"/>
        </w:rPr>
      </w:pPr>
      <w:r w:rsidRPr="00E66FAB">
        <w:rPr>
          <w:rFonts w:asciiTheme="minorHAnsi" w:hAnsiTheme="minorHAnsi" w:cstheme="minorHAnsi"/>
          <w:lang w:val="fr-FR"/>
        </w:rPr>
        <w:t>le procédé de fabrication si celui-ci est innovant.</w:t>
      </w:r>
    </w:p>
    <w:p w:rsidR="00F46C7B"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dispose en outre d</w:t>
      </w:r>
      <w:r w:rsidR="004572A0" w:rsidRPr="00C73365">
        <w:rPr>
          <w:rFonts w:asciiTheme="minorHAnsi" w:hAnsiTheme="minorHAnsi" w:cstheme="minorHAnsi"/>
          <w:lang w:val="fr-FR"/>
        </w:rPr>
        <w:t>’</w:t>
      </w:r>
      <w:r w:rsidR="00F46C7B" w:rsidRPr="00C73365">
        <w:rPr>
          <w:rFonts w:asciiTheme="minorHAnsi" w:hAnsiTheme="minorHAnsi" w:cstheme="minorHAnsi"/>
          <w:lang w:val="fr-FR"/>
        </w:rPr>
        <w:t xml:space="preserve">un important savoir-faire dans son domaine d’activité. Dans ce cadre, </w:t>
      </w: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protège sa technologie, son savoir-faire et ses différentes données confidentielles non brevetables en recourant à des engagements de confidentialité avec ses employés, ses consultants et ses cocontractants.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Afin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assurer et de dater les connaissances qu’elle acquiert et se protéger au mieux de toute action judiciaire notamment en Europe et aux Etats-Unis dans ce domaine,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dispose d’une structure qualité qui gère certaines études dans le cadre des Bonnes Pratiques de Laboratoires. L’ensemble des projets est suivi a minima par des cahiers de laboratoires (expertises chimie et antivirale) et géré selon l’ensemble des procédures de Bonnes Pratiques de Laboratoires conforme aux normes internationales (expertise vaccin).</w:t>
      </w:r>
    </w:p>
    <w:p w:rsidR="00F46C7B" w:rsidRPr="00C73365" w:rsidRDefault="00F46C7B" w:rsidP="00434C49">
      <w:pPr>
        <w:pStyle w:val="ConmainL3"/>
        <w:keepLines/>
        <w:numPr>
          <w:ilvl w:val="2"/>
          <w:numId w:val="96"/>
        </w:numPr>
        <w:spacing w:after="120"/>
        <w:ind w:left="1276" w:hanging="556"/>
        <w:rPr>
          <w:rFonts w:asciiTheme="minorHAnsi" w:hAnsiTheme="minorHAnsi" w:cstheme="minorHAnsi"/>
          <w:b/>
          <w:color w:val="7030A0"/>
          <w:lang w:val="fr-FR"/>
        </w:rPr>
      </w:pPr>
      <w:r w:rsidRPr="00C73365">
        <w:rPr>
          <w:rFonts w:asciiTheme="minorHAnsi" w:hAnsiTheme="minorHAnsi" w:cstheme="minorHAnsi"/>
          <w:b/>
          <w:color w:val="7030A0"/>
          <w:lang w:val="fr-FR"/>
        </w:rPr>
        <w:t>Brevets et demandes de brevet gérés ou cogérés par la Société</w:t>
      </w:r>
    </w:p>
    <w:p w:rsidR="00F46C7B" w:rsidRPr="00C73365" w:rsidRDefault="00F46C7B">
      <w:pPr>
        <w:pStyle w:val="ListParagraph"/>
        <w:widowControl w:val="0"/>
        <w:ind w:left="491"/>
        <w:rPr>
          <w:rFonts w:asciiTheme="minorHAnsi" w:hAnsiTheme="minorHAnsi" w:cstheme="minorHAnsi"/>
          <w:szCs w:val="20"/>
          <w:lang w:val="fr-FR"/>
        </w:rPr>
      </w:pPr>
      <w:r w:rsidRPr="00C73365">
        <w:rPr>
          <w:rFonts w:asciiTheme="minorHAnsi" w:hAnsiTheme="minorHAnsi" w:cstheme="minorHAnsi"/>
          <w:szCs w:val="20"/>
          <w:lang w:val="fr-FR"/>
        </w:rPr>
        <w:t>Les inventions</w:t>
      </w:r>
      <w:r w:rsidRPr="00C73365">
        <w:rPr>
          <w:rFonts w:asciiTheme="minorHAnsi" w:hAnsiTheme="minorHAnsi" w:cstheme="minorHAnsi"/>
          <w:spacing w:val="-2"/>
          <w:szCs w:val="20"/>
          <w:lang w:val="fr-FR"/>
        </w:rPr>
        <w:t xml:space="preserve"> </w:t>
      </w:r>
      <w:r w:rsidRPr="00C73365">
        <w:rPr>
          <w:rFonts w:asciiTheme="minorHAnsi" w:hAnsiTheme="minorHAnsi" w:cstheme="minorHAnsi"/>
          <w:szCs w:val="20"/>
          <w:lang w:val="fr-FR"/>
        </w:rPr>
        <w:t>objets</w:t>
      </w:r>
      <w:r w:rsidRPr="00C73365">
        <w:rPr>
          <w:rFonts w:asciiTheme="minorHAnsi" w:hAnsiTheme="minorHAnsi" w:cstheme="minorHAnsi"/>
          <w:spacing w:val="-2"/>
          <w:szCs w:val="20"/>
          <w:lang w:val="fr-FR"/>
        </w:rPr>
        <w:t xml:space="preserve"> </w:t>
      </w:r>
      <w:r w:rsidRPr="00C73365">
        <w:rPr>
          <w:rFonts w:asciiTheme="minorHAnsi" w:hAnsiTheme="minorHAnsi" w:cstheme="minorHAnsi"/>
          <w:szCs w:val="20"/>
          <w:lang w:val="fr-FR"/>
        </w:rPr>
        <w:t>des brevets ou des demandes de brevet</w:t>
      </w:r>
      <w:r w:rsidRPr="00C73365">
        <w:rPr>
          <w:rFonts w:asciiTheme="minorHAnsi" w:hAnsiTheme="minorHAnsi" w:cstheme="minorHAnsi"/>
          <w:spacing w:val="-2"/>
          <w:szCs w:val="20"/>
          <w:lang w:val="fr-FR"/>
        </w:rPr>
        <w:t xml:space="preserve"> </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xml:space="preserve">, ou des brevets ou demandes de brevet concédés en licence à titre exclusif à </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xml:space="preserve">, dont la propriété intellectuelle est gérée ou cogérée par </w:t>
      </w:r>
      <w:r w:rsidR="00EF089C" w:rsidRPr="00C73365">
        <w:rPr>
          <w:rFonts w:asciiTheme="minorHAnsi" w:hAnsiTheme="minorHAnsi" w:cstheme="minorHAnsi"/>
          <w:szCs w:val="20"/>
          <w:lang w:val="fr-FR"/>
        </w:rPr>
        <w:t>ABIVAX</w:t>
      </w:r>
      <w:r w:rsidRPr="00C73365">
        <w:rPr>
          <w:rFonts w:asciiTheme="minorHAnsi" w:hAnsiTheme="minorHAnsi" w:cstheme="minorHAnsi"/>
          <w:szCs w:val="20"/>
          <w:lang w:val="fr-FR"/>
        </w:rPr>
        <w:t>, concernent</w:t>
      </w:r>
      <w:r w:rsidRPr="00C73365">
        <w:rPr>
          <w:rFonts w:asciiTheme="minorHAnsi" w:hAnsiTheme="minorHAnsi" w:cstheme="minorHAnsi"/>
          <w:spacing w:val="-2"/>
          <w:szCs w:val="20"/>
          <w:lang w:val="fr-FR"/>
        </w:rPr>
        <w:t xml:space="preserve"> </w:t>
      </w:r>
      <w:r w:rsidR="00520BE2" w:rsidRPr="00C73365">
        <w:rPr>
          <w:rFonts w:asciiTheme="minorHAnsi" w:hAnsiTheme="minorHAnsi" w:cstheme="minorHAnsi"/>
          <w:szCs w:val="20"/>
          <w:lang w:val="fr-FR"/>
        </w:rPr>
        <w:t xml:space="preserve">trois </w:t>
      </w:r>
      <w:r w:rsidRPr="00C73365">
        <w:rPr>
          <w:rFonts w:asciiTheme="minorHAnsi" w:hAnsiTheme="minorHAnsi" w:cstheme="minorHAnsi"/>
          <w:szCs w:val="20"/>
          <w:lang w:val="fr-FR"/>
        </w:rPr>
        <w:t>plateformes technologiques :</w:t>
      </w:r>
    </w:p>
    <w:p w:rsidR="00F46C7B" w:rsidRPr="00E66FAB" w:rsidRDefault="00F46C7B" w:rsidP="004572A0">
      <w:pPr>
        <w:pStyle w:val="ListBullet3"/>
        <w:numPr>
          <w:ilvl w:val="0"/>
          <w:numId w:val="46"/>
        </w:numPr>
        <w:rPr>
          <w:rFonts w:asciiTheme="minorHAnsi" w:hAnsiTheme="minorHAnsi" w:cstheme="minorHAnsi"/>
          <w:lang w:val="fr-FR"/>
        </w:rPr>
      </w:pPr>
      <w:r w:rsidRPr="00E66FAB">
        <w:rPr>
          <w:rFonts w:asciiTheme="minorHAnsi" w:hAnsiTheme="minorHAnsi" w:cstheme="minorHAnsi"/>
          <w:lang w:val="fr-FR"/>
        </w:rPr>
        <w:t xml:space="preserve">la Plateforme « Antivirale » ayant permis de développer ABX464, </w:t>
      </w:r>
    </w:p>
    <w:p w:rsidR="00F46C7B" w:rsidRPr="00E66FAB" w:rsidRDefault="00F46C7B" w:rsidP="004572A0">
      <w:pPr>
        <w:pStyle w:val="ListBullet3"/>
        <w:numPr>
          <w:ilvl w:val="0"/>
          <w:numId w:val="46"/>
        </w:numPr>
        <w:rPr>
          <w:rFonts w:asciiTheme="minorHAnsi" w:hAnsiTheme="minorHAnsi" w:cstheme="minorHAnsi"/>
          <w:lang w:val="fr-FR"/>
        </w:rPr>
      </w:pPr>
      <w:r w:rsidRPr="00E66FAB">
        <w:rPr>
          <w:rFonts w:asciiTheme="minorHAnsi" w:hAnsiTheme="minorHAnsi" w:cstheme="minorHAnsi"/>
          <w:lang w:val="fr-FR"/>
        </w:rPr>
        <w:t>la Plateforme « Stimulation Immunitaire» ayant permis de développer ABX196.</w:t>
      </w:r>
    </w:p>
    <w:p w:rsidR="00520BE2" w:rsidRPr="00C73365" w:rsidRDefault="00DE1B9F" w:rsidP="00B170BA">
      <w:pPr>
        <w:pStyle w:val="ListParagraph"/>
        <w:numPr>
          <w:ilvl w:val="0"/>
          <w:numId w:val="46"/>
        </w:numPr>
        <w:rPr>
          <w:rFonts w:asciiTheme="minorHAnsi" w:hAnsiTheme="minorHAnsi" w:cstheme="minorHAnsi"/>
          <w:szCs w:val="20"/>
          <w:lang w:val="fr-FR"/>
        </w:rPr>
      </w:pPr>
      <w:r w:rsidRPr="00C73365">
        <w:rPr>
          <w:rFonts w:asciiTheme="minorHAnsi" w:hAnsiTheme="minorHAnsi" w:cstheme="minorHAnsi"/>
          <w:szCs w:val="20"/>
          <w:lang w:val="fr-FR"/>
        </w:rPr>
        <w:t xml:space="preserve">la </w:t>
      </w:r>
      <w:r w:rsidR="00520BE2" w:rsidRPr="00C73365">
        <w:rPr>
          <w:rFonts w:asciiTheme="minorHAnsi" w:hAnsiTheme="minorHAnsi" w:cstheme="minorHAnsi"/>
          <w:szCs w:val="20"/>
          <w:lang w:val="fr-FR"/>
        </w:rPr>
        <w:t>Plateforme « Anticorps Polyclonaux » pour usage dans la prévention et / ou le traitement de la maladie due au virus Ebola.</w:t>
      </w:r>
    </w:p>
    <w:p w:rsidR="00F46C7B" w:rsidRPr="00C73365" w:rsidRDefault="00F46C7B" w:rsidP="00434C49">
      <w:pPr>
        <w:pStyle w:val="ConmainL3"/>
        <w:numPr>
          <w:ilvl w:val="3"/>
          <w:numId w:val="96"/>
        </w:numPr>
        <w:spacing w:after="120"/>
        <w:rPr>
          <w:rFonts w:asciiTheme="minorHAnsi" w:hAnsiTheme="minorHAnsi" w:cstheme="minorHAnsi"/>
          <w:i/>
          <w:lang w:val="fr-FR"/>
        </w:rPr>
      </w:pPr>
      <w:r w:rsidRPr="00C73365">
        <w:rPr>
          <w:rFonts w:asciiTheme="minorHAnsi" w:hAnsiTheme="minorHAnsi" w:cstheme="minorHAnsi"/>
          <w:i/>
          <w:lang w:val="fr-FR"/>
        </w:rPr>
        <w:t>Plateforme « Antivirale »</w:t>
      </w:r>
    </w:p>
    <w:p w:rsidR="00F46C7B" w:rsidRPr="00C73365" w:rsidRDefault="00F46C7B" w:rsidP="00A96CCA">
      <w:pPr>
        <w:pStyle w:val="ConmainL3"/>
        <w:tabs>
          <w:tab w:val="clear" w:pos="360"/>
        </w:tabs>
        <w:spacing w:after="120"/>
        <w:ind w:left="0" w:firstLine="0"/>
        <w:outlineLvl w:val="9"/>
        <w:rPr>
          <w:rFonts w:asciiTheme="minorHAnsi" w:hAnsiTheme="minorHAnsi" w:cstheme="minorHAnsi"/>
          <w:szCs w:val="20"/>
          <w:lang w:val="fr-FR"/>
        </w:rPr>
      </w:pPr>
      <w:r w:rsidRPr="00C73365">
        <w:rPr>
          <w:rFonts w:asciiTheme="minorHAnsi" w:hAnsiTheme="minorHAnsi" w:cstheme="minorHAnsi"/>
          <w:szCs w:val="20"/>
          <w:lang w:val="fr-FR"/>
        </w:rPr>
        <w:t>La plateforme « Antivirale » protège un ensemble de molécules qui traitent les maladies associées à une perturbation de l’épissage de l’ARNm (WO2005/023255, WO2008/101935) ou molécules inhibant cet épissage (WO2009/087238). Cette plateforme a donné lieu à la recherche de nouveaux composés pour traiter un grand nombre de maladies, de dysfonctionnement du système immunitaire ou de rétrovirus.</w:t>
      </w:r>
    </w:p>
    <w:p w:rsidR="00F46C7B" w:rsidRPr="00C73365" w:rsidRDefault="00EF089C" w:rsidP="00A96CCA">
      <w:pPr>
        <w:pStyle w:val="ConmainL3"/>
        <w:keepNext w:val="0"/>
        <w:tabs>
          <w:tab w:val="clear" w:pos="360"/>
        </w:tabs>
        <w:spacing w:after="120"/>
        <w:ind w:left="0" w:firstLine="0"/>
        <w:outlineLvl w:val="9"/>
        <w:rPr>
          <w:rFonts w:asciiTheme="minorHAnsi" w:hAnsiTheme="minorHAnsi" w:cstheme="minorHAnsi"/>
          <w:szCs w:val="20"/>
          <w:lang w:val="fr-FR"/>
        </w:rPr>
      </w:pPr>
      <w:r w:rsidRPr="00C73365">
        <w:rPr>
          <w:rFonts w:asciiTheme="minorHAnsi" w:hAnsiTheme="minorHAnsi" w:cstheme="minorHAnsi"/>
          <w:szCs w:val="20"/>
          <w:lang w:val="fr-FR"/>
        </w:rPr>
        <w:t>ABIVAX</w:t>
      </w:r>
      <w:r w:rsidR="00F46C7B" w:rsidRPr="00C73365">
        <w:rPr>
          <w:rFonts w:asciiTheme="minorHAnsi" w:hAnsiTheme="minorHAnsi" w:cstheme="minorHAnsi"/>
          <w:szCs w:val="20"/>
          <w:lang w:val="fr-FR"/>
        </w:rPr>
        <w:t xml:space="preserve"> s’est ainsi dotée de molécules contre la progeria (WO2010/143170), le VIH (WO2010/143169, WO2012/080953), ou certaines maladies induites par des rétrovirus. </w:t>
      </w:r>
      <w:r w:rsidRPr="00C73365">
        <w:rPr>
          <w:rFonts w:asciiTheme="minorHAnsi" w:hAnsiTheme="minorHAnsi" w:cstheme="minorHAnsi"/>
          <w:szCs w:val="20"/>
          <w:lang w:val="fr-FR"/>
        </w:rPr>
        <w:t>ABIVAX</w:t>
      </w:r>
      <w:r w:rsidR="00F46C7B" w:rsidRPr="00C73365">
        <w:rPr>
          <w:rFonts w:asciiTheme="minorHAnsi" w:hAnsiTheme="minorHAnsi" w:cstheme="minorHAnsi"/>
          <w:szCs w:val="20"/>
          <w:lang w:val="fr-FR"/>
        </w:rPr>
        <w:t xml:space="preserve"> possède également des composés utilisables contre le cancer (WO2010/143168 et WO2014/049578) pour le traitement de maladies inflammatoires, ou encore des composés affectant l’expression de la protéine P53 (WO2012/131656). Cette plateforme a également pu mettre en évidence des composés utilisables comme biomarqueurs (WO2013/132412 et WO2014/111892). </w:t>
      </w:r>
    </w:p>
    <w:p w:rsidR="00F46C7B" w:rsidRPr="00C73365" w:rsidRDefault="00EF089C" w:rsidP="00A96CCA">
      <w:pPr>
        <w:pStyle w:val="ConmainL3"/>
        <w:keepNext w:val="0"/>
        <w:tabs>
          <w:tab w:val="clear" w:pos="360"/>
        </w:tabs>
        <w:spacing w:after="120"/>
        <w:ind w:left="0" w:firstLine="0"/>
        <w:outlineLvl w:val="9"/>
        <w:rPr>
          <w:rFonts w:asciiTheme="minorHAnsi" w:hAnsiTheme="minorHAnsi" w:cstheme="minorHAnsi"/>
          <w:szCs w:val="20"/>
          <w:lang w:val="fr-FR"/>
        </w:rPr>
      </w:pPr>
      <w:r w:rsidRPr="00C73365">
        <w:rPr>
          <w:rFonts w:asciiTheme="minorHAnsi" w:hAnsiTheme="minorHAnsi" w:cstheme="minorHAnsi"/>
          <w:szCs w:val="20"/>
          <w:lang w:val="fr-FR"/>
        </w:rPr>
        <w:t>ABIVAX</w:t>
      </w:r>
      <w:r w:rsidR="00F46C7B" w:rsidRPr="00C73365">
        <w:rPr>
          <w:rFonts w:asciiTheme="minorHAnsi" w:hAnsiTheme="minorHAnsi" w:cstheme="minorHAnsi"/>
          <w:szCs w:val="20"/>
          <w:lang w:val="fr-FR"/>
        </w:rPr>
        <w:t xml:space="preserve"> a commencé le développement clinique de son composé ABX464 chez les sujets sains et les sujets infectés par le VIH.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Cette plateforme « Antivirale » est protégée par </w:t>
      </w:r>
      <w:r w:rsidR="006F52A2" w:rsidRPr="00C73365">
        <w:rPr>
          <w:rFonts w:asciiTheme="minorHAnsi" w:hAnsiTheme="minorHAnsi" w:cstheme="minorHAnsi"/>
          <w:lang w:val="fr-FR"/>
        </w:rPr>
        <w:t xml:space="preserve">20 </w:t>
      </w:r>
      <w:r w:rsidRPr="00C73365">
        <w:rPr>
          <w:rFonts w:asciiTheme="minorHAnsi" w:hAnsiTheme="minorHAnsi" w:cstheme="minorHAnsi"/>
          <w:lang w:val="fr-FR"/>
        </w:rPr>
        <w:t xml:space="preserve">familles de brevets détenus en copropriété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des centres de recherches français (tableaux 1 à </w:t>
      </w:r>
      <w:r w:rsidR="006F52A2" w:rsidRPr="00C73365">
        <w:rPr>
          <w:rFonts w:asciiTheme="minorHAnsi" w:hAnsiTheme="minorHAnsi" w:cstheme="minorHAnsi"/>
          <w:lang w:val="fr-FR"/>
        </w:rPr>
        <w:t>16</w:t>
      </w:r>
      <w:r w:rsidRPr="00C73365">
        <w:rPr>
          <w:rFonts w:asciiTheme="minorHAnsi" w:hAnsiTheme="minorHAnsi" w:cstheme="minorHAnsi"/>
          <w:lang w:val="fr-FR"/>
        </w:rPr>
        <w:t xml:space="preserve">), ou concédés à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dans le cadre d’accord de licence (tableaux </w:t>
      </w:r>
      <w:r w:rsidR="006F52A2" w:rsidRPr="00C73365">
        <w:rPr>
          <w:rFonts w:asciiTheme="minorHAnsi" w:hAnsiTheme="minorHAnsi" w:cstheme="minorHAnsi"/>
          <w:lang w:val="fr-FR"/>
        </w:rPr>
        <w:t xml:space="preserve">17 </w:t>
      </w:r>
      <w:r w:rsidRPr="00C73365">
        <w:rPr>
          <w:rFonts w:asciiTheme="minorHAnsi" w:hAnsiTheme="minorHAnsi" w:cstheme="minorHAnsi"/>
          <w:lang w:val="fr-FR"/>
        </w:rPr>
        <w:t xml:space="preserve">à </w:t>
      </w:r>
      <w:r w:rsidR="006F52A2" w:rsidRPr="00C73365">
        <w:rPr>
          <w:rFonts w:asciiTheme="minorHAnsi" w:hAnsiTheme="minorHAnsi" w:cstheme="minorHAnsi"/>
          <w:lang w:val="fr-FR"/>
        </w:rPr>
        <w:t>20</w:t>
      </w:r>
      <w:r w:rsidRPr="00C73365">
        <w:rPr>
          <w:rFonts w:asciiTheme="minorHAnsi" w:hAnsiTheme="minorHAnsi" w:cstheme="minorHAnsi"/>
          <w:lang w:val="fr-FR"/>
        </w:rPr>
        <w:t>). Les informations principales sont décrites dans les tableaux ci-dessous :</w:t>
      </w:r>
    </w:p>
    <w:p w:rsidR="00F46C7B" w:rsidRPr="00C73365" w:rsidRDefault="00F46C7B" w:rsidP="004572A0">
      <w:pPr>
        <w:pStyle w:val="BodyText"/>
        <w:rPr>
          <w:rFonts w:asciiTheme="minorHAnsi" w:hAnsiTheme="minorHAnsi" w:cstheme="minorHAnsi"/>
          <w:b/>
          <w:sz w:val="18"/>
          <w:lang w:val="fr-FR"/>
        </w:rPr>
      </w:pPr>
      <w:r w:rsidRPr="00C73365">
        <w:rPr>
          <w:rFonts w:asciiTheme="minorHAnsi" w:hAnsiTheme="minorHAnsi" w:cstheme="minorHAnsi"/>
          <w:b/>
          <w:lang w:val="fr-FR"/>
        </w:rPr>
        <w:lastRenderedPageBreak/>
        <w:t>Brevets de la plateforme « Antivirale </w:t>
      </w:r>
      <w:r w:rsidR="00FE25E7" w:rsidRPr="00C73365">
        <w:rPr>
          <w:rFonts w:asciiTheme="minorHAnsi" w:hAnsiTheme="minorHAnsi" w:cstheme="minorHAnsi"/>
          <w:b/>
          <w:lang w:val="fr-FR"/>
        </w:rPr>
        <w:t>» détenus</w:t>
      </w:r>
      <w:r w:rsidRPr="00C73365">
        <w:rPr>
          <w:rFonts w:asciiTheme="minorHAnsi" w:hAnsiTheme="minorHAnsi" w:cstheme="minorHAnsi"/>
          <w:b/>
          <w:lang w:val="fr-FR"/>
        </w:rPr>
        <w:t xml:space="preserve"> en copropriété par </w:t>
      </w:r>
      <w:r w:rsidR="00EF089C" w:rsidRPr="00C73365">
        <w:rPr>
          <w:rFonts w:asciiTheme="minorHAnsi" w:hAnsiTheme="minorHAnsi" w:cstheme="minorHAnsi"/>
          <w:b/>
          <w:lang w:val="fr-FR"/>
        </w:rPr>
        <w:t>ABIVAX</w:t>
      </w: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 :</w:t>
      </w:r>
    </w:p>
    <w:p w:rsidR="00F46C7B" w:rsidRPr="00C73365" w:rsidRDefault="006F52A2">
      <w:pPr>
        <w:rPr>
          <w:rFonts w:asciiTheme="minorHAnsi" w:hAnsiTheme="minorHAnsi" w:cstheme="minorHAnsi"/>
          <w:sz w:val="16"/>
          <w:szCs w:val="16"/>
          <w:lang w:val="fr-FR"/>
        </w:rPr>
      </w:pPr>
      <w:r w:rsidRPr="00C73365">
        <w:rPr>
          <w:rFonts w:asciiTheme="minorHAnsi" w:hAnsiTheme="minorHAnsi" w:cstheme="minorHAnsi"/>
          <w:noProof/>
          <w:lang w:val="fr-FR" w:eastAsia="fr-FR"/>
        </w:rPr>
        <w:drawing>
          <wp:inline distT="0" distB="0" distL="0" distR="0" wp14:anchorId="0F180C25" wp14:editId="28969E37">
            <wp:extent cx="6120765" cy="7174865"/>
            <wp:effectExtent l="0" t="0" r="0" b="6985"/>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765" cy="7174865"/>
                    </a:xfrm>
                    <a:prstGeom prst="rect">
                      <a:avLst/>
                    </a:prstGeom>
                    <a:noFill/>
                    <a:ln>
                      <a:noFill/>
                    </a:ln>
                  </pic:spPr>
                </pic:pic>
              </a:graphicData>
            </a:graphic>
          </wp:inline>
        </w:drawing>
      </w:r>
    </w:p>
    <w:p w:rsidR="00F46C7B" w:rsidRPr="00C73365" w:rsidRDefault="00F46C7B">
      <w:pPr>
        <w:rPr>
          <w:rFonts w:asciiTheme="minorHAnsi" w:hAnsiTheme="minorHAnsi" w:cstheme="minorHAnsi"/>
          <w:sz w:val="16"/>
          <w:szCs w:val="16"/>
          <w:lang w:val="fr-FR"/>
        </w:rPr>
      </w:pPr>
    </w:p>
    <w:p w:rsidR="00F55E2F" w:rsidRPr="00C73365" w:rsidRDefault="00F55E2F">
      <w:pPr>
        <w:rPr>
          <w:rFonts w:asciiTheme="minorHAnsi" w:hAnsiTheme="minorHAnsi" w:cstheme="minorHAnsi"/>
          <w:sz w:val="16"/>
          <w:szCs w:val="16"/>
          <w:lang w:val="fr-FR"/>
        </w:rPr>
      </w:pPr>
    </w:p>
    <w:p w:rsidR="00F55E2F" w:rsidRPr="00C73365" w:rsidRDefault="00F55E2F">
      <w:pPr>
        <w:rPr>
          <w:rFonts w:asciiTheme="minorHAnsi" w:hAnsiTheme="minorHAnsi" w:cstheme="minorHAnsi"/>
          <w:sz w:val="16"/>
          <w:szCs w:val="16"/>
          <w:lang w:val="fr-FR"/>
        </w:rPr>
      </w:pPr>
    </w:p>
    <w:p w:rsidR="00F55E2F" w:rsidRPr="00C73365" w:rsidRDefault="00F55E2F">
      <w:pPr>
        <w:rPr>
          <w:rFonts w:asciiTheme="minorHAnsi" w:hAnsiTheme="minorHAnsi" w:cstheme="minorHAnsi"/>
          <w:sz w:val="16"/>
          <w:szCs w:val="16"/>
          <w:lang w:val="fr-FR"/>
        </w:rPr>
      </w:pPr>
    </w:p>
    <w:p w:rsidR="00F55E2F" w:rsidRPr="00C73365" w:rsidRDefault="00F55E2F">
      <w:pPr>
        <w:rPr>
          <w:rFonts w:asciiTheme="minorHAnsi" w:hAnsiTheme="minorHAnsi" w:cstheme="minorHAnsi"/>
          <w:sz w:val="16"/>
          <w:szCs w:val="16"/>
          <w:lang w:val="fr-FR"/>
        </w:rPr>
      </w:pPr>
    </w:p>
    <w:p w:rsidR="00F55E2F" w:rsidRPr="00C73365" w:rsidRDefault="00F55E2F">
      <w:pPr>
        <w:rPr>
          <w:rFonts w:asciiTheme="minorHAnsi" w:hAnsiTheme="minorHAnsi" w:cstheme="minorHAnsi"/>
          <w:sz w:val="16"/>
          <w:szCs w:val="16"/>
          <w:lang w:val="fr-FR"/>
        </w:rPr>
      </w:pPr>
    </w:p>
    <w:p w:rsidR="00F55E2F" w:rsidRPr="00C73365" w:rsidRDefault="00F55E2F">
      <w:pPr>
        <w:rPr>
          <w:rFonts w:asciiTheme="minorHAnsi" w:hAnsiTheme="minorHAnsi" w:cstheme="minorHAnsi"/>
          <w:sz w:val="16"/>
          <w:szCs w:val="16"/>
          <w:lang w:val="fr-FR"/>
        </w:rPr>
      </w:pPr>
    </w:p>
    <w:p w:rsidR="00F55E2F" w:rsidRPr="00C73365" w:rsidRDefault="00F55E2F">
      <w:pPr>
        <w:rPr>
          <w:rFonts w:asciiTheme="minorHAnsi" w:hAnsiTheme="minorHAnsi" w:cstheme="minorHAnsi"/>
          <w:sz w:val="16"/>
          <w:szCs w:val="16"/>
          <w:lang w:val="fr-FR"/>
        </w:rPr>
      </w:pP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2 :</w:t>
      </w:r>
    </w:p>
    <w:p w:rsidR="00F46C7B" w:rsidRPr="00C73365" w:rsidRDefault="006F52A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3540755B" wp14:editId="04E2E194">
            <wp:extent cx="6120765" cy="4051935"/>
            <wp:effectExtent l="0" t="0" r="0" b="571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32587" cy="4059761"/>
                    </a:xfrm>
                    <a:prstGeom prst="rect">
                      <a:avLst/>
                    </a:prstGeom>
                    <a:noFill/>
                    <a:ln>
                      <a:noFill/>
                    </a:ln>
                  </pic:spPr>
                </pic:pic>
              </a:graphicData>
            </a:graphic>
          </wp:inline>
        </w:drawing>
      </w:r>
    </w:p>
    <w:p w:rsidR="009F3FF0" w:rsidRPr="00C73365" w:rsidRDefault="009F3FF0">
      <w:pPr>
        <w:rPr>
          <w:rFonts w:asciiTheme="minorHAnsi" w:hAnsiTheme="minorHAnsi" w:cstheme="minorHAnsi"/>
          <w:lang w:val="fr-FR"/>
        </w:rPr>
      </w:pPr>
    </w:p>
    <w:p w:rsidR="00F46C7B" w:rsidRPr="00C73365" w:rsidRDefault="00F46C7B" w:rsidP="00B170BA">
      <w:pPr>
        <w:pStyle w:val="ListParagraph"/>
        <w:keepNext/>
        <w:keepLines/>
        <w:numPr>
          <w:ilvl w:val="0"/>
          <w:numId w:val="33"/>
        </w:numPr>
        <w:rPr>
          <w:rFonts w:asciiTheme="minorHAnsi" w:hAnsiTheme="minorHAnsi" w:cstheme="minorHAnsi"/>
          <w:lang w:val="fr-FR"/>
        </w:rPr>
      </w:pPr>
      <w:r w:rsidRPr="00C73365">
        <w:rPr>
          <w:rFonts w:asciiTheme="minorHAnsi" w:hAnsiTheme="minorHAnsi" w:cstheme="minorHAnsi"/>
          <w:lang w:val="fr-FR"/>
        </w:rPr>
        <w:t>Tableau 3 :</w:t>
      </w:r>
    </w:p>
    <w:p w:rsidR="00D1179F" w:rsidRPr="00C73365" w:rsidRDefault="006F52A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0EF4A31D" wp14:editId="5A2259CA">
            <wp:extent cx="6120765" cy="2002790"/>
            <wp:effectExtent l="0" t="0" r="0"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2002790"/>
                    </a:xfrm>
                    <a:prstGeom prst="rect">
                      <a:avLst/>
                    </a:prstGeom>
                    <a:noFill/>
                    <a:ln>
                      <a:noFill/>
                    </a:ln>
                  </pic:spPr>
                </pic:pic>
              </a:graphicData>
            </a:graphic>
          </wp:inline>
        </w:drawing>
      </w:r>
    </w:p>
    <w:p w:rsidR="00F46C7B" w:rsidRDefault="00F46C7B">
      <w:pPr>
        <w:rPr>
          <w:rFonts w:asciiTheme="minorHAnsi" w:hAnsiTheme="minorHAnsi" w:cstheme="minorHAnsi"/>
          <w:lang w:val="fr-FR"/>
        </w:rPr>
      </w:pPr>
    </w:p>
    <w:p w:rsidR="00670C89" w:rsidRDefault="00670C89">
      <w:pPr>
        <w:rPr>
          <w:rFonts w:asciiTheme="minorHAnsi" w:hAnsiTheme="minorHAnsi" w:cstheme="minorHAnsi"/>
          <w:lang w:val="fr-FR"/>
        </w:rPr>
      </w:pPr>
    </w:p>
    <w:p w:rsidR="00670C89" w:rsidRDefault="00670C89">
      <w:pPr>
        <w:rPr>
          <w:rFonts w:asciiTheme="minorHAnsi" w:hAnsiTheme="minorHAnsi" w:cstheme="minorHAnsi"/>
          <w:lang w:val="fr-FR"/>
        </w:rPr>
      </w:pPr>
    </w:p>
    <w:p w:rsidR="00670C89" w:rsidRDefault="00670C89">
      <w:pPr>
        <w:rPr>
          <w:rFonts w:asciiTheme="minorHAnsi" w:hAnsiTheme="minorHAnsi" w:cstheme="minorHAnsi"/>
          <w:lang w:val="fr-FR"/>
        </w:rPr>
      </w:pPr>
    </w:p>
    <w:p w:rsidR="00670C89" w:rsidRDefault="00670C89">
      <w:pPr>
        <w:rPr>
          <w:rFonts w:asciiTheme="minorHAnsi" w:hAnsiTheme="minorHAnsi" w:cstheme="minorHAnsi"/>
          <w:lang w:val="fr-FR"/>
        </w:rPr>
      </w:pPr>
    </w:p>
    <w:p w:rsidR="00670C89" w:rsidRDefault="00670C89">
      <w:pPr>
        <w:rPr>
          <w:rFonts w:asciiTheme="minorHAnsi" w:hAnsiTheme="minorHAnsi" w:cstheme="minorHAnsi"/>
          <w:lang w:val="fr-FR"/>
        </w:rPr>
      </w:pPr>
    </w:p>
    <w:p w:rsidR="00670C89" w:rsidRDefault="00670C89">
      <w:pPr>
        <w:rPr>
          <w:rFonts w:asciiTheme="minorHAnsi" w:hAnsiTheme="minorHAnsi" w:cstheme="minorHAnsi"/>
          <w:lang w:val="fr-FR"/>
        </w:rPr>
      </w:pPr>
    </w:p>
    <w:p w:rsidR="00670C89" w:rsidRDefault="00670C89">
      <w:pPr>
        <w:rPr>
          <w:rFonts w:asciiTheme="minorHAnsi" w:hAnsiTheme="minorHAnsi" w:cstheme="minorHAnsi"/>
          <w:lang w:val="fr-FR"/>
        </w:rPr>
      </w:pPr>
    </w:p>
    <w:p w:rsidR="00670C89" w:rsidRPr="00C73365" w:rsidRDefault="00670C89">
      <w:pPr>
        <w:rPr>
          <w:rFonts w:asciiTheme="minorHAnsi" w:hAnsiTheme="minorHAnsi" w:cstheme="minorHAnsi"/>
          <w:lang w:val="fr-FR"/>
        </w:rPr>
      </w:pP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lastRenderedPageBreak/>
        <w:t>Tableau 4 :</w:t>
      </w:r>
    </w:p>
    <w:p w:rsidR="006F52A2" w:rsidRPr="00C73365" w:rsidRDefault="006F52A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72DB7472" wp14:editId="680F1FFD">
            <wp:extent cx="6120765" cy="4016375"/>
            <wp:effectExtent l="0" t="0" r="0" b="317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4016375"/>
                    </a:xfrm>
                    <a:prstGeom prst="rect">
                      <a:avLst/>
                    </a:prstGeom>
                    <a:noFill/>
                    <a:ln>
                      <a:noFill/>
                    </a:ln>
                  </pic:spPr>
                </pic:pic>
              </a:graphicData>
            </a:graphic>
          </wp:inline>
        </w:drawing>
      </w:r>
    </w:p>
    <w:p w:rsidR="00F46C7B" w:rsidRPr="00C73365" w:rsidRDefault="00F46C7B">
      <w:pPr>
        <w:rPr>
          <w:rFonts w:asciiTheme="minorHAnsi" w:hAnsiTheme="minorHAnsi" w:cstheme="minorHAnsi"/>
          <w:lang w:val="fr-FR"/>
        </w:rPr>
      </w:pP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5 :</w:t>
      </w:r>
    </w:p>
    <w:p w:rsidR="00F46C7B" w:rsidRPr="00C73365" w:rsidRDefault="006F52A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274B2060" wp14:editId="0825D932">
            <wp:extent cx="5829300" cy="2032000"/>
            <wp:effectExtent l="0" t="0" r="0" b="635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32315" cy="2033051"/>
                    </a:xfrm>
                    <a:prstGeom prst="rect">
                      <a:avLst/>
                    </a:prstGeom>
                    <a:noFill/>
                    <a:ln>
                      <a:noFill/>
                    </a:ln>
                  </pic:spPr>
                </pic:pic>
              </a:graphicData>
            </a:graphic>
          </wp:inline>
        </w:drawing>
      </w:r>
    </w:p>
    <w:p w:rsidR="00F46C7B" w:rsidRPr="00C73365" w:rsidRDefault="00F46C7B">
      <w:pPr>
        <w:pStyle w:val="ListParagraph"/>
        <w:rPr>
          <w:rFonts w:asciiTheme="minorHAnsi" w:hAnsiTheme="minorHAnsi" w:cstheme="minorHAnsi"/>
          <w:lang w:val="fr-FR"/>
        </w:rPr>
      </w:pP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6 :</w:t>
      </w:r>
    </w:p>
    <w:p w:rsidR="00F46C7B" w:rsidRPr="00C73365" w:rsidRDefault="006F52A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2F0A103B" wp14:editId="301D82B3">
            <wp:extent cx="5905500" cy="750517"/>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19564" cy="752304"/>
                    </a:xfrm>
                    <a:prstGeom prst="rect">
                      <a:avLst/>
                    </a:prstGeom>
                    <a:noFill/>
                    <a:ln>
                      <a:noFill/>
                    </a:ln>
                  </pic:spPr>
                </pic:pic>
              </a:graphicData>
            </a:graphic>
          </wp:inline>
        </w:drawing>
      </w:r>
    </w:p>
    <w:p w:rsidR="00F46C7B" w:rsidRPr="00C73365" w:rsidRDefault="00F46C7B">
      <w:pPr>
        <w:rPr>
          <w:rFonts w:asciiTheme="minorHAnsi" w:hAnsiTheme="minorHAnsi" w:cstheme="minorHAnsi"/>
          <w:lang w:val="fr-FR"/>
        </w:rPr>
      </w:pP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7 :</w:t>
      </w:r>
    </w:p>
    <w:p w:rsidR="00F46C7B" w:rsidRPr="00C73365" w:rsidRDefault="006F52A2">
      <w:pPr>
        <w:rPr>
          <w:rFonts w:asciiTheme="minorHAnsi" w:hAnsiTheme="minorHAnsi" w:cstheme="minorHAnsi"/>
          <w:lang w:val="fr-FR"/>
        </w:rPr>
      </w:pPr>
      <w:r w:rsidRPr="00C73365">
        <w:rPr>
          <w:rFonts w:asciiTheme="minorHAnsi" w:hAnsiTheme="minorHAnsi" w:cstheme="minorHAnsi"/>
          <w:noProof/>
          <w:lang w:val="fr-FR" w:eastAsia="fr-FR"/>
        </w:rPr>
        <w:lastRenderedPageBreak/>
        <w:drawing>
          <wp:inline distT="0" distB="0" distL="0" distR="0" wp14:anchorId="772BC9A4" wp14:editId="65E396C1">
            <wp:extent cx="5539740" cy="1149443"/>
            <wp:effectExtent l="0" t="0" r="381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46825" cy="1150913"/>
                    </a:xfrm>
                    <a:prstGeom prst="rect">
                      <a:avLst/>
                    </a:prstGeom>
                    <a:noFill/>
                    <a:ln>
                      <a:noFill/>
                    </a:ln>
                  </pic:spPr>
                </pic:pic>
              </a:graphicData>
            </a:graphic>
          </wp:inline>
        </w:drawing>
      </w:r>
    </w:p>
    <w:p w:rsidR="00F46C7B" w:rsidRPr="00C73365" w:rsidRDefault="00F46C7B" w:rsidP="00B170BA">
      <w:pPr>
        <w:pStyle w:val="ListParagraph"/>
        <w:keepNext/>
        <w:keepLines/>
        <w:numPr>
          <w:ilvl w:val="0"/>
          <w:numId w:val="33"/>
        </w:numPr>
        <w:rPr>
          <w:rFonts w:asciiTheme="minorHAnsi" w:hAnsiTheme="minorHAnsi" w:cstheme="minorHAnsi"/>
          <w:lang w:val="fr-FR"/>
        </w:rPr>
      </w:pPr>
      <w:r w:rsidRPr="00C73365">
        <w:rPr>
          <w:rFonts w:asciiTheme="minorHAnsi" w:hAnsiTheme="minorHAnsi" w:cstheme="minorHAnsi"/>
          <w:lang w:val="fr-FR"/>
        </w:rPr>
        <w:t>Tableau 8 :</w:t>
      </w:r>
    </w:p>
    <w:p w:rsidR="00F46C7B" w:rsidRPr="00C73365" w:rsidRDefault="001061C2">
      <w:pPr>
        <w:pStyle w:val="ListParagraph"/>
        <w:ind w:hanging="708"/>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671B65D1" wp14:editId="211DFEDC">
            <wp:extent cx="6120765" cy="520192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5201920"/>
                    </a:xfrm>
                    <a:prstGeom prst="rect">
                      <a:avLst/>
                    </a:prstGeom>
                    <a:noFill/>
                    <a:ln>
                      <a:noFill/>
                    </a:ln>
                  </pic:spPr>
                </pic:pic>
              </a:graphicData>
            </a:graphic>
          </wp:inline>
        </w:drawing>
      </w:r>
    </w:p>
    <w:p w:rsidR="00F46C7B" w:rsidRPr="00C73365" w:rsidRDefault="00F46C7B">
      <w:pPr>
        <w:pStyle w:val="ListParagraph"/>
        <w:ind w:hanging="708"/>
        <w:rPr>
          <w:rFonts w:asciiTheme="minorHAnsi" w:hAnsiTheme="minorHAnsi" w:cstheme="minorHAnsi"/>
          <w:lang w:val="fr-FR"/>
        </w:rPr>
      </w:pPr>
    </w:p>
    <w:p w:rsidR="00F46C7B" w:rsidRPr="00C73365" w:rsidRDefault="00F46C7B" w:rsidP="00B170BA">
      <w:pPr>
        <w:pStyle w:val="ListParagraph"/>
        <w:keepNext/>
        <w:numPr>
          <w:ilvl w:val="0"/>
          <w:numId w:val="33"/>
        </w:numPr>
        <w:rPr>
          <w:rFonts w:asciiTheme="minorHAnsi" w:hAnsiTheme="minorHAnsi" w:cstheme="minorHAnsi"/>
          <w:lang w:val="fr-FR"/>
        </w:rPr>
      </w:pPr>
      <w:r w:rsidRPr="00C73365">
        <w:rPr>
          <w:rFonts w:asciiTheme="minorHAnsi" w:hAnsiTheme="minorHAnsi" w:cstheme="minorHAnsi"/>
          <w:lang w:val="fr-FR"/>
        </w:rPr>
        <w:lastRenderedPageBreak/>
        <w:t>Tableau 9 :</w:t>
      </w:r>
    </w:p>
    <w:p w:rsidR="00F46C7B"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16C70209" wp14:editId="6BA5CB04">
            <wp:extent cx="6120765" cy="282130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2821305"/>
                    </a:xfrm>
                    <a:prstGeom prst="rect">
                      <a:avLst/>
                    </a:prstGeom>
                    <a:noFill/>
                    <a:ln>
                      <a:noFill/>
                    </a:ln>
                  </pic:spPr>
                </pic:pic>
              </a:graphicData>
            </a:graphic>
          </wp:inline>
        </w:drawing>
      </w: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10 :</w:t>
      </w:r>
    </w:p>
    <w:p w:rsidR="00F46C7B"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526A37B0" wp14:editId="4FE72FAE">
            <wp:extent cx="6120765" cy="234950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765" cy="2349500"/>
                    </a:xfrm>
                    <a:prstGeom prst="rect">
                      <a:avLst/>
                    </a:prstGeom>
                    <a:noFill/>
                    <a:ln>
                      <a:noFill/>
                    </a:ln>
                  </pic:spPr>
                </pic:pic>
              </a:graphicData>
            </a:graphic>
          </wp:inline>
        </w:drawing>
      </w:r>
    </w:p>
    <w:p w:rsidR="00F46C7B" w:rsidRPr="00C73365" w:rsidRDefault="00F46C7B">
      <w:pPr>
        <w:pStyle w:val="ListParagraph"/>
        <w:rPr>
          <w:rFonts w:asciiTheme="minorHAnsi" w:hAnsiTheme="minorHAnsi" w:cstheme="minorHAnsi"/>
          <w:lang w:val="fr-FR"/>
        </w:rPr>
      </w:pPr>
    </w:p>
    <w:p w:rsidR="009F3FF0" w:rsidRPr="00C73365" w:rsidRDefault="009F3FF0"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11 :</w:t>
      </w:r>
    </w:p>
    <w:p w:rsidR="009F3FF0"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731D10C2" wp14:editId="3D18C78E">
            <wp:extent cx="6120765" cy="873760"/>
            <wp:effectExtent l="0" t="0" r="0" b="254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873760"/>
                    </a:xfrm>
                    <a:prstGeom prst="rect">
                      <a:avLst/>
                    </a:prstGeom>
                    <a:noFill/>
                    <a:ln>
                      <a:noFill/>
                    </a:ln>
                  </pic:spPr>
                </pic:pic>
              </a:graphicData>
            </a:graphic>
          </wp:inline>
        </w:drawing>
      </w:r>
    </w:p>
    <w:p w:rsidR="009F3FF0" w:rsidRPr="00C73365" w:rsidRDefault="009F3FF0">
      <w:pPr>
        <w:rPr>
          <w:rFonts w:asciiTheme="minorHAnsi" w:hAnsiTheme="minorHAnsi" w:cstheme="minorHAnsi"/>
          <w:lang w:val="fr-FR"/>
        </w:rPr>
      </w:pPr>
    </w:p>
    <w:p w:rsidR="009F3FF0" w:rsidRPr="00C73365" w:rsidRDefault="009F3FF0"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12 :</w:t>
      </w:r>
    </w:p>
    <w:p w:rsidR="009F3FF0" w:rsidRPr="00C73365" w:rsidRDefault="001061C2">
      <w:pPr>
        <w:pStyle w:val="ListParagraph"/>
        <w:ind w:left="0"/>
        <w:rPr>
          <w:rFonts w:asciiTheme="minorHAnsi" w:hAnsiTheme="minorHAnsi" w:cstheme="minorHAnsi"/>
          <w:lang w:val="fr-FR"/>
        </w:rPr>
      </w:pPr>
      <w:r w:rsidRPr="00C73365">
        <w:rPr>
          <w:rFonts w:asciiTheme="minorHAnsi" w:hAnsiTheme="minorHAnsi" w:cstheme="minorHAnsi"/>
          <w:noProof/>
          <w:lang w:val="fr-FR" w:eastAsia="fr-FR"/>
        </w:rPr>
        <w:lastRenderedPageBreak/>
        <w:drawing>
          <wp:inline distT="0" distB="0" distL="0" distR="0" wp14:anchorId="7AAC6DC5" wp14:editId="43FC20F1">
            <wp:extent cx="6120765" cy="2620645"/>
            <wp:effectExtent l="0" t="0" r="0" b="825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2620645"/>
                    </a:xfrm>
                    <a:prstGeom prst="rect">
                      <a:avLst/>
                    </a:prstGeom>
                    <a:noFill/>
                    <a:ln>
                      <a:noFill/>
                    </a:ln>
                  </pic:spPr>
                </pic:pic>
              </a:graphicData>
            </a:graphic>
          </wp:inline>
        </w:drawing>
      </w:r>
    </w:p>
    <w:p w:rsidR="009F3FF0" w:rsidRPr="00C73365" w:rsidRDefault="009F3FF0">
      <w:pPr>
        <w:widowControl w:val="0"/>
        <w:rPr>
          <w:rFonts w:asciiTheme="minorHAnsi" w:hAnsiTheme="minorHAnsi" w:cstheme="minorHAnsi"/>
          <w:szCs w:val="22"/>
          <w:lang w:val="fr-FR"/>
        </w:rPr>
      </w:pPr>
    </w:p>
    <w:p w:rsidR="009F3FF0" w:rsidRPr="00C73365" w:rsidRDefault="009F3FF0"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13 :</w:t>
      </w:r>
    </w:p>
    <w:p w:rsidR="009F3FF0" w:rsidRPr="00C73365" w:rsidRDefault="001061C2">
      <w:pPr>
        <w:widowControl w:val="0"/>
        <w:rPr>
          <w:rFonts w:asciiTheme="minorHAnsi" w:hAnsiTheme="minorHAnsi" w:cstheme="minorHAnsi"/>
          <w:szCs w:val="22"/>
          <w:lang w:val="fr-FR"/>
        </w:rPr>
      </w:pPr>
      <w:r w:rsidRPr="00C73365">
        <w:rPr>
          <w:rFonts w:asciiTheme="minorHAnsi" w:hAnsiTheme="minorHAnsi" w:cstheme="minorHAnsi"/>
          <w:noProof/>
          <w:lang w:val="fr-FR" w:eastAsia="fr-FR"/>
        </w:rPr>
        <w:drawing>
          <wp:inline distT="0" distB="0" distL="0" distR="0" wp14:anchorId="3A88997D" wp14:editId="25752561">
            <wp:extent cx="6120765" cy="969010"/>
            <wp:effectExtent l="0" t="0" r="0" b="254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969010"/>
                    </a:xfrm>
                    <a:prstGeom prst="rect">
                      <a:avLst/>
                    </a:prstGeom>
                    <a:noFill/>
                    <a:ln>
                      <a:noFill/>
                    </a:ln>
                  </pic:spPr>
                </pic:pic>
              </a:graphicData>
            </a:graphic>
          </wp:inline>
        </w:drawing>
      </w:r>
    </w:p>
    <w:p w:rsidR="009F3FF0" w:rsidRPr="00C73365" w:rsidRDefault="009F3FF0">
      <w:pPr>
        <w:widowControl w:val="0"/>
        <w:rPr>
          <w:rFonts w:asciiTheme="minorHAnsi" w:hAnsiTheme="minorHAnsi" w:cstheme="minorHAnsi"/>
          <w:szCs w:val="22"/>
          <w:lang w:val="fr-FR"/>
        </w:rPr>
      </w:pPr>
    </w:p>
    <w:p w:rsidR="001061C2" w:rsidRPr="00C73365" w:rsidRDefault="001061C2">
      <w:pPr>
        <w:widowControl w:val="0"/>
        <w:rPr>
          <w:rFonts w:asciiTheme="minorHAnsi" w:hAnsiTheme="minorHAnsi" w:cstheme="minorHAnsi"/>
          <w:szCs w:val="22"/>
          <w:lang w:val="fr-FR"/>
        </w:rPr>
      </w:pPr>
    </w:p>
    <w:p w:rsidR="009F3FF0" w:rsidRPr="00C73365" w:rsidRDefault="009F3FF0"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14 :</w:t>
      </w:r>
    </w:p>
    <w:p w:rsidR="009F3FF0" w:rsidRPr="00C73365" w:rsidRDefault="001061C2">
      <w:pPr>
        <w:widowControl w:val="0"/>
        <w:rPr>
          <w:rFonts w:asciiTheme="minorHAnsi" w:hAnsiTheme="minorHAnsi" w:cstheme="minorHAnsi"/>
          <w:szCs w:val="22"/>
          <w:lang w:val="fr-FR"/>
        </w:rPr>
      </w:pPr>
      <w:r w:rsidRPr="00C73365">
        <w:rPr>
          <w:rFonts w:asciiTheme="minorHAnsi" w:hAnsiTheme="minorHAnsi" w:cstheme="minorHAnsi"/>
          <w:noProof/>
          <w:lang w:val="fr-FR" w:eastAsia="fr-FR"/>
        </w:rPr>
        <w:drawing>
          <wp:inline distT="0" distB="0" distL="0" distR="0" wp14:anchorId="1A27D355" wp14:editId="04E3163C">
            <wp:extent cx="6120765" cy="1922780"/>
            <wp:effectExtent l="0" t="0" r="0" b="127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765" cy="1922780"/>
                    </a:xfrm>
                    <a:prstGeom prst="rect">
                      <a:avLst/>
                    </a:prstGeom>
                    <a:noFill/>
                    <a:ln>
                      <a:noFill/>
                    </a:ln>
                  </pic:spPr>
                </pic:pic>
              </a:graphicData>
            </a:graphic>
          </wp:inline>
        </w:drawing>
      </w:r>
    </w:p>
    <w:p w:rsidR="00D1179F" w:rsidRPr="00C73365" w:rsidRDefault="00D1179F">
      <w:pPr>
        <w:widowControl w:val="0"/>
        <w:rPr>
          <w:rFonts w:asciiTheme="minorHAnsi" w:hAnsiTheme="minorHAnsi" w:cstheme="minorHAnsi"/>
          <w:b/>
          <w:color w:val="7030A0"/>
          <w:szCs w:val="22"/>
          <w:lang w:val="fr-FR"/>
        </w:rPr>
      </w:pPr>
    </w:p>
    <w:p w:rsidR="00D1179F" w:rsidRPr="00C73365" w:rsidRDefault="00D1179F"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15 :</w:t>
      </w:r>
    </w:p>
    <w:p w:rsidR="00D1179F"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16D8B1AC" wp14:editId="1224DDF7">
            <wp:extent cx="6120765" cy="823595"/>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765" cy="823595"/>
                    </a:xfrm>
                    <a:prstGeom prst="rect">
                      <a:avLst/>
                    </a:prstGeom>
                    <a:noFill/>
                    <a:ln>
                      <a:noFill/>
                    </a:ln>
                  </pic:spPr>
                </pic:pic>
              </a:graphicData>
            </a:graphic>
          </wp:inline>
        </w:drawing>
      </w:r>
    </w:p>
    <w:p w:rsidR="00D1179F" w:rsidRPr="00C73365" w:rsidRDefault="00D1179F">
      <w:pPr>
        <w:rPr>
          <w:rFonts w:asciiTheme="minorHAnsi" w:hAnsiTheme="minorHAnsi" w:cstheme="minorHAnsi"/>
          <w:lang w:val="fr-FR"/>
        </w:rPr>
      </w:pPr>
    </w:p>
    <w:p w:rsidR="00D1179F" w:rsidRPr="00C73365" w:rsidRDefault="00D1179F"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16:</w:t>
      </w:r>
    </w:p>
    <w:p w:rsidR="00D1179F"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lastRenderedPageBreak/>
        <w:drawing>
          <wp:inline distT="0" distB="0" distL="0" distR="0" wp14:anchorId="2B641556" wp14:editId="39935E75">
            <wp:extent cx="6120765" cy="1023620"/>
            <wp:effectExtent l="0" t="0" r="0" b="508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765" cy="1023620"/>
                    </a:xfrm>
                    <a:prstGeom prst="rect">
                      <a:avLst/>
                    </a:prstGeom>
                    <a:noFill/>
                    <a:ln>
                      <a:noFill/>
                    </a:ln>
                  </pic:spPr>
                </pic:pic>
              </a:graphicData>
            </a:graphic>
          </wp:inline>
        </w:drawing>
      </w:r>
    </w:p>
    <w:p w:rsidR="00D1179F" w:rsidRPr="00C73365" w:rsidRDefault="001061C2"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Brevets de la plateforme « Antivirale »  licenciés à </w:t>
      </w:r>
      <w:r w:rsidR="00EF089C" w:rsidRPr="00C73365">
        <w:rPr>
          <w:rFonts w:asciiTheme="minorHAnsi" w:hAnsiTheme="minorHAnsi" w:cstheme="minorHAnsi"/>
          <w:b/>
          <w:lang w:val="fr-FR"/>
        </w:rPr>
        <w:t>ABIVAX</w:t>
      </w:r>
      <w:r w:rsidRPr="00C73365">
        <w:rPr>
          <w:rFonts w:asciiTheme="minorHAnsi" w:hAnsiTheme="minorHAnsi" w:cstheme="minorHAnsi"/>
          <w:b/>
          <w:lang w:val="fr-FR"/>
        </w:rPr>
        <w:t> :</w:t>
      </w:r>
    </w:p>
    <w:p w:rsidR="00D1179F" w:rsidRPr="00C73365" w:rsidRDefault="00D1179F"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 xml:space="preserve">Tableau 17 : </w:t>
      </w:r>
    </w:p>
    <w:p w:rsidR="00D1179F" w:rsidRPr="00C73365" w:rsidRDefault="001061C2">
      <w:pPr>
        <w:pStyle w:val="ListParagraph"/>
        <w:ind w:left="0"/>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659B7CA7" wp14:editId="1909FDD1">
            <wp:extent cx="5935980" cy="1353593"/>
            <wp:effectExtent l="0" t="0" r="762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7710" cy="1356268"/>
                    </a:xfrm>
                    <a:prstGeom prst="rect">
                      <a:avLst/>
                    </a:prstGeom>
                    <a:noFill/>
                    <a:ln>
                      <a:noFill/>
                    </a:ln>
                  </pic:spPr>
                </pic:pic>
              </a:graphicData>
            </a:graphic>
          </wp:inline>
        </w:drawing>
      </w:r>
    </w:p>
    <w:p w:rsidR="00D1179F" w:rsidRPr="00C73365" w:rsidRDefault="00D1179F"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Tableau 18:</w:t>
      </w:r>
    </w:p>
    <w:p w:rsidR="00D1179F"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2F5B0B07" wp14:editId="52C2C5B0">
            <wp:extent cx="5958840" cy="1860167"/>
            <wp:effectExtent l="0" t="0" r="3810" b="6985"/>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63399" cy="1861590"/>
                    </a:xfrm>
                    <a:prstGeom prst="rect">
                      <a:avLst/>
                    </a:prstGeom>
                    <a:noFill/>
                    <a:ln>
                      <a:noFill/>
                    </a:ln>
                  </pic:spPr>
                </pic:pic>
              </a:graphicData>
            </a:graphic>
          </wp:inline>
        </w:drawing>
      </w:r>
    </w:p>
    <w:p w:rsidR="001061C2" w:rsidRPr="00C73365" w:rsidRDefault="001061C2"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 xml:space="preserve">Tableau 19 : </w:t>
      </w:r>
    </w:p>
    <w:p w:rsidR="001061C2" w:rsidRPr="00C73365" w:rsidRDefault="001061C2">
      <w:pPr>
        <w:pStyle w:val="ListParagraph"/>
        <w:ind w:left="0"/>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1526C8FB" wp14:editId="0BF90912">
            <wp:extent cx="6120765" cy="3424485"/>
            <wp:effectExtent l="0" t="0" r="0" b="508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765" cy="3424485"/>
                    </a:xfrm>
                    <a:prstGeom prst="rect">
                      <a:avLst/>
                    </a:prstGeom>
                    <a:noFill/>
                    <a:ln>
                      <a:noFill/>
                    </a:ln>
                  </pic:spPr>
                </pic:pic>
              </a:graphicData>
            </a:graphic>
          </wp:inline>
        </w:drawing>
      </w:r>
    </w:p>
    <w:p w:rsidR="001061C2" w:rsidRPr="00C73365" w:rsidRDefault="001061C2">
      <w:pPr>
        <w:pStyle w:val="ListParagraph"/>
        <w:ind w:left="0"/>
        <w:rPr>
          <w:rFonts w:asciiTheme="minorHAnsi" w:hAnsiTheme="minorHAnsi" w:cstheme="minorHAnsi"/>
          <w:lang w:val="fr-FR"/>
        </w:rPr>
      </w:pPr>
    </w:p>
    <w:p w:rsidR="001061C2" w:rsidRPr="00C73365" w:rsidRDefault="001061C2"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lastRenderedPageBreak/>
        <w:t>Tableau 20:</w:t>
      </w:r>
    </w:p>
    <w:p w:rsidR="001061C2" w:rsidRPr="00C73365" w:rsidRDefault="001061C2">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6BDDC0BE" wp14:editId="3538249F">
            <wp:extent cx="6120765" cy="1394199"/>
            <wp:effectExtent l="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1394199"/>
                    </a:xfrm>
                    <a:prstGeom prst="rect">
                      <a:avLst/>
                    </a:prstGeom>
                    <a:noFill/>
                    <a:ln>
                      <a:noFill/>
                    </a:ln>
                  </pic:spPr>
                </pic:pic>
              </a:graphicData>
            </a:graphic>
          </wp:inline>
        </w:drawing>
      </w:r>
    </w:p>
    <w:p w:rsidR="00D1179F" w:rsidRPr="00C73365" w:rsidRDefault="00D1179F">
      <w:pPr>
        <w:widowControl w:val="0"/>
        <w:rPr>
          <w:rFonts w:asciiTheme="minorHAnsi" w:hAnsiTheme="minorHAnsi" w:cstheme="minorHAnsi"/>
          <w:b/>
          <w:color w:val="7030A0"/>
          <w:lang w:val="fr-FR"/>
        </w:rPr>
      </w:pPr>
    </w:p>
    <w:p w:rsidR="00F46C7B" w:rsidRPr="00C73365" w:rsidRDefault="00F46C7B" w:rsidP="00434C49">
      <w:pPr>
        <w:pStyle w:val="ConmainL3"/>
        <w:numPr>
          <w:ilvl w:val="3"/>
          <w:numId w:val="96"/>
        </w:numPr>
        <w:spacing w:after="120"/>
        <w:rPr>
          <w:rFonts w:asciiTheme="minorHAnsi" w:hAnsiTheme="minorHAnsi" w:cstheme="minorHAnsi"/>
          <w:i/>
          <w:lang w:val="fr-FR"/>
        </w:rPr>
      </w:pPr>
      <w:r w:rsidRPr="00C73365">
        <w:rPr>
          <w:rFonts w:asciiTheme="minorHAnsi" w:hAnsiTheme="minorHAnsi" w:cstheme="minorHAnsi"/>
          <w:i/>
          <w:lang w:val="fr-FR"/>
        </w:rPr>
        <w:t>Plateforme « Stimulation Immunitaire »</w:t>
      </w:r>
    </w:p>
    <w:p w:rsidR="001061C2" w:rsidRPr="00C73365" w:rsidRDefault="001061C2"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plateforme « Stimulations Immunitaires.» possède une large gamme de molécules détenues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(WO2004/094444), qui permettent d’activer les cellules iNKT (WO2004/094444, WO2009/101475), d’activer le système immunitaire en induisant une stimulation de la réponse anticorps et cytotoxique d’intérêt et de les utiliser comme adjuvants dans des vaccins pour de multiples indications, en oncologie et en maladies infectieuses (WO2009/101475) </w:t>
      </w:r>
    </w:p>
    <w:p w:rsidR="001061C2" w:rsidRPr="00C73365" w:rsidRDefault="001061C2" w:rsidP="004572A0">
      <w:pPr>
        <w:pStyle w:val="BodyText"/>
        <w:rPr>
          <w:rFonts w:asciiTheme="minorHAnsi" w:hAnsiTheme="minorHAnsi" w:cstheme="minorHAnsi"/>
          <w:lang w:val="fr-FR"/>
        </w:rPr>
      </w:pPr>
      <w:r w:rsidRPr="00C73365">
        <w:rPr>
          <w:rFonts w:asciiTheme="minorHAnsi" w:hAnsiTheme="minorHAnsi" w:cstheme="minorHAnsi"/>
          <w:lang w:val="fr-FR"/>
        </w:rPr>
        <w:t xml:space="preserve">Plusieurs composés sont utilisables contre les maladies auto-immunes (WO2004/094444) ou pour cibler de manière spécifique l’antigène, lié de manière covalente aux molécules de la Société (WO2009/060086). </w:t>
      </w:r>
    </w:p>
    <w:p w:rsidR="001061C2" w:rsidRPr="00C73365" w:rsidRDefault="001061C2" w:rsidP="00A96CCA">
      <w:pPr>
        <w:pStyle w:val="Default"/>
        <w:spacing w:after="120"/>
        <w:jc w:val="both"/>
        <w:rPr>
          <w:rFonts w:asciiTheme="minorHAnsi" w:hAnsiTheme="minorHAnsi" w:cstheme="minorHAnsi"/>
          <w:color w:val="000000" w:themeColor="text1"/>
          <w:sz w:val="20"/>
          <w:szCs w:val="20"/>
          <w:lang w:val="fr-FR"/>
        </w:rPr>
      </w:pPr>
      <w:r w:rsidRPr="00C73365">
        <w:rPr>
          <w:rFonts w:asciiTheme="minorHAnsi" w:hAnsiTheme="minorHAnsi" w:cstheme="minorHAnsi"/>
          <w:color w:val="000000" w:themeColor="text1"/>
          <w:sz w:val="20"/>
          <w:szCs w:val="20"/>
          <w:lang w:val="fr-FR"/>
        </w:rPr>
        <w:t xml:space="preserve">Le 14 </w:t>
      </w:r>
      <w:r w:rsidR="00E73A7C">
        <w:rPr>
          <w:rFonts w:asciiTheme="minorHAnsi" w:hAnsiTheme="minorHAnsi" w:cstheme="minorHAnsi"/>
          <w:color w:val="000000" w:themeColor="text1"/>
          <w:sz w:val="20"/>
          <w:szCs w:val="20"/>
          <w:lang w:val="fr-FR"/>
        </w:rPr>
        <w:t>septembre</w:t>
      </w:r>
      <w:r w:rsidRPr="00C73365">
        <w:rPr>
          <w:rFonts w:asciiTheme="minorHAnsi" w:hAnsiTheme="minorHAnsi" w:cstheme="minorHAnsi"/>
          <w:color w:val="000000" w:themeColor="text1"/>
          <w:sz w:val="20"/>
          <w:szCs w:val="20"/>
          <w:lang w:val="fr-FR"/>
        </w:rPr>
        <w:t xml:space="preserve"> 2016, </w:t>
      </w:r>
      <w:r w:rsidR="00EF089C" w:rsidRPr="00C73365">
        <w:rPr>
          <w:rFonts w:asciiTheme="minorHAnsi" w:hAnsiTheme="minorHAnsi" w:cstheme="minorHAnsi"/>
          <w:color w:val="000000" w:themeColor="text1"/>
          <w:sz w:val="20"/>
          <w:szCs w:val="20"/>
          <w:lang w:val="fr-FR"/>
        </w:rPr>
        <w:t>ABIVAX</w:t>
      </w:r>
      <w:r w:rsidRPr="00C73365">
        <w:rPr>
          <w:rFonts w:asciiTheme="minorHAnsi" w:hAnsiTheme="minorHAnsi" w:cstheme="minorHAnsi"/>
          <w:color w:val="000000" w:themeColor="text1"/>
          <w:sz w:val="20"/>
          <w:szCs w:val="20"/>
          <w:lang w:val="fr-FR"/>
        </w:rPr>
        <w:t xml:space="preserve"> a déposé une demande de brevet européen intitulé « </w:t>
      </w:r>
      <w:r w:rsidR="00434C49">
        <w:rPr>
          <w:rFonts w:asciiTheme="minorHAnsi" w:hAnsiTheme="minorHAnsi" w:cstheme="minorHAnsi"/>
          <w:color w:val="000000" w:themeColor="text1"/>
          <w:sz w:val="20"/>
          <w:szCs w:val="20"/>
          <w:lang w:val="fr-FR"/>
        </w:rPr>
        <w:t>ABX</w:t>
      </w:r>
      <w:r w:rsidRPr="00C73365">
        <w:rPr>
          <w:rFonts w:asciiTheme="minorHAnsi" w:hAnsiTheme="minorHAnsi" w:cstheme="minorHAnsi"/>
          <w:color w:val="000000" w:themeColor="text1"/>
          <w:sz w:val="20"/>
          <w:szCs w:val="20"/>
          <w:lang w:val="fr-FR"/>
        </w:rPr>
        <w:t>96 FOR USE IN THE TREATMENT OF CANCER».</w:t>
      </w:r>
    </w:p>
    <w:p w:rsidR="001061C2" w:rsidRPr="00C73365" w:rsidRDefault="001061C2" w:rsidP="00A96CCA">
      <w:pPr>
        <w:pStyle w:val="Default"/>
        <w:spacing w:after="120"/>
        <w:jc w:val="both"/>
        <w:rPr>
          <w:rFonts w:asciiTheme="minorHAnsi" w:hAnsiTheme="minorHAnsi" w:cstheme="minorHAnsi"/>
          <w:color w:val="000000" w:themeColor="text1"/>
          <w:sz w:val="20"/>
          <w:szCs w:val="20"/>
          <w:lang w:val="fr-FR"/>
        </w:rPr>
      </w:pPr>
      <w:r w:rsidRPr="00C73365">
        <w:rPr>
          <w:rFonts w:asciiTheme="minorHAnsi" w:hAnsiTheme="minorHAnsi" w:cstheme="minorHAnsi"/>
          <w:color w:val="000000" w:themeColor="text1"/>
          <w:sz w:val="20"/>
          <w:szCs w:val="20"/>
          <w:lang w:val="fr-FR"/>
        </w:rPr>
        <w:t xml:space="preserve">Le 11 août 2017, </w:t>
      </w:r>
      <w:r w:rsidR="00EF089C" w:rsidRPr="00C73365">
        <w:rPr>
          <w:rFonts w:asciiTheme="minorHAnsi" w:hAnsiTheme="minorHAnsi" w:cstheme="minorHAnsi"/>
          <w:color w:val="000000" w:themeColor="text1"/>
          <w:sz w:val="20"/>
          <w:szCs w:val="20"/>
          <w:lang w:val="fr-FR"/>
        </w:rPr>
        <w:t>ABIVAX</w:t>
      </w:r>
      <w:r w:rsidRPr="00C73365">
        <w:rPr>
          <w:rFonts w:asciiTheme="minorHAnsi" w:hAnsiTheme="minorHAnsi" w:cstheme="minorHAnsi"/>
          <w:color w:val="000000" w:themeColor="text1"/>
          <w:sz w:val="20"/>
          <w:szCs w:val="20"/>
          <w:lang w:val="fr-FR"/>
        </w:rPr>
        <w:t xml:space="preserve"> a déposé une demande de brevet européen intitulé « ABX196 AND BLADDER CANCER ».</w:t>
      </w:r>
    </w:p>
    <w:p w:rsidR="001061C2" w:rsidRPr="00C73365" w:rsidRDefault="001061C2"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procédé de fabrication des composés « Lead » de la Société, dont ABX196, a également été protégé (WO 2004/094444, WO2014/067995). </w:t>
      </w:r>
    </w:p>
    <w:p w:rsidR="001061C2"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1061C2" w:rsidRPr="00C73365">
        <w:rPr>
          <w:rFonts w:asciiTheme="minorHAnsi" w:hAnsiTheme="minorHAnsi" w:cstheme="minorHAnsi"/>
          <w:lang w:val="fr-FR"/>
        </w:rPr>
        <w:t xml:space="preserve"> a démontré l’activité de </w:t>
      </w:r>
      <w:r w:rsidR="00E32CFE" w:rsidRPr="00C73365">
        <w:rPr>
          <w:rFonts w:asciiTheme="minorHAnsi" w:hAnsiTheme="minorHAnsi" w:cstheme="minorHAnsi"/>
          <w:lang w:val="fr-FR"/>
        </w:rPr>
        <w:t>ABX196</w:t>
      </w:r>
      <w:r w:rsidR="001061C2" w:rsidRPr="00C73365">
        <w:rPr>
          <w:rFonts w:asciiTheme="minorHAnsi" w:hAnsiTheme="minorHAnsi" w:cstheme="minorHAnsi"/>
          <w:lang w:val="fr-FR"/>
        </w:rPr>
        <w:t xml:space="preserve"> chez l’humain lors d’un essai clinique dans le contexte d’un vaccin prophylactique contre l’hépatite B (publication dans Vaccine 2014 Oct 21;32(46):6138-45).</w:t>
      </w:r>
    </w:p>
    <w:p w:rsidR="001061C2" w:rsidRPr="00C73365" w:rsidRDefault="001061C2"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Cette plateforme « Stimulation Immunitaire » est protégée par 5 familles de brevets au total dont 4 détenues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(tableaux 21 à 24) et 1 concédée à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dans le cadre d’accords de licences avec des instituts de recherches basés aux Etats Unis (tableau 25). Les informations principales sont décrites dans les tableaux ci-dessous :</w:t>
      </w:r>
    </w:p>
    <w:p w:rsidR="00F46C7B" w:rsidRPr="00C73365" w:rsidRDefault="00F46C7B" w:rsidP="004572A0">
      <w:pPr>
        <w:pStyle w:val="BodyText"/>
        <w:rPr>
          <w:rFonts w:asciiTheme="minorHAnsi" w:hAnsiTheme="minorHAnsi" w:cstheme="minorHAnsi"/>
          <w:b/>
          <w:sz w:val="18"/>
          <w:lang w:val="fr-FR"/>
        </w:rPr>
      </w:pPr>
      <w:r w:rsidRPr="00C73365">
        <w:rPr>
          <w:rFonts w:asciiTheme="minorHAnsi" w:hAnsiTheme="minorHAnsi" w:cstheme="minorHAnsi"/>
          <w:b/>
          <w:lang w:val="fr-FR"/>
        </w:rPr>
        <w:t xml:space="preserve">Brevets de la plateforme « Stimulation Immunitaire» détenus par </w:t>
      </w:r>
      <w:r w:rsidR="00EF089C" w:rsidRPr="00C73365">
        <w:rPr>
          <w:rFonts w:asciiTheme="minorHAnsi" w:hAnsiTheme="minorHAnsi" w:cstheme="minorHAnsi"/>
          <w:b/>
          <w:lang w:val="fr-FR"/>
        </w:rPr>
        <w:t>ABIVAX</w:t>
      </w: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 xml:space="preserve">Tableau </w:t>
      </w:r>
      <w:r w:rsidR="001061C2" w:rsidRPr="00C73365">
        <w:rPr>
          <w:rFonts w:asciiTheme="minorHAnsi" w:hAnsiTheme="minorHAnsi" w:cstheme="minorHAnsi"/>
          <w:lang w:val="fr-FR"/>
        </w:rPr>
        <w:t>21 </w:t>
      </w:r>
      <w:r w:rsidRPr="00C73365">
        <w:rPr>
          <w:rFonts w:asciiTheme="minorHAnsi" w:hAnsiTheme="minorHAnsi" w:cstheme="minorHAnsi"/>
          <w:lang w:val="fr-FR"/>
        </w:rPr>
        <w:t>:</w:t>
      </w:r>
    </w:p>
    <w:p w:rsidR="001061C2" w:rsidRPr="00C73365" w:rsidRDefault="00464BF8">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45E1BB4F" wp14:editId="7FDB8D7A">
            <wp:extent cx="6120765" cy="2853690"/>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0765" cy="2853690"/>
                    </a:xfrm>
                    <a:prstGeom prst="rect">
                      <a:avLst/>
                    </a:prstGeom>
                  </pic:spPr>
                </pic:pic>
              </a:graphicData>
            </a:graphic>
          </wp:inline>
        </w:drawing>
      </w:r>
    </w:p>
    <w:p w:rsidR="00CA2636" w:rsidRPr="00C73365" w:rsidRDefault="00CA2636">
      <w:pPr>
        <w:rPr>
          <w:rFonts w:asciiTheme="minorHAnsi" w:hAnsiTheme="minorHAnsi" w:cstheme="minorHAnsi"/>
          <w:lang w:val="fr-FR"/>
        </w:rPr>
      </w:pPr>
    </w:p>
    <w:p w:rsidR="00F46C7B" w:rsidRPr="00C73365" w:rsidRDefault="00F46C7B" w:rsidP="00B170BA">
      <w:pPr>
        <w:pStyle w:val="ListParagraph"/>
        <w:keepNext/>
        <w:keepLines/>
        <w:numPr>
          <w:ilvl w:val="0"/>
          <w:numId w:val="33"/>
        </w:numPr>
        <w:rPr>
          <w:rFonts w:asciiTheme="minorHAnsi" w:hAnsiTheme="minorHAnsi" w:cstheme="minorHAnsi"/>
          <w:lang w:val="fr-FR"/>
        </w:rPr>
      </w:pPr>
      <w:r w:rsidRPr="00C73365">
        <w:rPr>
          <w:rFonts w:asciiTheme="minorHAnsi" w:hAnsiTheme="minorHAnsi" w:cstheme="minorHAnsi"/>
          <w:lang w:val="fr-FR"/>
        </w:rPr>
        <w:lastRenderedPageBreak/>
        <w:t xml:space="preserve">Tableau </w:t>
      </w:r>
      <w:r w:rsidR="001061C2" w:rsidRPr="00C73365">
        <w:rPr>
          <w:rFonts w:asciiTheme="minorHAnsi" w:hAnsiTheme="minorHAnsi" w:cstheme="minorHAnsi"/>
          <w:lang w:val="fr-FR"/>
        </w:rPr>
        <w:t>22 </w:t>
      </w:r>
      <w:r w:rsidRPr="00C73365">
        <w:rPr>
          <w:rFonts w:asciiTheme="minorHAnsi" w:hAnsiTheme="minorHAnsi" w:cstheme="minorHAnsi"/>
          <w:lang w:val="fr-FR"/>
        </w:rPr>
        <w:t>:</w:t>
      </w:r>
    </w:p>
    <w:p w:rsidR="00F46C7B" w:rsidRPr="00C73365" w:rsidRDefault="00464BF8">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24CF81F9" wp14:editId="47BA02A6">
            <wp:extent cx="4686300" cy="3726579"/>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93782" cy="3732529"/>
                    </a:xfrm>
                    <a:prstGeom prst="rect">
                      <a:avLst/>
                    </a:prstGeom>
                  </pic:spPr>
                </pic:pic>
              </a:graphicData>
            </a:graphic>
          </wp:inline>
        </w:drawing>
      </w:r>
    </w:p>
    <w:p w:rsidR="00F46C7B" w:rsidRPr="00C73365" w:rsidRDefault="00F46C7B"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 xml:space="preserve">Tableau </w:t>
      </w:r>
      <w:r w:rsidR="001061C2" w:rsidRPr="00C73365">
        <w:rPr>
          <w:rFonts w:asciiTheme="minorHAnsi" w:hAnsiTheme="minorHAnsi" w:cstheme="minorHAnsi"/>
          <w:lang w:val="fr-FR"/>
        </w:rPr>
        <w:t>23 </w:t>
      </w:r>
      <w:r w:rsidRPr="00C73365">
        <w:rPr>
          <w:rFonts w:asciiTheme="minorHAnsi" w:hAnsiTheme="minorHAnsi" w:cstheme="minorHAnsi"/>
          <w:lang w:val="fr-FR"/>
        </w:rPr>
        <w:t>:</w:t>
      </w:r>
    </w:p>
    <w:p w:rsidR="00F46C7B" w:rsidRPr="00C73365" w:rsidRDefault="00464BF8">
      <w:pPr>
        <w:rPr>
          <w:rFonts w:asciiTheme="minorHAnsi" w:hAnsiTheme="minorHAnsi" w:cstheme="minorHAnsi"/>
          <w:i/>
          <w:sz w:val="18"/>
          <w:szCs w:val="18"/>
          <w:lang w:val="fr-FR"/>
        </w:rPr>
      </w:pPr>
      <w:r w:rsidRPr="00C73365">
        <w:rPr>
          <w:rFonts w:asciiTheme="minorHAnsi" w:hAnsiTheme="minorHAnsi" w:cstheme="minorHAnsi"/>
          <w:noProof/>
          <w:lang w:val="fr-FR" w:eastAsia="fr-FR"/>
        </w:rPr>
        <w:lastRenderedPageBreak/>
        <w:drawing>
          <wp:inline distT="0" distB="0" distL="0" distR="0" wp14:anchorId="4604884D" wp14:editId="36EDBE53">
            <wp:extent cx="4683936" cy="5638800"/>
            <wp:effectExtent l="0" t="0" r="254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684670" cy="5639684"/>
                    </a:xfrm>
                    <a:prstGeom prst="rect">
                      <a:avLst/>
                    </a:prstGeom>
                  </pic:spPr>
                </pic:pic>
              </a:graphicData>
            </a:graphic>
          </wp:inline>
        </w:drawing>
      </w:r>
    </w:p>
    <w:p w:rsidR="00D1179F" w:rsidRPr="00C73365" w:rsidRDefault="00D1179F">
      <w:pPr>
        <w:rPr>
          <w:rFonts w:asciiTheme="minorHAnsi" w:hAnsiTheme="minorHAnsi" w:cstheme="minorHAnsi"/>
          <w:lang w:val="fr-FR"/>
        </w:rPr>
      </w:pPr>
    </w:p>
    <w:p w:rsidR="00CA2636" w:rsidRPr="00C73365" w:rsidRDefault="00CA2636" w:rsidP="00B170BA">
      <w:pPr>
        <w:pStyle w:val="ListParagraph"/>
        <w:numPr>
          <w:ilvl w:val="0"/>
          <w:numId w:val="33"/>
        </w:numPr>
        <w:rPr>
          <w:rFonts w:asciiTheme="minorHAnsi" w:hAnsiTheme="minorHAnsi" w:cstheme="minorHAnsi"/>
          <w:lang w:val="fr-FR"/>
        </w:rPr>
      </w:pPr>
      <w:r w:rsidRPr="00C73365">
        <w:rPr>
          <w:rFonts w:asciiTheme="minorHAnsi" w:hAnsiTheme="minorHAnsi" w:cstheme="minorHAnsi"/>
          <w:lang w:val="fr-FR"/>
        </w:rPr>
        <w:t xml:space="preserve">Tableau </w:t>
      </w:r>
      <w:r w:rsidR="001061C2" w:rsidRPr="00C73365">
        <w:rPr>
          <w:rFonts w:asciiTheme="minorHAnsi" w:hAnsiTheme="minorHAnsi" w:cstheme="minorHAnsi"/>
          <w:lang w:val="fr-FR"/>
        </w:rPr>
        <w:t>24</w:t>
      </w:r>
    </w:p>
    <w:p w:rsidR="00CA2636" w:rsidRPr="00C73365" w:rsidRDefault="00464BF8">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59AB5383" wp14:editId="1CAFAEDF">
            <wp:extent cx="4937760" cy="878029"/>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56440" cy="881351"/>
                    </a:xfrm>
                    <a:prstGeom prst="rect">
                      <a:avLst/>
                    </a:prstGeom>
                  </pic:spPr>
                </pic:pic>
              </a:graphicData>
            </a:graphic>
          </wp:inline>
        </w:drawing>
      </w:r>
    </w:p>
    <w:p w:rsidR="003B3C7C" w:rsidRPr="00C73365" w:rsidRDefault="003B3C7C">
      <w:pPr>
        <w:widowControl w:val="0"/>
        <w:rPr>
          <w:rFonts w:asciiTheme="minorHAnsi" w:hAnsiTheme="minorHAnsi" w:cstheme="minorHAnsi"/>
          <w:b/>
          <w:color w:val="7030A0"/>
          <w:szCs w:val="22"/>
          <w:lang w:val="fr-FR"/>
        </w:rPr>
      </w:pPr>
    </w:p>
    <w:p w:rsidR="00F46C7B" w:rsidRPr="00C73365" w:rsidRDefault="00F46C7B" w:rsidP="004572A0">
      <w:pPr>
        <w:pStyle w:val="BodyText"/>
        <w:rPr>
          <w:rFonts w:asciiTheme="minorHAnsi" w:hAnsiTheme="minorHAnsi" w:cstheme="minorHAnsi"/>
          <w:b/>
          <w:sz w:val="18"/>
          <w:lang w:val="fr-FR"/>
        </w:rPr>
      </w:pPr>
      <w:r w:rsidRPr="00C73365">
        <w:rPr>
          <w:rFonts w:asciiTheme="minorHAnsi" w:hAnsiTheme="minorHAnsi" w:cstheme="minorHAnsi"/>
          <w:b/>
          <w:lang w:val="fr-FR"/>
        </w:rPr>
        <w:t xml:space="preserve">Brevets de la plateforme « Stimulation Immunitaire» licenciés à </w:t>
      </w:r>
      <w:r w:rsidR="00EF089C" w:rsidRPr="00C73365">
        <w:rPr>
          <w:rFonts w:asciiTheme="minorHAnsi" w:hAnsiTheme="minorHAnsi" w:cstheme="minorHAnsi"/>
          <w:b/>
          <w:lang w:val="fr-FR"/>
        </w:rPr>
        <w:t>ABIVAX</w:t>
      </w:r>
    </w:p>
    <w:p w:rsidR="00F46C7B" w:rsidRPr="00C73365" w:rsidRDefault="00F46C7B" w:rsidP="00B170BA">
      <w:pPr>
        <w:pStyle w:val="ListParagraph"/>
        <w:keepNext/>
        <w:numPr>
          <w:ilvl w:val="0"/>
          <w:numId w:val="34"/>
        </w:numPr>
        <w:rPr>
          <w:rFonts w:asciiTheme="minorHAnsi" w:hAnsiTheme="minorHAnsi" w:cstheme="minorHAnsi"/>
          <w:lang w:val="fr-FR"/>
        </w:rPr>
      </w:pPr>
      <w:r w:rsidRPr="00C73365">
        <w:rPr>
          <w:rFonts w:asciiTheme="minorHAnsi" w:hAnsiTheme="minorHAnsi" w:cstheme="minorHAnsi"/>
          <w:lang w:val="fr-FR"/>
        </w:rPr>
        <w:t xml:space="preserve">Tableau </w:t>
      </w:r>
      <w:r w:rsidR="001061C2" w:rsidRPr="00C73365">
        <w:rPr>
          <w:rFonts w:asciiTheme="minorHAnsi" w:hAnsiTheme="minorHAnsi" w:cstheme="minorHAnsi"/>
          <w:lang w:val="fr-FR"/>
        </w:rPr>
        <w:t xml:space="preserve">25 </w:t>
      </w:r>
      <w:r w:rsidRPr="00C73365">
        <w:rPr>
          <w:rFonts w:asciiTheme="minorHAnsi" w:hAnsiTheme="minorHAnsi" w:cstheme="minorHAnsi"/>
          <w:lang w:val="fr-FR"/>
        </w:rPr>
        <w:t>:</w:t>
      </w:r>
    </w:p>
    <w:p w:rsidR="00F46C7B" w:rsidRPr="00C73365" w:rsidRDefault="00464BF8">
      <w:pPr>
        <w:rPr>
          <w:rFonts w:asciiTheme="minorHAnsi" w:hAnsiTheme="minorHAnsi" w:cstheme="minorHAnsi"/>
          <w:lang w:val="fr-FR"/>
        </w:rPr>
      </w:pPr>
      <w:r w:rsidRPr="00C73365">
        <w:rPr>
          <w:rFonts w:asciiTheme="minorHAnsi" w:hAnsiTheme="minorHAnsi" w:cstheme="minorHAnsi"/>
          <w:noProof/>
          <w:lang w:val="fr-FR" w:eastAsia="fr-FR"/>
        </w:rPr>
        <w:drawing>
          <wp:inline distT="0" distB="0" distL="0" distR="0" wp14:anchorId="1AD4522B" wp14:editId="5E60F517">
            <wp:extent cx="6120765" cy="651510"/>
            <wp:effectExtent l="0" t="0" r="0" b="0"/>
            <wp:docPr id="2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765" cy="651510"/>
                    </a:xfrm>
                    <a:prstGeom prst="rect">
                      <a:avLst/>
                    </a:prstGeom>
                    <a:noFill/>
                    <a:ln>
                      <a:noFill/>
                    </a:ln>
                  </pic:spPr>
                </pic:pic>
              </a:graphicData>
            </a:graphic>
          </wp:inline>
        </w:drawing>
      </w:r>
    </w:p>
    <w:p w:rsidR="00F46C7B" w:rsidRPr="00C73365" w:rsidRDefault="00F46C7B" w:rsidP="00434C49">
      <w:pPr>
        <w:pStyle w:val="ConmainL3"/>
        <w:numPr>
          <w:ilvl w:val="3"/>
          <w:numId w:val="96"/>
        </w:numPr>
        <w:spacing w:after="120"/>
        <w:rPr>
          <w:rFonts w:asciiTheme="minorHAnsi" w:hAnsiTheme="minorHAnsi" w:cstheme="minorHAnsi"/>
          <w:b/>
          <w:color w:val="7030A0"/>
          <w:lang w:val="fr-FR"/>
        </w:rPr>
      </w:pPr>
      <w:r w:rsidRPr="00C73365">
        <w:rPr>
          <w:rFonts w:asciiTheme="minorHAnsi" w:hAnsiTheme="minorHAnsi" w:cstheme="minorHAnsi"/>
          <w:i/>
          <w:lang w:val="fr-FR"/>
        </w:rPr>
        <w:lastRenderedPageBreak/>
        <w:t>Plateforme « Anticorps Polyclonaux »</w:t>
      </w:r>
    </w:p>
    <w:p w:rsidR="00F46C7B" w:rsidRPr="00C73365" w:rsidRDefault="00F46C7B" w:rsidP="00A96CCA">
      <w:pPr>
        <w:pStyle w:val="ConmainL3"/>
        <w:keepLines/>
        <w:tabs>
          <w:tab w:val="clear" w:pos="360"/>
        </w:tabs>
        <w:spacing w:after="120"/>
        <w:ind w:left="0" w:firstLine="0"/>
        <w:outlineLvl w:val="9"/>
        <w:rPr>
          <w:rFonts w:asciiTheme="minorHAnsi" w:hAnsiTheme="minorHAnsi" w:cstheme="minorHAnsi"/>
          <w:color w:val="000000" w:themeColor="text1"/>
          <w:lang w:val="fr-FR"/>
        </w:rPr>
      </w:pPr>
      <w:r w:rsidRPr="00C73365">
        <w:rPr>
          <w:rFonts w:asciiTheme="minorHAnsi" w:hAnsiTheme="minorHAnsi" w:cstheme="minorHAnsi"/>
          <w:color w:val="000000" w:themeColor="text1"/>
          <w:lang w:val="fr-FR"/>
        </w:rPr>
        <w:t xml:space="preserve">Le 7 Juin 2016, </w:t>
      </w:r>
      <w:r w:rsidR="00EF089C" w:rsidRPr="00C73365">
        <w:rPr>
          <w:rFonts w:asciiTheme="minorHAnsi" w:hAnsiTheme="minorHAnsi" w:cstheme="minorHAnsi"/>
          <w:color w:val="000000" w:themeColor="text1"/>
          <w:lang w:val="fr-FR"/>
        </w:rPr>
        <w:t>ABIVAX</w:t>
      </w:r>
      <w:r w:rsidRPr="00C73365">
        <w:rPr>
          <w:rFonts w:asciiTheme="minorHAnsi" w:hAnsiTheme="minorHAnsi" w:cstheme="minorHAnsi"/>
          <w:color w:val="000000" w:themeColor="text1"/>
          <w:lang w:val="fr-FR"/>
        </w:rPr>
        <w:t xml:space="preserve"> a déposé une demande de brevet européen intitulé « Anticorps Polyclonaux » pour usage dans la prévention et / ou le traitement de la maladie due au virus Ebola.</w:t>
      </w:r>
    </w:p>
    <w:p w:rsidR="00CA2636" w:rsidRPr="00C73365" w:rsidRDefault="00CA2636" w:rsidP="00A96CCA">
      <w:pPr>
        <w:pStyle w:val="ConmainL3"/>
        <w:keepLines/>
        <w:tabs>
          <w:tab w:val="clear" w:pos="360"/>
        </w:tabs>
        <w:spacing w:after="120"/>
        <w:ind w:left="0" w:firstLine="0"/>
        <w:outlineLvl w:val="9"/>
        <w:rPr>
          <w:rFonts w:asciiTheme="minorHAnsi" w:hAnsiTheme="minorHAnsi" w:cstheme="minorHAnsi"/>
          <w:color w:val="000000" w:themeColor="text1"/>
          <w:lang w:val="fr-FR"/>
        </w:rPr>
      </w:pPr>
      <w:r w:rsidRPr="00C73365">
        <w:rPr>
          <w:rFonts w:asciiTheme="minorHAnsi" w:hAnsiTheme="minorHAnsi" w:cstheme="minorHAnsi"/>
          <w:color w:val="000000" w:themeColor="text1"/>
          <w:lang w:val="fr-FR"/>
        </w:rPr>
        <w:t xml:space="preserve">Le 29 décembre 2016, </w:t>
      </w:r>
      <w:r w:rsidR="00EF089C" w:rsidRPr="00C73365">
        <w:rPr>
          <w:rFonts w:asciiTheme="minorHAnsi" w:hAnsiTheme="minorHAnsi" w:cstheme="minorHAnsi"/>
          <w:color w:val="000000" w:themeColor="text1"/>
          <w:lang w:val="fr-FR"/>
        </w:rPr>
        <w:t>ABIVAX</w:t>
      </w:r>
      <w:r w:rsidRPr="00C73365">
        <w:rPr>
          <w:rFonts w:asciiTheme="minorHAnsi" w:hAnsiTheme="minorHAnsi" w:cstheme="minorHAnsi"/>
          <w:color w:val="000000" w:themeColor="text1"/>
          <w:lang w:val="fr-FR"/>
        </w:rPr>
        <w:t xml:space="preserve"> a déposé une demande de brevet européen intitulé « Anticorps Polyclonaux et leur utilisation ».</w:t>
      </w:r>
    </w:p>
    <w:p w:rsidR="00CA2636" w:rsidRPr="00C73365" w:rsidRDefault="00CA2636" w:rsidP="00B170BA">
      <w:pPr>
        <w:pStyle w:val="ListParagraph"/>
        <w:keepNext/>
        <w:numPr>
          <w:ilvl w:val="0"/>
          <w:numId w:val="34"/>
        </w:numPr>
        <w:rPr>
          <w:rFonts w:asciiTheme="minorHAnsi" w:hAnsiTheme="minorHAnsi" w:cstheme="minorHAnsi"/>
          <w:lang w:val="fr-FR"/>
        </w:rPr>
      </w:pPr>
      <w:r w:rsidRPr="00C73365">
        <w:rPr>
          <w:rFonts w:asciiTheme="minorHAnsi" w:hAnsiTheme="minorHAnsi" w:cstheme="minorHAnsi"/>
          <w:lang w:val="fr-FR"/>
        </w:rPr>
        <w:t xml:space="preserve">Tableau </w:t>
      </w:r>
      <w:r w:rsidR="001061C2" w:rsidRPr="00C73365">
        <w:rPr>
          <w:rFonts w:asciiTheme="minorHAnsi" w:hAnsiTheme="minorHAnsi" w:cstheme="minorHAnsi"/>
          <w:lang w:val="fr-FR"/>
        </w:rPr>
        <w:t xml:space="preserve">26 </w:t>
      </w:r>
      <w:r w:rsidRPr="00C73365">
        <w:rPr>
          <w:rFonts w:asciiTheme="minorHAnsi" w:hAnsiTheme="minorHAnsi" w:cstheme="minorHAnsi"/>
          <w:lang w:val="fr-FR"/>
        </w:rPr>
        <w:t>:</w:t>
      </w:r>
    </w:p>
    <w:p w:rsidR="00CA2636" w:rsidRPr="00C73365" w:rsidRDefault="00464BF8" w:rsidP="00A96CCA">
      <w:pPr>
        <w:pStyle w:val="ConmainL3"/>
        <w:keepLines/>
        <w:tabs>
          <w:tab w:val="clear" w:pos="360"/>
        </w:tabs>
        <w:spacing w:after="120"/>
        <w:ind w:left="0" w:firstLine="0"/>
        <w:outlineLvl w:val="9"/>
        <w:rPr>
          <w:rFonts w:asciiTheme="minorHAnsi" w:hAnsiTheme="minorHAnsi" w:cstheme="minorHAnsi"/>
          <w:color w:val="000000" w:themeColor="text1"/>
          <w:lang w:val="fr-FR"/>
        </w:rPr>
      </w:pPr>
      <w:r w:rsidRPr="00C73365">
        <w:rPr>
          <w:rFonts w:asciiTheme="minorHAnsi" w:hAnsiTheme="minorHAnsi" w:cstheme="minorHAnsi"/>
          <w:noProof/>
          <w:color w:val="000000" w:themeColor="text1"/>
          <w:lang w:val="fr-FR" w:eastAsia="fr-FR"/>
        </w:rPr>
        <w:drawing>
          <wp:inline distT="0" distB="0" distL="0" distR="0" wp14:anchorId="48A75968" wp14:editId="571DD3C1">
            <wp:extent cx="6120765" cy="95313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0765" cy="953135"/>
                    </a:xfrm>
                    <a:prstGeom prst="rect">
                      <a:avLst/>
                    </a:prstGeom>
                  </pic:spPr>
                </pic:pic>
              </a:graphicData>
            </a:graphic>
          </wp:inline>
        </w:drawing>
      </w:r>
    </w:p>
    <w:p w:rsidR="00CA2636" w:rsidRPr="00C73365" w:rsidRDefault="00CA2636" w:rsidP="00B170BA">
      <w:pPr>
        <w:pStyle w:val="ListParagraph"/>
        <w:keepNext/>
        <w:numPr>
          <w:ilvl w:val="0"/>
          <w:numId w:val="34"/>
        </w:numPr>
        <w:rPr>
          <w:rFonts w:asciiTheme="minorHAnsi" w:hAnsiTheme="minorHAnsi" w:cstheme="minorHAnsi"/>
          <w:lang w:val="fr-FR"/>
        </w:rPr>
      </w:pPr>
      <w:r w:rsidRPr="00C73365">
        <w:rPr>
          <w:rFonts w:asciiTheme="minorHAnsi" w:hAnsiTheme="minorHAnsi" w:cstheme="minorHAnsi"/>
          <w:lang w:val="fr-FR"/>
        </w:rPr>
        <w:t xml:space="preserve">Tableau </w:t>
      </w:r>
      <w:r w:rsidR="001061C2" w:rsidRPr="00C73365">
        <w:rPr>
          <w:rFonts w:asciiTheme="minorHAnsi" w:hAnsiTheme="minorHAnsi" w:cstheme="minorHAnsi"/>
          <w:lang w:val="fr-FR"/>
        </w:rPr>
        <w:t xml:space="preserve">27 </w:t>
      </w:r>
      <w:r w:rsidRPr="00C73365">
        <w:rPr>
          <w:rFonts w:asciiTheme="minorHAnsi" w:hAnsiTheme="minorHAnsi" w:cstheme="minorHAnsi"/>
          <w:lang w:val="fr-FR"/>
        </w:rPr>
        <w:t>:</w:t>
      </w:r>
    </w:p>
    <w:p w:rsidR="00CA2636" w:rsidRPr="00C73365" w:rsidRDefault="00464BF8" w:rsidP="00A96CCA">
      <w:pPr>
        <w:pStyle w:val="ConmainL3"/>
        <w:keepLines/>
        <w:tabs>
          <w:tab w:val="clear" w:pos="360"/>
        </w:tabs>
        <w:spacing w:after="120"/>
        <w:outlineLvl w:val="9"/>
        <w:rPr>
          <w:rFonts w:asciiTheme="minorHAnsi" w:hAnsiTheme="minorHAnsi" w:cstheme="minorHAnsi"/>
          <w:b/>
          <w:color w:val="7030A0"/>
          <w:lang w:val="fr-FR"/>
        </w:rPr>
      </w:pPr>
      <w:r w:rsidRPr="00C73365">
        <w:rPr>
          <w:rFonts w:asciiTheme="minorHAnsi" w:hAnsiTheme="minorHAnsi" w:cstheme="minorHAnsi"/>
          <w:b/>
          <w:noProof/>
          <w:color w:val="7030A0"/>
          <w:lang w:val="fr-FR" w:eastAsia="fr-FR"/>
        </w:rPr>
        <w:drawing>
          <wp:inline distT="0" distB="0" distL="0" distR="0" wp14:anchorId="2E517F50" wp14:editId="078DDEA2">
            <wp:extent cx="6120765" cy="61849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20765" cy="618490"/>
                    </a:xfrm>
                    <a:prstGeom prst="rect">
                      <a:avLst/>
                    </a:prstGeom>
                  </pic:spPr>
                </pic:pic>
              </a:graphicData>
            </a:graphic>
          </wp:inline>
        </w:drawing>
      </w:r>
    </w:p>
    <w:p w:rsidR="00F46C7B" w:rsidRPr="00C73365" w:rsidRDefault="00F46C7B">
      <w:pPr>
        <w:pStyle w:val="ListParagraph"/>
        <w:widowControl w:val="0"/>
        <w:ind w:left="1080"/>
        <w:rPr>
          <w:rFonts w:asciiTheme="minorHAnsi" w:hAnsiTheme="minorHAnsi" w:cstheme="minorHAnsi"/>
          <w:sz w:val="22"/>
          <w:szCs w:val="22"/>
          <w:lang w:val="fr-FR"/>
        </w:rPr>
      </w:pPr>
    </w:p>
    <w:p w:rsidR="00F46C7B" w:rsidRPr="00C73365" w:rsidRDefault="00F46C7B" w:rsidP="00434C49">
      <w:pPr>
        <w:pStyle w:val="ConmainL3"/>
        <w:numPr>
          <w:ilvl w:val="3"/>
          <w:numId w:val="96"/>
        </w:numPr>
        <w:spacing w:after="120"/>
        <w:rPr>
          <w:rFonts w:asciiTheme="minorHAnsi" w:hAnsiTheme="minorHAnsi" w:cstheme="minorHAnsi"/>
          <w:i/>
          <w:lang w:val="fr-FR"/>
        </w:rPr>
      </w:pPr>
      <w:r w:rsidRPr="00C73365">
        <w:rPr>
          <w:rFonts w:asciiTheme="minorHAnsi" w:hAnsiTheme="minorHAnsi" w:cstheme="minorHAnsi"/>
          <w:i/>
          <w:lang w:val="fr-FR"/>
        </w:rPr>
        <w:t>Synthèse sur la protection des technologies et candidats-médicaments d’</w:t>
      </w:r>
      <w:r w:rsidR="00EF089C" w:rsidRPr="00C73365">
        <w:rPr>
          <w:rFonts w:asciiTheme="minorHAnsi" w:hAnsiTheme="minorHAnsi" w:cstheme="minorHAnsi"/>
          <w:i/>
          <w:lang w:val="fr-FR"/>
        </w:rPr>
        <w:t>ABIVAX</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w:t>
      </w:r>
      <w:r w:rsidRPr="00C73365">
        <w:rPr>
          <w:rFonts w:asciiTheme="minorHAnsi" w:hAnsiTheme="minorHAnsi" w:cstheme="minorHAnsi"/>
          <w:spacing w:val="60"/>
          <w:lang w:val="fr-FR"/>
        </w:rPr>
        <w:t xml:space="preserve"> </w:t>
      </w:r>
      <w:r w:rsidRPr="00C73365">
        <w:rPr>
          <w:rFonts w:asciiTheme="minorHAnsi" w:hAnsiTheme="minorHAnsi" w:cstheme="minorHAnsi"/>
          <w:lang w:val="fr-FR"/>
        </w:rPr>
        <w:t>portefeuille de brevets de la Société sera amené à être</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complété par</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de nouvelles</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demandes de brevet déposées</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 xml:space="preserve">par </w:t>
      </w:r>
      <w:r w:rsidR="00EF089C" w:rsidRPr="00C73365">
        <w:rPr>
          <w:rFonts w:asciiTheme="minorHAnsi" w:hAnsiTheme="minorHAnsi" w:cstheme="minorHAnsi"/>
          <w:lang w:val="fr-FR"/>
        </w:rPr>
        <w:t>ABIVAX</w:t>
      </w:r>
      <w:r w:rsidRPr="00C73365">
        <w:rPr>
          <w:rFonts w:asciiTheme="minorHAnsi" w:hAnsiTheme="minorHAnsi" w:cstheme="minorHAnsi"/>
          <w:lang w:val="fr-FR"/>
        </w:rPr>
        <w:t>, en fonction des nouvelles molécules issues de ses plateformes technologiques, et de ses futurs accords de licences et de co-développement.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Il</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n’y</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a</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pas</w:t>
      </w:r>
      <w:r w:rsidRPr="00C73365">
        <w:rPr>
          <w:rFonts w:asciiTheme="minorHAnsi" w:hAnsiTheme="minorHAnsi" w:cstheme="minorHAnsi"/>
          <w:spacing w:val="17"/>
          <w:lang w:val="fr-FR"/>
        </w:rPr>
        <w:t xml:space="preserve"> </w:t>
      </w:r>
      <w:r w:rsidRPr="00C73365">
        <w:rPr>
          <w:rFonts w:asciiTheme="minorHAnsi" w:hAnsiTheme="minorHAnsi" w:cstheme="minorHAnsi"/>
          <w:lang w:val="fr-FR"/>
        </w:rPr>
        <w:t>de</w:t>
      </w:r>
      <w:r w:rsidRPr="00C73365">
        <w:rPr>
          <w:rFonts w:asciiTheme="minorHAnsi" w:hAnsiTheme="minorHAnsi" w:cstheme="minorHAnsi"/>
          <w:spacing w:val="18"/>
          <w:lang w:val="fr-FR"/>
        </w:rPr>
        <w:t xml:space="preserve"> </w:t>
      </w:r>
      <w:r w:rsidRPr="00C73365">
        <w:rPr>
          <w:rFonts w:asciiTheme="minorHAnsi" w:hAnsiTheme="minorHAnsi" w:cstheme="minorHAnsi"/>
          <w:lang w:val="fr-FR"/>
        </w:rPr>
        <w:t>certitude</w:t>
      </w:r>
      <w:r w:rsidRPr="00C73365">
        <w:rPr>
          <w:rFonts w:asciiTheme="minorHAnsi" w:hAnsiTheme="minorHAnsi" w:cstheme="minorHAnsi"/>
          <w:spacing w:val="18"/>
          <w:lang w:val="fr-FR"/>
        </w:rPr>
        <w:t xml:space="preserve"> </w:t>
      </w:r>
      <w:r w:rsidRPr="00C73365">
        <w:rPr>
          <w:rFonts w:asciiTheme="minorHAnsi" w:hAnsiTheme="minorHAnsi" w:cstheme="minorHAnsi"/>
          <w:lang w:val="fr-FR"/>
        </w:rPr>
        <w:t>qu’une</w:t>
      </w:r>
      <w:r w:rsidRPr="00C73365">
        <w:rPr>
          <w:rFonts w:asciiTheme="minorHAnsi" w:hAnsiTheme="minorHAnsi" w:cstheme="minorHAnsi"/>
          <w:spacing w:val="18"/>
          <w:lang w:val="fr-FR"/>
        </w:rPr>
        <w:t xml:space="preserve"> </w:t>
      </w:r>
      <w:r w:rsidRPr="00C73365">
        <w:rPr>
          <w:rFonts w:asciiTheme="minorHAnsi" w:hAnsiTheme="minorHAnsi" w:cstheme="minorHAnsi"/>
          <w:lang w:val="fr-FR"/>
        </w:rPr>
        <w:t>demande</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particulière</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donnera</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lieu</w:t>
      </w:r>
      <w:r w:rsidRPr="00C73365">
        <w:rPr>
          <w:rFonts w:asciiTheme="minorHAnsi" w:hAnsiTheme="minorHAnsi" w:cstheme="minorHAnsi"/>
          <w:spacing w:val="20"/>
          <w:lang w:val="fr-FR"/>
        </w:rPr>
        <w:t xml:space="preserve"> </w:t>
      </w:r>
      <w:r w:rsidRPr="00C73365">
        <w:rPr>
          <w:rFonts w:asciiTheme="minorHAnsi" w:hAnsiTheme="minorHAnsi" w:cstheme="minorHAnsi"/>
          <w:lang w:val="fr-FR"/>
        </w:rPr>
        <w:t>à</w:t>
      </w:r>
      <w:r w:rsidRPr="00C73365">
        <w:rPr>
          <w:rFonts w:asciiTheme="minorHAnsi" w:hAnsiTheme="minorHAnsi" w:cstheme="minorHAnsi"/>
          <w:spacing w:val="17"/>
          <w:lang w:val="fr-FR"/>
        </w:rPr>
        <w:t xml:space="preserve"> </w:t>
      </w:r>
      <w:r w:rsidRPr="00C73365">
        <w:rPr>
          <w:rFonts w:asciiTheme="minorHAnsi" w:hAnsiTheme="minorHAnsi" w:cstheme="minorHAnsi"/>
          <w:lang w:val="fr-FR"/>
        </w:rPr>
        <w:t>un</w:t>
      </w:r>
      <w:r w:rsidRPr="00C73365">
        <w:rPr>
          <w:rFonts w:asciiTheme="minorHAnsi" w:hAnsiTheme="minorHAnsi" w:cstheme="minorHAnsi"/>
          <w:spacing w:val="17"/>
          <w:lang w:val="fr-FR"/>
        </w:rPr>
        <w:t xml:space="preserve"> </w:t>
      </w:r>
      <w:r w:rsidRPr="00C73365">
        <w:rPr>
          <w:rFonts w:asciiTheme="minorHAnsi" w:hAnsiTheme="minorHAnsi" w:cstheme="minorHAnsi"/>
          <w:lang w:val="fr-FR"/>
        </w:rPr>
        <w:t>brevet,</w:t>
      </w:r>
      <w:r w:rsidRPr="00C73365">
        <w:rPr>
          <w:rFonts w:asciiTheme="minorHAnsi" w:hAnsiTheme="minorHAnsi" w:cstheme="minorHAnsi"/>
          <w:spacing w:val="17"/>
          <w:lang w:val="fr-FR"/>
        </w:rPr>
        <w:t xml:space="preserve"> </w:t>
      </w:r>
      <w:r w:rsidRPr="00C73365">
        <w:rPr>
          <w:rFonts w:asciiTheme="minorHAnsi" w:hAnsiTheme="minorHAnsi" w:cstheme="minorHAnsi"/>
          <w:lang w:val="fr-FR"/>
        </w:rPr>
        <w:t>ni</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que</w:t>
      </w:r>
      <w:r w:rsidRPr="00C73365">
        <w:rPr>
          <w:rFonts w:asciiTheme="minorHAnsi" w:hAnsiTheme="minorHAnsi" w:cstheme="minorHAnsi"/>
          <w:spacing w:val="17"/>
          <w:lang w:val="fr-FR"/>
        </w:rPr>
        <w:t xml:space="preserve"> </w:t>
      </w:r>
      <w:r w:rsidRPr="00C73365">
        <w:rPr>
          <w:rFonts w:asciiTheme="minorHAnsi" w:hAnsiTheme="minorHAnsi" w:cstheme="minorHAnsi"/>
          <w:lang w:val="fr-FR"/>
        </w:rPr>
        <w:t>la</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portée</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d</w:t>
      </w:r>
      <w:r w:rsidR="004572A0" w:rsidRPr="00C73365">
        <w:rPr>
          <w:rFonts w:asciiTheme="minorHAnsi" w:hAnsiTheme="minorHAnsi" w:cstheme="minorHAnsi"/>
          <w:lang w:val="fr-FR"/>
        </w:rPr>
        <w:t>’</w:t>
      </w:r>
      <w:r w:rsidRPr="00C73365">
        <w:rPr>
          <w:rFonts w:asciiTheme="minorHAnsi" w:hAnsiTheme="minorHAnsi" w:cstheme="minorHAnsi"/>
          <w:lang w:val="fr-FR"/>
        </w:rPr>
        <w:t>un</w:t>
      </w:r>
      <w:r w:rsidRPr="00C73365">
        <w:rPr>
          <w:rFonts w:asciiTheme="minorHAnsi" w:hAnsiTheme="minorHAnsi" w:cstheme="minorHAnsi"/>
          <w:spacing w:val="19"/>
          <w:lang w:val="fr-FR"/>
        </w:rPr>
        <w:t xml:space="preserve"> </w:t>
      </w:r>
      <w:r w:rsidRPr="00C73365">
        <w:rPr>
          <w:rFonts w:asciiTheme="minorHAnsi" w:hAnsiTheme="minorHAnsi" w:cstheme="minorHAnsi"/>
          <w:lang w:val="fr-FR"/>
        </w:rPr>
        <w:t>brevet</w:t>
      </w:r>
      <w:r w:rsidRPr="00C73365">
        <w:rPr>
          <w:rFonts w:asciiTheme="minorHAnsi" w:hAnsiTheme="minorHAnsi" w:cstheme="minorHAnsi"/>
          <w:spacing w:val="68"/>
          <w:lang w:val="fr-FR"/>
        </w:rPr>
        <w:t xml:space="preserve"> </w:t>
      </w:r>
      <w:r w:rsidRPr="00C73365">
        <w:rPr>
          <w:rFonts w:asciiTheme="minorHAnsi" w:hAnsiTheme="minorHAnsi" w:cstheme="minorHAnsi"/>
          <w:lang w:val="fr-FR"/>
        </w:rPr>
        <w:t xml:space="preserve">accordé </w:t>
      </w:r>
      <w:r w:rsidRPr="00C73365">
        <w:rPr>
          <w:rFonts w:asciiTheme="minorHAnsi" w:hAnsiTheme="minorHAnsi" w:cstheme="minorHAnsi"/>
          <w:spacing w:val="-2"/>
          <w:lang w:val="fr-FR"/>
        </w:rPr>
        <w:t>confèrera</w:t>
      </w:r>
      <w:r w:rsidRPr="00C73365">
        <w:rPr>
          <w:rFonts w:asciiTheme="minorHAnsi" w:hAnsiTheme="minorHAnsi" w:cstheme="minorHAnsi"/>
          <w:lang w:val="fr-FR"/>
        </w:rPr>
        <w:t xml:space="preserve"> à la Société un avantage compétitif ou qu</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il ne sera pas contesté ou </w:t>
      </w:r>
      <w:r w:rsidRPr="00C73365">
        <w:rPr>
          <w:rFonts w:asciiTheme="minorHAnsi" w:hAnsiTheme="minorHAnsi" w:cstheme="minorHAnsi"/>
          <w:spacing w:val="-2"/>
          <w:lang w:val="fr-FR"/>
        </w:rPr>
        <w:t xml:space="preserve">contourné.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On ne peut également exclure des modifications de la législation ou de la réglementation sur les brevets qui pourraient éventuellement avoir une incidence sur le portefeuille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dans le</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futur. Cependant, la Société estime que le spectre de couverture des candidats-médicaments de la Société, des différentes indications ainsi que des procédés de fabrication est très large, et devrait ainsi assurer une position concurrentielle de premier rang à la Société.</w:t>
      </w:r>
    </w:p>
    <w:p w:rsidR="00F46C7B" w:rsidRPr="006A05A6" w:rsidRDefault="00F46C7B" w:rsidP="004572A0">
      <w:pPr>
        <w:pStyle w:val="BodyText"/>
        <w:rPr>
          <w:rFonts w:asciiTheme="minorHAnsi" w:hAnsiTheme="minorHAnsi" w:cstheme="minorHAnsi"/>
          <w:lang w:val="fr-FR"/>
        </w:rPr>
      </w:pPr>
      <w:r w:rsidRPr="006A05A6">
        <w:rPr>
          <w:rFonts w:asciiTheme="minorHAnsi" w:hAnsiTheme="minorHAnsi" w:cstheme="minorHAnsi"/>
          <w:lang w:val="fr-FR"/>
        </w:rPr>
        <w:t xml:space="preserve">Le tableau ci-dessous détaille le nombre de brevets accordés ainsi que les demandes : </w:t>
      </w:r>
      <w:r w:rsidRPr="006A05A6">
        <w:rPr>
          <w:rFonts w:asciiTheme="minorHAnsi" w:hAnsiTheme="minorHAnsi" w:cstheme="minorHAnsi"/>
          <w:lang w:val="fr-FR"/>
        </w:rPr>
        <w:tab/>
      </w:r>
    </w:p>
    <w:tbl>
      <w:tblPr>
        <w:tblW w:w="7737" w:type="dxa"/>
        <w:tblCellMar>
          <w:left w:w="70" w:type="dxa"/>
          <w:right w:w="70" w:type="dxa"/>
        </w:tblCellMar>
        <w:tblLook w:val="04A0" w:firstRow="1" w:lastRow="0" w:firstColumn="1" w:lastColumn="0" w:noHBand="0" w:noVBand="1"/>
      </w:tblPr>
      <w:tblGrid>
        <w:gridCol w:w="3466"/>
        <w:gridCol w:w="214"/>
        <w:gridCol w:w="1134"/>
        <w:gridCol w:w="214"/>
        <w:gridCol w:w="1134"/>
        <w:gridCol w:w="214"/>
        <w:gridCol w:w="1361"/>
      </w:tblGrid>
      <w:tr w:rsidR="00F46C7B" w:rsidRPr="008C1A4A" w:rsidTr="006A05A6">
        <w:trPr>
          <w:trHeight w:val="314"/>
        </w:trPr>
        <w:tc>
          <w:tcPr>
            <w:tcW w:w="3466" w:type="dxa"/>
            <w:tcBorders>
              <w:top w:val="single" w:sz="12" w:space="0" w:color="7030A0"/>
              <w:left w:val="nil"/>
              <w:bottom w:val="single" w:sz="8" w:space="0" w:color="7030A0"/>
              <w:right w:val="nil"/>
            </w:tcBorders>
            <w:shd w:val="clear" w:color="auto" w:fill="auto"/>
            <w:vAlign w:val="center"/>
            <w:hideMark/>
          </w:tcPr>
          <w:p w:rsidR="00F46C7B" w:rsidRPr="006A05A6" w:rsidRDefault="00F46C7B">
            <w:pPr>
              <w:rPr>
                <w:rFonts w:asciiTheme="minorHAnsi" w:hAnsiTheme="minorHAnsi" w:cstheme="minorHAnsi"/>
                <w:b/>
                <w:bCs/>
                <w:color w:val="000000"/>
                <w:szCs w:val="20"/>
                <w:lang w:val="fr-FR" w:eastAsia="fr-FR"/>
              </w:rPr>
            </w:pPr>
            <w:r w:rsidRPr="006A05A6">
              <w:rPr>
                <w:rFonts w:asciiTheme="minorHAnsi" w:hAnsiTheme="minorHAnsi" w:cstheme="minorHAnsi"/>
                <w:b/>
                <w:bCs/>
                <w:color w:val="000000"/>
                <w:szCs w:val="20"/>
                <w:lang w:val="fr-FR" w:eastAsia="fr-FR"/>
              </w:rPr>
              <w:t>Technologie</w:t>
            </w:r>
          </w:p>
        </w:tc>
        <w:tc>
          <w:tcPr>
            <w:tcW w:w="214" w:type="dxa"/>
            <w:tcBorders>
              <w:top w:val="nil"/>
              <w:left w:val="nil"/>
              <w:bottom w:val="nil"/>
              <w:right w:val="nil"/>
            </w:tcBorders>
            <w:shd w:val="clear" w:color="auto" w:fill="auto"/>
            <w:vAlign w:val="center"/>
            <w:hideMark/>
          </w:tcPr>
          <w:p w:rsidR="00F46C7B" w:rsidRPr="006A05A6" w:rsidRDefault="00F46C7B">
            <w:pPr>
              <w:rPr>
                <w:rFonts w:asciiTheme="minorHAnsi" w:hAnsiTheme="minorHAnsi" w:cstheme="minorHAnsi"/>
                <w:b/>
                <w:bCs/>
                <w:color w:val="000000"/>
                <w:szCs w:val="20"/>
                <w:lang w:val="fr-FR" w:eastAsia="fr-FR"/>
              </w:rPr>
            </w:pPr>
          </w:p>
        </w:tc>
        <w:tc>
          <w:tcPr>
            <w:tcW w:w="1134" w:type="dxa"/>
            <w:tcBorders>
              <w:top w:val="single" w:sz="12" w:space="0" w:color="7030A0"/>
              <w:left w:val="nil"/>
              <w:bottom w:val="single" w:sz="8" w:space="0" w:color="7030A0"/>
              <w:right w:val="nil"/>
            </w:tcBorders>
            <w:shd w:val="clear" w:color="auto" w:fill="auto"/>
            <w:vAlign w:val="center"/>
            <w:hideMark/>
          </w:tcPr>
          <w:p w:rsidR="00F46C7B" w:rsidRPr="006A05A6" w:rsidRDefault="00F46C7B">
            <w:pPr>
              <w:jc w:val="center"/>
              <w:rPr>
                <w:rFonts w:asciiTheme="minorHAnsi" w:hAnsiTheme="minorHAnsi" w:cstheme="minorHAnsi"/>
                <w:b/>
                <w:bCs/>
                <w:color w:val="000000"/>
                <w:szCs w:val="20"/>
                <w:lang w:val="fr-FR" w:eastAsia="fr-FR"/>
              </w:rPr>
            </w:pPr>
            <w:r w:rsidRPr="006A05A6">
              <w:rPr>
                <w:rFonts w:asciiTheme="minorHAnsi" w:hAnsiTheme="minorHAnsi" w:cstheme="minorHAnsi"/>
                <w:b/>
                <w:bCs/>
                <w:color w:val="000000"/>
                <w:szCs w:val="20"/>
                <w:lang w:val="fr-FR" w:eastAsia="fr-FR"/>
              </w:rPr>
              <w:t>Familles</w:t>
            </w:r>
          </w:p>
        </w:tc>
        <w:tc>
          <w:tcPr>
            <w:tcW w:w="214" w:type="dxa"/>
            <w:tcBorders>
              <w:top w:val="nil"/>
              <w:left w:val="nil"/>
              <w:bottom w:val="nil"/>
              <w:right w:val="nil"/>
            </w:tcBorders>
            <w:shd w:val="clear" w:color="auto" w:fill="auto"/>
            <w:vAlign w:val="center"/>
            <w:hideMark/>
          </w:tcPr>
          <w:p w:rsidR="00F46C7B" w:rsidRPr="006A05A6" w:rsidRDefault="00F46C7B">
            <w:pPr>
              <w:jc w:val="center"/>
              <w:rPr>
                <w:rFonts w:asciiTheme="minorHAnsi" w:hAnsiTheme="minorHAnsi" w:cstheme="minorHAnsi"/>
                <w:b/>
                <w:bCs/>
                <w:color w:val="000000"/>
                <w:szCs w:val="20"/>
                <w:lang w:val="fr-FR" w:eastAsia="fr-FR"/>
              </w:rPr>
            </w:pPr>
          </w:p>
        </w:tc>
        <w:tc>
          <w:tcPr>
            <w:tcW w:w="1134" w:type="dxa"/>
            <w:tcBorders>
              <w:top w:val="single" w:sz="12" w:space="0" w:color="7030A0"/>
              <w:left w:val="nil"/>
              <w:bottom w:val="single" w:sz="8" w:space="0" w:color="7030A0"/>
              <w:right w:val="nil"/>
            </w:tcBorders>
            <w:shd w:val="clear" w:color="auto" w:fill="auto"/>
            <w:vAlign w:val="center"/>
            <w:hideMark/>
          </w:tcPr>
          <w:p w:rsidR="00F46C7B" w:rsidRPr="006A05A6" w:rsidRDefault="00F46C7B">
            <w:pPr>
              <w:jc w:val="center"/>
              <w:rPr>
                <w:rFonts w:asciiTheme="minorHAnsi" w:hAnsiTheme="minorHAnsi" w:cstheme="minorHAnsi"/>
                <w:b/>
                <w:bCs/>
                <w:color w:val="000000"/>
                <w:szCs w:val="20"/>
                <w:lang w:val="fr-FR" w:eastAsia="fr-FR"/>
              </w:rPr>
            </w:pPr>
            <w:r w:rsidRPr="006A05A6">
              <w:rPr>
                <w:rFonts w:asciiTheme="minorHAnsi" w:hAnsiTheme="minorHAnsi" w:cstheme="minorHAnsi"/>
                <w:b/>
                <w:bCs/>
                <w:color w:val="000000"/>
                <w:szCs w:val="20"/>
                <w:lang w:val="fr-FR" w:eastAsia="fr-FR"/>
              </w:rPr>
              <w:t xml:space="preserve">Brevets </w:t>
            </w:r>
          </w:p>
          <w:p w:rsidR="00F46C7B" w:rsidRPr="006A05A6" w:rsidRDefault="00F46C7B">
            <w:pPr>
              <w:jc w:val="center"/>
              <w:rPr>
                <w:rFonts w:asciiTheme="minorHAnsi" w:hAnsiTheme="minorHAnsi" w:cstheme="minorHAnsi"/>
                <w:b/>
                <w:bCs/>
                <w:color w:val="000000"/>
                <w:szCs w:val="20"/>
                <w:lang w:val="fr-FR" w:eastAsia="fr-FR"/>
              </w:rPr>
            </w:pPr>
            <w:r w:rsidRPr="006A05A6">
              <w:rPr>
                <w:rFonts w:asciiTheme="minorHAnsi" w:hAnsiTheme="minorHAnsi" w:cstheme="minorHAnsi"/>
                <w:b/>
                <w:bCs/>
                <w:color w:val="000000"/>
                <w:szCs w:val="20"/>
                <w:lang w:val="fr-FR" w:eastAsia="fr-FR"/>
              </w:rPr>
              <w:t>délivrés</w:t>
            </w:r>
          </w:p>
        </w:tc>
        <w:tc>
          <w:tcPr>
            <w:tcW w:w="214" w:type="dxa"/>
            <w:tcBorders>
              <w:top w:val="nil"/>
              <w:left w:val="nil"/>
              <w:bottom w:val="nil"/>
              <w:right w:val="nil"/>
            </w:tcBorders>
            <w:shd w:val="clear" w:color="auto" w:fill="auto"/>
            <w:vAlign w:val="center"/>
            <w:hideMark/>
          </w:tcPr>
          <w:p w:rsidR="00F46C7B" w:rsidRPr="006A05A6" w:rsidRDefault="00F46C7B">
            <w:pPr>
              <w:jc w:val="center"/>
              <w:rPr>
                <w:rFonts w:asciiTheme="minorHAnsi" w:hAnsiTheme="minorHAnsi" w:cstheme="minorHAnsi"/>
                <w:b/>
                <w:bCs/>
                <w:color w:val="000000"/>
                <w:szCs w:val="20"/>
                <w:lang w:val="fr-FR" w:eastAsia="fr-FR"/>
              </w:rPr>
            </w:pPr>
          </w:p>
        </w:tc>
        <w:tc>
          <w:tcPr>
            <w:tcW w:w="1361" w:type="dxa"/>
            <w:tcBorders>
              <w:top w:val="single" w:sz="12" w:space="0" w:color="7030A0"/>
              <w:left w:val="nil"/>
              <w:bottom w:val="single" w:sz="8" w:space="0" w:color="7030A0"/>
              <w:right w:val="nil"/>
            </w:tcBorders>
            <w:shd w:val="clear" w:color="auto" w:fill="auto"/>
            <w:vAlign w:val="center"/>
            <w:hideMark/>
          </w:tcPr>
          <w:p w:rsidR="00F46C7B" w:rsidRPr="006A05A6" w:rsidRDefault="00F46C7B">
            <w:pPr>
              <w:jc w:val="center"/>
              <w:rPr>
                <w:rFonts w:asciiTheme="minorHAnsi" w:hAnsiTheme="minorHAnsi" w:cstheme="minorHAnsi"/>
                <w:b/>
                <w:bCs/>
                <w:color w:val="000000"/>
                <w:szCs w:val="20"/>
                <w:lang w:val="fr-FR" w:eastAsia="fr-FR"/>
              </w:rPr>
            </w:pPr>
            <w:r w:rsidRPr="006A05A6">
              <w:rPr>
                <w:rFonts w:asciiTheme="minorHAnsi" w:hAnsiTheme="minorHAnsi" w:cstheme="minorHAnsi"/>
                <w:b/>
                <w:bCs/>
                <w:color w:val="000000"/>
                <w:szCs w:val="20"/>
                <w:lang w:val="fr-FR" w:eastAsia="fr-FR"/>
              </w:rPr>
              <w:t>Demandes de brevets en cours d’examen</w:t>
            </w:r>
          </w:p>
        </w:tc>
      </w:tr>
      <w:tr w:rsidR="00F46C7B" w:rsidRPr="006A05A6" w:rsidTr="00670C89">
        <w:trPr>
          <w:trHeight w:val="133"/>
        </w:trPr>
        <w:tc>
          <w:tcPr>
            <w:tcW w:w="3466" w:type="dxa"/>
            <w:tcBorders>
              <w:top w:val="nil"/>
              <w:left w:val="nil"/>
              <w:bottom w:val="nil"/>
              <w:right w:val="nil"/>
            </w:tcBorders>
            <w:shd w:val="clear" w:color="auto" w:fill="auto"/>
            <w:noWrap/>
            <w:vAlign w:val="bottom"/>
            <w:hideMark/>
          </w:tcPr>
          <w:p w:rsidR="00F46C7B" w:rsidRPr="006A05A6" w:rsidRDefault="00F46C7B">
            <w:pPr>
              <w:rPr>
                <w:rFonts w:asciiTheme="minorHAnsi" w:hAnsiTheme="minorHAnsi" w:cstheme="minorHAnsi"/>
                <w:color w:val="000000"/>
                <w:szCs w:val="20"/>
                <w:lang w:val="fr-FR" w:eastAsia="fr-FR"/>
              </w:rPr>
            </w:pPr>
            <w:r w:rsidRPr="006A05A6">
              <w:rPr>
                <w:rFonts w:asciiTheme="minorHAnsi" w:hAnsiTheme="minorHAnsi" w:cstheme="minorHAnsi"/>
                <w:color w:val="000000"/>
                <w:szCs w:val="20"/>
                <w:lang w:val="fr-FR" w:eastAsia="fr-FR"/>
              </w:rPr>
              <w:t>Plateforme « Antivirale »</w:t>
            </w:r>
          </w:p>
        </w:tc>
        <w:tc>
          <w:tcPr>
            <w:tcW w:w="214" w:type="dxa"/>
            <w:tcBorders>
              <w:top w:val="nil"/>
              <w:left w:val="nil"/>
              <w:bottom w:val="nil"/>
              <w:right w:val="nil"/>
            </w:tcBorders>
            <w:shd w:val="clear" w:color="auto" w:fill="auto"/>
            <w:noWrap/>
            <w:vAlign w:val="bottom"/>
            <w:hideMark/>
          </w:tcPr>
          <w:p w:rsidR="00F46C7B" w:rsidRPr="006A05A6" w:rsidRDefault="00F46C7B">
            <w:pPr>
              <w:rPr>
                <w:rFonts w:asciiTheme="minorHAnsi" w:hAnsiTheme="minorHAnsi" w:cstheme="minorHAnsi"/>
                <w:color w:val="000000"/>
                <w:szCs w:val="20"/>
                <w:lang w:val="fr-FR" w:eastAsia="fr-FR"/>
              </w:rPr>
            </w:pPr>
          </w:p>
        </w:tc>
        <w:tc>
          <w:tcPr>
            <w:tcW w:w="1134" w:type="dxa"/>
            <w:tcBorders>
              <w:top w:val="nil"/>
              <w:left w:val="nil"/>
              <w:bottom w:val="nil"/>
              <w:right w:val="nil"/>
            </w:tcBorders>
            <w:shd w:val="clear" w:color="auto" w:fill="auto"/>
            <w:noWrap/>
            <w:vAlign w:val="bottom"/>
            <w:hideMark/>
          </w:tcPr>
          <w:p w:rsidR="00F46C7B" w:rsidRPr="006A05A6" w:rsidRDefault="001061C2">
            <w:pPr>
              <w:jc w:val="center"/>
              <w:rPr>
                <w:rFonts w:asciiTheme="minorHAnsi" w:hAnsiTheme="minorHAnsi" w:cstheme="minorHAnsi"/>
                <w:color w:val="000000"/>
                <w:szCs w:val="20"/>
                <w:lang w:val="fr-FR" w:eastAsia="fr-FR"/>
              </w:rPr>
            </w:pPr>
            <w:r w:rsidRPr="006A05A6">
              <w:rPr>
                <w:rFonts w:asciiTheme="minorHAnsi" w:hAnsiTheme="minorHAnsi" w:cstheme="minorHAnsi"/>
                <w:color w:val="000000"/>
                <w:szCs w:val="20"/>
                <w:lang w:val="fr-FR" w:eastAsia="fr-FR"/>
              </w:rPr>
              <w:t>20</w:t>
            </w:r>
          </w:p>
        </w:tc>
        <w:tc>
          <w:tcPr>
            <w:tcW w:w="214" w:type="dxa"/>
            <w:tcBorders>
              <w:top w:val="nil"/>
              <w:left w:val="nil"/>
              <w:bottom w:val="nil"/>
              <w:right w:val="nil"/>
            </w:tcBorders>
            <w:shd w:val="clear" w:color="auto" w:fill="auto"/>
            <w:noWrap/>
            <w:vAlign w:val="bottom"/>
            <w:hideMark/>
          </w:tcPr>
          <w:p w:rsidR="00F46C7B" w:rsidRPr="006A05A6" w:rsidRDefault="00F46C7B">
            <w:pPr>
              <w:jc w:val="center"/>
              <w:rPr>
                <w:rFonts w:asciiTheme="minorHAnsi" w:hAnsiTheme="minorHAnsi" w:cstheme="minorHAnsi"/>
                <w:color w:val="000000"/>
                <w:szCs w:val="20"/>
                <w:lang w:val="fr-FR" w:eastAsia="fr-FR"/>
              </w:rPr>
            </w:pPr>
          </w:p>
        </w:tc>
        <w:tc>
          <w:tcPr>
            <w:tcW w:w="1134" w:type="dxa"/>
            <w:tcBorders>
              <w:top w:val="nil"/>
              <w:left w:val="nil"/>
              <w:bottom w:val="nil"/>
              <w:right w:val="nil"/>
            </w:tcBorders>
            <w:shd w:val="clear" w:color="auto" w:fill="auto"/>
            <w:noWrap/>
            <w:vAlign w:val="bottom"/>
            <w:hideMark/>
          </w:tcPr>
          <w:p w:rsidR="00F46C7B" w:rsidRPr="00F13EDA" w:rsidRDefault="001061C2">
            <w:pPr>
              <w:jc w:val="center"/>
              <w:rPr>
                <w:rFonts w:asciiTheme="minorHAnsi" w:hAnsiTheme="minorHAnsi" w:cstheme="minorHAnsi"/>
                <w:color w:val="000000"/>
                <w:szCs w:val="20"/>
                <w:lang w:val="fr-FR" w:eastAsia="fr-FR"/>
              </w:rPr>
            </w:pPr>
            <w:r w:rsidRPr="00F13EDA">
              <w:rPr>
                <w:rFonts w:asciiTheme="minorHAnsi" w:hAnsiTheme="minorHAnsi" w:cstheme="minorHAnsi"/>
                <w:color w:val="000000"/>
                <w:szCs w:val="20"/>
                <w:lang w:val="fr-FR" w:eastAsia="fr-FR"/>
              </w:rPr>
              <w:t>121</w:t>
            </w:r>
          </w:p>
        </w:tc>
        <w:tc>
          <w:tcPr>
            <w:tcW w:w="214" w:type="dxa"/>
            <w:tcBorders>
              <w:top w:val="nil"/>
              <w:left w:val="nil"/>
              <w:bottom w:val="nil"/>
              <w:right w:val="nil"/>
            </w:tcBorders>
            <w:shd w:val="clear" w:color="auto" w:fill="auto"/>
            <w:noWrap/>
            <w:vAlign w:val="bottom"/>
            <w:hideMark/>
          </w:tcPr>
          <w:p w:rsidR="00F46C7B" w:rsidRPr="00670C89" w:rsidRDefault="00F46C7B">
            <w:pPr>
              <w:jc w:val="center"/>
              <w:rPr>
                <w:rFonts w:asciiTheme="minorHAnsi" w:hAnsiTheme="minorHAnsi" w:cstheme="minorHAnsi"/>
                <w:color w:val="000000"/>
                <w:szCs w:val="20"/>
                <w:lang w:val="fr-FR" w:eastAsia="fr-FR"/>
              </w:rPr>
            </w:pPr>
          </w:p>
        </w:tc>
        <w:tc>
          <w:tcPr>
            <w:tcW w:w="1361" w:type="dxa"/>
            <w:tcBorders>
              <w:top w:val="nil"/>
              <w:left w:val="nil"/>
              <w:bottom w:val="nil"/>
              <w:right w:val="nil"/>
            </w:tcBorders>
            <w:shd w:val="clear" w:color="auto" w:fill="auto"/>
            <w:noWrap/>
            <w:vAlign w:val="bottom"/>
            <w:hideMark/>
          </w:tcPr>
          <w:p w:rsidR="00F46C7B" w:rsidRPr="00670C89" w:rsidRDefault="001061C2">
            <w:pPr>
              <w:jc w:val="center"/>
              <w:rPr>
                <w:rFonts w:asciiTheme="minorHAnsi" w:hAnsiTheme="minorHAnsi" w:cstheme="minorHAnsi"/>
                <w:color w:val="000000"/>
                <w:szCs w:val="20"/>
                <w:lang w:val="fr-FR" w:eastAsia="fr-FR"/>
              </w:rPr>
            </w:pPr>
            <w:r w:rsidRPr="00F13EDA">
              <w:rPr>
                <w:rFonts w:asciiTheme="minorHAnsi" w:hAnsiTheme="minorHAnsi" w:cstheme="minorHAnsi"/>
                <w:color w:val="000000"/>
                <w:szCs w:val="20"/>
                <w:lang w:val="fr-FR" w:eastAsia="fr-FR"/>
              </w:rPr>
              <w:t>118</w:t>
            </w:r>
          </w:p>
        </w:tc>
      </w:tr>
      <w:tr w:rsidR="00F46C7B" w:rsidRPr="006A05A6" w:rsidTr="00670C89">
        <w:trPr>
          <w:trHeight w:val="133"/>
        </w:trPr>
        <w:tc>
          <w:tcPr>
            <w:tcW w:w="3466" w:type="dxa"/>
            <w:tcBorders>
              <w:top w:val="nil"/>
              <w:left w:val="nil"/>
              <w:right w:val="nil"/>
            </w:tcBorders>
            <w:shd w:val="clear" w:color="auto" w:fill="auto"/>
            <w:noWrap/>
            <w:vAlign w:val="bottom"/>
            <w:hideMark/>
          </w:tcPr>
          <w:p w:rsidR="00F46C7B" w:rsidRPr="006A05A6" w:rsidRDefault="00F46C7B">
            <w:pPr>
              <w:rPr>
                <w:rFonts w:asciiTheme="minorHAnsi" w:hAnsiTheme="minorHAnsi" w:cstheme="minorHAnsi"/>
                <w:color w:val="000000"/>
                <w:szCs w:val="20"/>
                <w:lang w:val="fr-FR" w:eastAsia="fr-FR"/>
              </w:rPr>
            </w:pPr>
            <w:r w:rsidRPr="006A05A6">
              <w:rPr>
                <w:rFonts w:asciiTheme="minorHAnsi" w:hAnsiTheme="minorHAnsi" w:cstheme="minorHAnsi"/>
                <w:color w:val="000000"/>
                <w:szCs w:val="20"/>
                <w:lang w:val="fr-FR" w:eastAsia="fr-FR"/>
              </w:rPr>
              <w:t>Plateforme « Stimulation Immunitaire »</w:t>
            </w:r>
          </w:p>
        </w:tc>
        <w:tc>
          <w:tcPr>
            <w:tcW w:w="214" w:type="dxa"/>
            <w:tcBorders>
              <w:top w:val="nil"/>
              <w:left w:val="nil"/>
              <w:bottom w:val="nil"/>
              <w:right w:val="nil"/>
            </w:tcBorders>
            <w:shd w:val="clear" w:color="auto" w:fill="auto"/>
            <w:noWrap/>
            <w:vAlign w:val="bottom"/>
            <w:hideMark/>
          </w:tcPr>
          <w:p w:rsidR="00F46C7B" w:rsidRPr="006A05A6" w:rsidRDefault="00F46C7B">
            <w:pPr>
              <w:rPr>
                <w:rFonts w:asciiTheme="minorHAnsi" w:hAnsiTheme="minorHAnsi" w:cstheme="minorHAnsi"/>
                <w:color w:val="000000"/>
                <w:szCs w:val="20"/>
                <w:lang w:val="fr-FR" w:eastAsia="fr-FR"/>
              </w:rPr>
            </w:pPr>
          </w:p>
        </w:tc>
        <w:tc>
          <w:tcPr>
            <w:tcW w:w="1134" w:type="dxa"/>
            <w:tcBorders>
              <w:top w:val="nil"/>
              <w:left w:val="nil"/>
              <w:right w:val="nil"/>
            </w:tcBorders>
            <w:shd w:val="clear" w:color="auto" w:fill="auto"/>
            <w:noWrap/>
            <w:vAlign w:val="bottom"/>
            <w:hideMark/>
          </w:tcPr>
          <w:p w:rsidR="00F46C7B" w:rsidRPr="006A05A6" w:rsidRDefault="006A05A6">
            <w:pPr>
              <w:jc w:val="center"/>
              <w:rPr>
                <w:rFonts w:asciiTheme="minorHAnsi" w:hAnsiTheme="minorHAnsi" w:cstheme="minorHAnsi"/>
                <w:color w:val="000000"/>
                <w:szCs w:val="20"/>
                <w:lang w:val="fr-FR" w:eastAsia="fr-FR"/>
              </w:rPr>
            </w:pPr>
            <w:r w:rsidRPr="006A05A6">
              <w:rPr>
                <w:rFonts w:asciiTheme="minorHAnsi" w:hAnsiTheme="minorHAnsi" w:cstheme="minorHAnsi"/>
                <w:color w:val="000000"/>
                <w:szCs w:val="20"/>
                <w:lang w:val="fr-FR" w:eastAsia="fr-FR"/>
              </w:rPr>
              <w:t>5</w:t>
            </w:r>
          </w:p>
        </w:tc>
        <w:tc>
          <w:tcPr>
            <w:tcW w:w="214" w:type="dxa"/>
            <w:tcBorders>
              <w:top w:val="nil"/>
              <w:left w:val="nil"/>
              <w:bottom w:val="nil"/>
              <w:right w:val="nil"/>
            </w:tcBorders>
            <w:shd w:val="clear" w:color="auto" w:fill="auto"/>
            <w:noWrap/>
            <w:vAlign w:val="bottom"/>
            <w:hideMark/>
          </w:tcPr>
          <w:p w:rsidR="00F46C7B" w:rsidRPr="006A05A6" w:rsidRDefault="00F46C7B">
            <w:pPr>
              <w:jc w:val="center"/>
              <w:rPr>
                <w:rFonts w:asciiTheme="minorHAnsi" w:hAnsiTheme="minorHAnsi" w:cstheme="minorHAnsi"/>
                <w:color w:val="000000"/>
                <w:szCs w:val="20"/>
                <w:lang w:val="fr-FR" w:eastAsia="fr-FR"/>
              </w:rPr>
            </w:pPr>
          </w:p>
        </w:tc>
        <w:tc>
          <w:tcPr>
            <w:tcW w:w="1134" w:type="dxa"/>
            <w:tcBorders>
              <w:top w:val="nil"/>
              <w:left w:val="nil"/>
              <w:right w:val="nil"/>
            </w:tcBorders>
            <w:shd w:val="clear" w:color="auto" w:fill="auto"/>
            <w:noWrap/>
            <w:vAlign w:val="bottom"/>
            <w:hideMark/>
          </w:tcPr>
          <w:p w:rsidR="00F46C7B" w:rsidRPr="00F13EDA" w:rsidRDefault="00464BF8">
            <w:pPr>
              <w:jc w:val="center"/>
              <w:rPr>
                <w:rFonts w:asciiTheme="minorHAnsi" w:hAnsiTheme="minorHAnsi" w:cstheme="minorHAnsi"/>
                <w:color w:val="000000"/>
                <w:szCs w:val="20"/>
                <w:lang w:val="fr-FR" w:eastAsia="fr-FR"/>
              </w:rPr>
            </w:pPr>
            <w:r w:rsidRPr="00F13EDA">
              <w:rPr>
                <w:rFonts w:asciiTheme="minorHAnsi" w:hAnsiTheme="minorHAnsi" w:cstheme="minorHAnsi"/>
                <w:color w:val="000000"/>
                <w:szCs w:val="20"/>
                <w:lang w:val="fr-FR" w:eastAsia="fr-FR"/>
              </w:rPr>
              <w:t>96</w:t>
            </w:r>
          </w:p>
        </w:tc>
        <w:tc>
          <w:tcPr>
            <w:tcW w:w="214" w:type="dxa"/>
            <w:tcBorders>
              <w:top w:val="nil"/>
              <w:left w:val="nil"/>
              <w:bottom w:val="nil"/>
              <w:right w:val="nil"/>
            </w:tcBorders>
            <w:shd w:val="clear" w:color="auto" w:fill="auto"/>
            <w:noWrap/>
            <w:vAlign w:val="bottom"/>
            <w:hideMark/>
          </w:tcPr>
          <w:p w:rsidR="00F46C7B" w:rsidRPr="00670C89" w:rsidRDefault="00F46C7B">
            <w:pPr>
              <w:jc w:val="center"/>
              <w:rPr>
                <w:rFonts w:asciiTheme="minorHAnsi" w:hAnsiTheme="minorHAnsi" w:cstheme="minorHAnsi"/>
                <w:color w:val="000000"/>
                <w:szCs w:val="20"/>
                <w:lang w:val="fr-FR" w:eastAsia="fr-FR"/>
              </w:rPr>
            </w:pPr>
          </w:p>
        </w:tc>
        <w:tc>
          <w:tcPr>
            <w:tcW w:w="1361" w:type="dxa"/>
            <w:tcBorders>
              <w:top w:val="nil"/>
              <w:left w:val="nil"/>
              <w:right w:val="nil"/>
            </w:tcBorders>
            <w:shd w:val="clear" w:color="auto" w:fill="auto"/>
            <w:noWrap/>
            <w:vAlign w:val="bottom"/>
            <w:hideMark/>
          </w:tcPr>
          <w:p w:rsidR="00F46C7B" w:rsidRPr="00670C89" w:rsidRDefault="00464BF8">
            <w:pPr>
              <w:jc w:val="center"/>
              <w:rPr>
                <w:rFonts w:asciiTheme="minorHAnsi" w:hAnsiTheme="minorHAnsi" w:cstheme="minorHAnsi"/>
                <w:color w:val="000000"/>
                <w:szCs w:val="20"/>
                <w:lang w:val="fr-FR" w:eastAsia="fr-FR"/>
              </w:rPr>
            </w:pPr>
            <w:r w:rsidRPr="00670C89">
              <w:rPr>
                <w:rFonts w:asciiTheme="minorHAnsi" w:hAnsiTheme="minorHAnsi" w:cstheme="minorHAnsi"/>
                <w:color w:val="000000"/>
                <w:szCs w:val="20"/>
                <w:lang w:val="fr-FR" w:eastAsia="fr-FR"/>
              </w:rPr>
              <w:t>1</w:t>
            </w:r>
            <w:r w:rsidR="006A05A6" w:rsidRPr="00670C89">
              <w:rPr>
                <w:rFonts w:asciiTheme="minorHAnsi" w:hAnsiTheme="minorHAnsi" w:cstheme="minorHAnsi"/>
                <w:color w:val="000000"/>
                <w:szCs w:val="20"/>
                <w:lang w:val="fr-FR" w:eastAsia="fr-FR"/>
              </w:rPr>
              <w:t>4</w:t>
            </w:r>
          </w:p>
        </w:tc>
      </w:tr>
      <w:tr w:rsidR="00F46C7B" w:rsidRPr="006A05A6" w:rsidTr="006A05A6">
        <w:trPr>
          <w:trHeight w:val="133"/>
        </w:trPr>
        <w:tc>
          <w:tcPr>
            <w:tcW w:w="3466" w:type="dxa"/>
            <w:tcBorders>
              <w:top w:val="nil"/>
              <w:left w:val="nil"/>
              <w:bottom w:val="single" w:sz="4" w:space="0" w:color="7030A0"/>
              <w:right w:val="nil"/>
            </w:tcBorders>
            <w:shd w:val="clear" w:color="auto" w:fill="auto"/>
            <w:noWrap/>
            <w:vAlign w:val="center"/>
          </w:tcPr>
          <w:p w:rsidR="00F46C7B" w:rsidRPr="006A05A6" w:rsidRDefault="00F46C7B">
            <w:pPr>
              <w:rPr>
                <w:rFonts w:asciiTheme="minorHAnsi" w:hAnsiTheme="minorHAnsi" w:cstheme="minorHAnsi"/>
                <w:color w:val="000000"/>
                <w:szCs w:val="20"/>
                <w:lang w:val="fr-FR" w:eastAsia="fr-FR"/>
              </w:rPr>
            </w:pPr>
            <w:r w:rsidRPr="006A05A6">
              <w:rPr>
                <w:rFonts w:asciiTheme="minorHAnsi" w:hAnsiTheme="minorHAnsi" w:cstheme="minorHAnsi"/>
                <w:color w:val="000000"/>
                <w:szCs w:val="20"/>
                <w:lang w:val="fr-FR" w:eastAsia="fr-FR"/>
              </w:rPr>
              <w:t>Plateforme « Anticorps Polyclonaux »</w:t>
            </w:r>
          </w:p>
        </w:tc>
        <w:tc>
          <w:tcPr>
            <w:tcW w:w="214" w:type="dxa"/>
            <w:tcBorders>
              <w:top w:val="nil"/>
              <w:left w:val="nil"/>
              <w:bottom w:val="nil"/>
              <w:right w:val="nil"/>
            </w:tcBorders>
            <w:shd w:val="clear" w:color="auto" w:fill="auto"/>
            <w:noWrap/>
            <w:vAlign w:val="center"/>
          </w:tcPr>
          <w:p w:rsidR="00F46C7B" w:rsidRPr="006A05A6" w:rsidRDefault="00F46C7B">
            <w:pPr>
              <w:rPr>
                <w:rFonts w:asciiTheme="minorHAnsi" w:hAnsiTheme="minorHAnsi" w:cstheme="minorHAnsi"/>
                <w:color w:val="000000"/>
                <w:szCs w:val="20"/>
                <w:lang w:val="fr-FR" w:eastAsia="fr-FR"/>
              </w:rPr>
            </w:pPr>
          </w:p>
        </w:tc>
        <w:tc>
          <w:tcPr>
            <w:tcW w:w="1134" w:type="dxa"/>
            <w:tcBorders>
              <w:top w:val="nil"/>
              <w:left w:val="nil"/>
              <w:bottom w:val="single" w:sz="4" w:space="0" w:color="7030A0"/>
              <w:right w:val="nil"/>
            </w:tcBorders>
            <w:shd w:val="clear" w:color="auto" w:fill="auto"/>
            <w:vAlign w:val="center"/>
          </w:tcPr>
          <w:p w:rsidR="00F46C7B" w:rsidRPr="006A05A6" w:rsidRDefault="00F46C7B">
            <w:pPr>
              <w:jc w:val="center"/>
              <w:rPr>
                <w:rFonts w:asciiTheme="minorHAnsi" w:hAnsiTheme="minorHAnsi" w:cstheme="minorHAnsi"/>
                <w:color w:val="000000"/>
                <w:szCs w:val="20"/>
                <w:lang w:val="fr-FR" w:eastAsia="fr-FR"/>
              </w:rPr>
            </w:pPr>
            <w:r w:rsidRPr="006A05A6">
              <w:rPr>
                <w:rFonts w:asciiTheme="minorHAnsi" w:hAnsiTheme="minorHAnsi" w:cstheme="minorHAnsi"/>
                <w:color w:val="000000"/>
                <w:szCs w:val="20"/>
                <w:lang w:val="fr-FR" w:eastAsia="fr-FR"/>
              </w:rPr>
              <w:t>1</w:t>
            </w:r>
          </w:p>
        </w:tc>
        <w:tc>
          <w:tcPr>
            <w:tcW w:w="214" w:type="dxa"/>
            <w:tcBorders>
              <w:top w:val="nil"/>
              <w:left w:val="nil"/>
              <w:bottom w:val="nil"/>
              <w:right w:val="nil"/>
            </w:tcBorders>
            <w:shd w:val="clear" w:color="auto" w:fill="auto"/>
            <w:vAlign w:val="center"/>
          </w:tcPr>
          <w:p w:rsidR="00F46C7B" w:rsidRPr="006A05A6" w:rsidRDefault="00F46C7B">
            <w:pPr>
              <w:jc w:val="center"/>
              <w:rPr>
                <w:rFonts w:asciiTheme="minorHAnsi" w:hAnsiTheme="minorHAnsi" w:cstheme="minorHAnsi"/>
                <w:color w:val="000000"/>
                <w:szCs w:val="20"/>
                <w:lang w:val="fr-FR" w:eastAsia="fr-FR"/>
              </w:rPr>
            </w:pPr>
          </w:p>
        </w:tc>
        <w:tc>
          <w:tcPr>
            <w:tcW w:w="1134" w:type="dxa"/>
            <w:tcBorders>
              <w:top w:val="nil"/>
              <w:left w:val="nil"/>
              <w:bottom w:val="single" w:sz="4" w:space="0" w:color="7030A0"/>
              <w:right w:val="nil"/>
            </w:tcBorders>
            <w:shd w:val="clear" w:color="auto" w:fill="auto"/>
            <w:vAlign w:val="center"/>
          </w:tcPr>
          <w:p w:rsidR="00F46C7B" w:rsidRPr="00670C89" w:rsidRDefault="00F46C7B">
            <w:pPr>
              <w:jc w:val="center"/>
              <w:rPr>
                <w:rFonts w:asciiTheme="minorHAnsi" w:hAnsiTheme="minorHAnsi" w:cstheme="minorHAnsi"/>
                <w:color w:val="000000"/>
                <w:szCs w:val="20"/>
                <w:lang w:val="fr-FR" w:eastAsia="fr-FR"/>
              </w:rPr>
            </w:pPr>
          </w:p>
        </w:tc>
        <w:tc>
          <w:tcPr>
            <w:tcW w:w="214" w:type="dxa"/>
            <w:tcBorders>
              <w:top w:val="nil"/>
              <w:left w:val="nil"/>
              <w:bottom w:val="nil"/>
              <w:right w:val="nil"/>
            </w:tcBorders>
            <w:shd w:val="clear" w:color="auto" w:fill="auto"/>
            <w:vAlign w:val="center"/>
          </w:tcPr>
          <w:p w:rsidR="00F46C7B" w:rsidRPr="00670C89" w:rsidRDefault="00F46C7B">
            <w:pPr>
              <w:jc w:val="center"/>
              <w:rPr>
                <w:rFonts w:asciiTheme="minorHAnsi" w:hAnsiTheme="minorHAnsi" w:cstheme="minorHAnsi"/>
                <w:color w:val="000000"/>
                <w:szCs w:val="20"/>
                <w:lang w:val="fr-FR" w:eastAsia="fr-FR"/>
              </w:rPr>
            </w:pPr>
          </w:p>
        </w:tc>
        <w:tc>
          <w:tcPr>
            <w:tcW w:w="1361" w:type="dxa"/>
            <w:tcBorders>
              <w:top w:val="nil"/>
              <w:left w:val="nil"/>
              <w:bottom w:val="single" w:sz="4" w:space="0" w:color="7030A0"/>
              <w:right w:val="nil"/>
            </w:tcBorders>
            <w:shd w:val="clear" w:color="auto" w:fill="auto"/>
            <w:vAlign w:val="center"/>
          </w:tcPr>
          <w:p w:rsidR="00F46C7B" w:rsidRPr="00670C89" w:rsidRDefault="00F46C7B">
            <w:pPr>
              <w:jc w:val="center"/>
              <w:rPr>
                <w:rFonts w:asciiTheme="minorHAnsi" w:hAnsiTheme="minorHAnsi" w:cstheme="minorHAnsi"/>
                <w:color w:val="000000"/>
                <w:szCs w:val="20"/>
                <w:lang w:val="fr-FR" w:eastAsia="fr-FR"/>
              </w:rPr>
            </w:pPr>
            <w:r w:rsidRPr="00670C89">
              <w:rPr>
                <w:rFonts w:asciiTheme="minorHAnsi" w:hAnsiTheme="minorHAnsi" w:cstheme="minorHAnsi"/>
                <w:color w:val="000000"/>
                <w:szCs w:val="20"/>
                <w:lang w:val="fr-FR" w:eastAsia="fr-FR"/>
              </w:rPr>
              <w:t>1</w:t>
            </w:r>
          </w:p>
        </w:tc>
      </w:tr>
      <w:tr w:rsidR="00F46C7B" w:rsidRPr="00C73365" w:rsidTr="006A05A6">
        <w:trPr>
          <w:trHeight w:val="397"/>
        </w:trPr>
        <w:tc>
          <w:tcPr>
            <w:tcW w:w="3466" w:type="dxa"/>
            <w:tcBorders>
              <w:top w:val="single" w:sz="4" w:space="0" w:color="7030A0"/>
              <w:left w:val="nil"/>
              <w:bottom w:val="single" w:sz="8" w:space="0" w:color="7030A0"/>
              <w:right w:val="nil"/>
            </w:tcBorders>
            <w:shd w:val="clear" w:color="auto" w:fill="auto"/>
            <w:noWrap/>
            <w:vAlign w:val="center"/>
            <w:hideMark/>
          </w:tcPr>
          <w:p w:rsidR="00F46C7B" w:rsidRPr="006A05A6" w:rsidRDefault="00F46C7B">
            <w:pPr>
              <w:rPr>
                <w:rFonts w:asciiTheme="minorHAnsi" w:hAnsiTheme="minorHAnsi" w:cstheme="minorHAnsi"/>
                <w:b/>
                <w:bCs/>
                <w:color w:val="7030A0"/>
                <w:szCs w:val="20"/>
                <w:lang w:val="fr-FR" w:eastAsia="fr-FR"/>
              </w:rPr>
            </w:pPr>
            <w:r w:rsidRPr="006A05A6">
              <w:rPr>
                <w:rFonts w:asciiTheme="minorHAnsi" w:hAnsiTheme="minorHAnsi" w:cstheme="minorHAnsi"/>
                <w:b/>
                <w:bCs/>
                <w:color w:val="7030A0"/>
                <w:szCs w:val="20"/>
                <w:lang w:val="fr-FR" w:eastAsia="fr-FR"/>
              </w:rPr>
              <w:t>TOTAL</w:t>
            </w:r>
          </w:p>
        </w:tc>
        <w:tc>
          <w:tcPr>
            <w:tcW w:w="214" w:type="dxa"/>
            <w:tcBorders>
              <w:top w:val="nil"/>
              <w:left w:val="nil"/>
              <w:bottom w:val="nil"/>
              <w:right w:val="nil"/>
            </w:tcBorders>
            <w:shd w:val="clear" w:color="auto" w:fill="auto"/>
            <w:vAlign w:val="center"/>
            <w:hideMark/>
          </w:tcPr>
          <w:p w:rsidR="00F46C7B" w:rsidRPr="006A05A6" w:rsidRDefault="00F46C7B">
            <w:pPr>
              <w:rPr>
                <w:rFonts w:asciiTheme="minorHAnsi" w:hAnsiTheme="minorHAnsi" w:cstheme="minorHAnsi"/>
                <w:b/>
                <w:bCs/>
                <w:color w:val="7030A0"/>
                <w:szCs w:val="20"/>
                <w:lang w:val="fr-FR" w:eastAsia="fr-FR"/>
              </w:rPr>
            </w:pPr>
          </w:p>
        </w:tc>
        <w:tc>
          <w:tcPr>
            <w:tcW w:w="1134" w:type="dxa"/>
            <w:tcBorders>
              <w:top w:val="single" w:sz="4" w:space="0" w:color="7030A0"/>
              <w:left w:val="nil"/>
              <w:bottom w:val="single" w:sz="8" w:space="0" w:color="7030A0"/>
              <w:right w:val="nil"/>
            </w:tcBorders>
            <w:shd w:val="clear" w:color="auto" w:fill="auto"/>
            <w:vAlign w:val="center"/>
            <w:hideMark/>
          </w:tcPr>
          <w:p w:rsidR="00F46C7B" w:rsidRPr="006A05A6" w:rsidRDefault="001061C2">
            <w:pPr>
              <w:jc w:val="center"/>
              <w:rPr>
                <w:rFonts w:asciiTheme="minorHAnsi" w:hAnsiTheme="minorHAnsi" w:cstheme="minorHAnsi"/>
                <w:b/>
                <w:bCs/>
                <w:color w:val="7030A0"/>
                <w:szCs w:val="20"/>
                <w:lang w:val="fr-FR" w:eastAsia="fr-FR"/>
              </w:rPr>
            </w:pPr>
            <w:r w:rsidRPr="006A05A6">
              <w:rPr>
                <w:rFonts w:asciiTheme="minorHAnsi" w:hAnsiTheme="minorHAnsi" w:cstheme="minorHAnsi"/>
                <w:b/>
                <w:bCs/>
                <w:color w:val="7030A0"/>
                <w:szCs w:val="20"/>
                <w:lang w:val="fr-FR" w:eastAsia="fr-FR"/>
              </w:rPr>
              <w:t>2</w:t>
            </w:r>
            <w:r w:rsidR="00294ACE">
              <w:rPr>
                <w:rFonts w:asciiTheme="minorHAnsi" w:hAnsiTheme="minorHAnsi" w:cstheme="minorHAnsi"/>
                <w:b/>
                <w:bCs/>
                <w:color w:val="7030A0"/>
                <w:szCs w:val="20"/>
                <w:lang w:val="fr-FR" w:eastAsia="fr-FR"/>
              </w:rPr>
              <w:t>6</w:t>
            </w:r>
          </w:p>
        </w:tc>
        <w:tc>
          <w:tcPr>
            <w:tcW w:w="214" w:type="dxa"/>
            <w:tcBorders>
              <w:top w:val="nil"/>
              <w:left w:val="nil"/>
              <w:bottom w:val="nil"/>
              <w:right w:val="nil"/>
            </w:tcBorders>
            <w:shd w:val="clear" w:color="auto" w:fill="auto"/>
            <w:vAlign w:val="center"/>
            <w:hideMark/>
          </w:tcPr>
          <w:p w:rsidR="00F46C7B" w:rsidRPr="006A05A6" w:rsidRDefault="00F46C7B">
            <w:pPr>
              <w:jc w:val="center"/>
              <w:rPr>
                <w:rFonts w:asciiTheme="minorHAnsi" w:hAnsiTheme="minorHAnsi" w:cstheme="minorHAnsi"/>
                <w:b/>
                <w:bCs/>
                <w:color w:val="7030A0"/>
                <w:szCs w:val="20"/>
                <w:lang w:val="fr-FR" w:eastAsia="fr-FR"/>
              </w:rPr>
            </w:pPr>
          </w:p>
        </w:tc>
        <w:tc>
          <w:tcPr>
            <w:tcW w:w="1134" w:type="dxa"/>
            <w:tcBorders>
              <w:top w:val="single" w:sz="4" w:space="0" w:color="7030A0"/>
              <w:left w:val="nil"/>
              <w:bottom w:val="single" w:sz="8" w:space="0" w:color="7030A0"/>
              <w:right w:val="nil"/>
            </w:tcBorders>
            <w:shd w:val="clear" w:color="auto" w:fill="auto"/>
            <w:vAlign w:val="center"/>
            <w:hideMark/>
          </w:tcPr>
          <w:p w:rsidR="00463B44" w:rsidRPr="00670C89" w:rsidRDefault="001061C2">
            <w:pPr>
              <w:jc w:val="center"/>
              <w:rPr>
                <w:rFonts w:asciiTheme="minorHAnsi" w:hAnsiTheme="minorHAnsi" w:cstheme="minorHAnsi"/>
                <w:b/>
                <w:bCs/>
                <w:color w:val="7030A0"/>
                <w:szCs w:val="20"/>
                <w:lang w:val="fr-FR" w:eastAsia="fr-FR"/>
              </w:rPr>
            </w:pPr>
            <w:r w:rsidRPr="00670C89">
              <w:rPr>
                <w:rFonts w:asciiTheme="minorHAnsi" w:hAnsiTheme="minorHAnsi" w:cstheme="minorHAnsi"/>
                <w:b/>
                <w:bCs/>
                <w:color w:val="7030A0"/>
                <w:szCs w:val="20"/>
                <w:lang w:val="fr-FR" w:eastAsia="fr-FR"/>
              </w:rPr>
              <w:t>2</w:t>
            </w:r>
            <w:r w:rsidR="00463B44" w:rsidRPr="00670C89">
              <w:rPr>
                <w:rFonts w:asciiTheme="minorHAnsi" w:hAnsiTheme="minorHAnsi" w:cstheme="minorHAnsi"/>
                <w:b/>
                <w:bCs/>
                <w:color w:val="7030A0"/>
                <w:szCs w:val="20"/>
                <w:lang w:val="fr-FR" w:eastAsia="fr-FR"/>
              </w:rPr>
              <w:t>17</w:t>
            </w:r>
          </w:p>
        </w:tc>
        <w:tc>
          <w:tcPr>
            <w:tcW w:w="214" w:type="dxa"/>
            <w:tcBorders>
              <w:top w:val="nil"/>
              <w:left w:val="nil"/>
              <w:bottom w:val="nil"/>
              <w:right w:val="nil"/>
            </w:tcBorders>
            <w:shd w:val="clear" w:color="auto" w:fill="auto"/>
            <w:vAlign w:val="center"/>
            <w:hideMark/>
          </w:tcPr>
          <w:p w:rsidR="00F46C7B" w:rsidRPr="00670C89" w:rsidRDefault="00F46C7B">
            <w:pPr>
              <w:jc w:val="center"/>
              <w:rPr>
                <w:rFonts w:asciiTheme="minorHAnsi" w:hAnsiTheme="minorHAnsi" w:cstheme="minorHAnsi"/>
                <w:b/>
                <w:bCs/>
                <w:color w:val="7030A0"/>
                <w:szCs w:val="20"/>
                <w:lang w:val="fr-FR" w:eastAsia="fr-FR"/>
              </w:rPr>
            </w:pPr>
          </w:p>
        </w:tc>
        <w:tc>
          <w:tcPr>
            <w:tcW w:w="1361" w:type="dxa"/>
            <w:tcBorders>
              <w:top w:val="single" w:sz="4" w:space="0" w:color="7030A0"/>
              <w:left w:val="nil"/>
              <w:bottom w:val="single" w:sz="8" w:space="0" w:color="7030A0"/>
              <w:right w:val="nil"/>
            </w:tcBorders>
            <w:shd w:val="clear" w:color="auto" w:fill="auto"/>
            <w:vAlign w:val="center"/>
            <w:hideMark/>
          </w:tcPr>
          <w:p w:rsidR="00F46C7B" w:rsidRPr="00670C89" w:rsidRDefault="001061C2">
            <w:pPr>
              <w:jc w:val="center"/>
              <w:rPr>
                <w:rFonts w:asciiTheme="minorHAnsi" w:hAnsiTheme="minorHAnsi" w:cstheme="minorHAnsi"/>
                <w:b/>
                <w:bCs/>
                <w:color w:val="7030A0"/>
                <w:szCs w:val="20"/>
                <w:lang w:val="fr-FR" w:eastAsia="fr-FR"/>
              </w:rPr>
            </w:pPr>
            <w:r w:rsidRPr="00670C89">
              <w:rPr>
                <w:rFonts w:asciiTheme="minorHAnsi" w:hAnsiTheme="minorHAnsi" w:cstheme="minorHAnsi"/>
                <w:b/>
                <w:bCs/>
                <w:color w:val="7030A0"/>
                <w:szCs w:val="20"/>
                <w:lang w:val="fr-FR" w:eastAsia="fr-FR"/>
              </w:rPr>
              <w:t>13</w:t>
            </w:r>
            <w:r w:rsidR="00294ACE">
              <w:rPr>
                <w:rFonts w:asciiTheme="minorHAnsi" w:hAnsiTheme="minorHAnsi" w:cstheme="minorHAnsi"/>
                <w:b/>
                <w:bCs/>
                <w:color w:val="7030A0"/>
                <w:szCs w:val="20"/>
                <w:lang w:val="fr-FR" w:eastAsia="fr-FR"/>
              </w:rPr>
              <w:t>3</w:t>
            </w:r>
          </w:p>
        </w:tc>
      </w:tr>
    </w:tbl>
    <w:p w:rsidR="00F46C7B" w:rsidRDefault="00F46C7B">
      <w:pPr>
        <w:keepNext/>
        <w:rPr>
          <w:rFonts w:asciiTheme="minorHAnsi" w:hAnsiTheme="minorHAnsi" w:cstheme="minorHAnsi"/>
          <w:szCs w:val="22"/>
          <w:lang w:val="fr-FR"/>
        </w:rPr>
      </w:pPr>
    </w:p>
    <w:p w:rsidR="00670C89" w:rsidRPr="00C73365" w:rsidRDefault="00670C89">
      <w:pPr>
        <w:keepNext/>
        <w:rPr>
          <w:rFonts w:asciiTheme="minorHAnsi" w:hAnsiTheme="minorHAnsi" w:cstheme="minorHAnsi"/>
          <w:szCs w:val="22"/>
          <w:lang w:val="fr-FR"/>
        </w:rPr>
      </w:pPr>
    </w:p>
    <w:p w:rsidR="00F46C7B" w:rsidRPr="00C73365" w:rsidRDefault="00F46C7B" w:rsidP="00434C49">
      <w:pPr>
        <w:pStyle w:val="ConmainL3"/>
        <w:keepLines/>
        <w:numPr>
          <w:ilvl w:val="2"/>
          <w:numId w:val="96"/>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Litiges</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lang w:val="fr-FR"/>
        </w:rPr>
        <w:t xml:space="preserve">A ce jour, aucun litige portant sur des droits de propriété intellectuelle détenus ou co-détenus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ou pour lesquels des licences ont été obtenues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n</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 été dirigé par ou à l’encontre de la Société devant des tribunaux. </w:t>
      </w:r>
    </w:p>
    <w:p w:rsidR="00F46C7B" w:rsidRPr="00C73365" w:rsidRDefault="00F46C7B" w:rsidP="00434C49">
      <w:pPr>
        <w:pStyle w:val="ConmainL2"/>
        <w:keepLines/>
        <w:numPr>
          <w:ilvl w:val="1"/>
          <w:numId w:val="96"/>
        </w:numPr>
        <w:spacing w:after="120"/>
        <w:rPr>
          <w:rFonts w:asciiTheme="minorHAnsi" w:hAnsiTheme="minorHAnsi" w:cstheme="minorHAnsi"/>
          <w:sz w:val="22"/>
          <w:lang w:val="fr-FR"/>
        </w:rPr>
      </w:pPr>
      <w:bookmarkStart w:id="720" w:name="_Toc406257029"/>
      <w:bookmarkStart w:id="721" w:name="_Toc462673260"/>
      <w:bookmarkStart w:id="722" w:name="_Toc467835607"/>
      <w:bookmarkStart w:id="723" w:name="_Toc512863922"/>
      <w:r w:rsidRPr="00C73365">
        <w:rPr>
          <w:rFonts w:asciiTheme="minorHAnsi" w:hAnsiTheme="minorHAnsi" w:cstheme="minorHAnsi"/>
          <w:sz w:val="22"/>
          <w:lang w:val="fr-FR"/>
        </w:rPr>
        <w:lastRenderedPageBreak/>
        <w:t>Contrats de collaboration, de recherches, de prestations de service et de licences accordés par la Société ou concédés à cette dernière</w:t>
      </w:r>
      <w:bookmarkEnd w:id="720"/>
      <w:bookmarkEnd w:id="721"/>
      <w:bookmarkEnd w:id="722"/>
      <w:bookmarkEnd w:id="723"/>
    </w:p>
    <w:p w:rsidR="00F46C7B" w:rsidRPr="00C73365" w:rsidRDefault="00F46C7B" w:rsidP="00434C49">
      <w:pPr>
        <w:pStyle w:val="ConmainL3"/>
        <w:keepLines/>
        <w:numPr>
          <w:ilvl w:val="2"/>
          <w:numId w:val="96"/>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Contrat de collaboration, recherche et développement, de licence et d’option de licence avec la plateforme « Antivirale » (Produits ABX464 – ABX1094 et ABX1102)</w:t>
      </w:r>
    </w:p>
    <w:p w:rsidR="00F46C7B" w:rsidRPr="00C12D8F" w:rsidRDefault="00F46C7B" w:rsidP="00434C49">
      <w:pPr>
        <w:pStyle w:val="ConmainL3"/>
        <w:keepLines/>
        <w:numPr>
          <w:ilvl w:val="2"/>
          <w:numId w:val="96"/>
        </w:numPr>
        <w:spacing w:after="120"/>
        <w:rPr>
          <w:rFonts w:asciiTheme="minorHAnsi" w:hAnsiTheme="minorHAnsi" w:cstheme="minorHAnsi"/>
          <w:b/>
          <w:color w:val="7030A0"/>
          <w:lang w:val="fr-FR"/>
        </w:rPr>
      </w:pPr>
      <w:r w:rsidRPr="00C12D8F">
        <w:rPr>
          <w:rFonts w:asciiTheme="minorHAnsi" w:hAnsiTheme="minorHAnsi" w:cstheme="minorHAnsi"/>
          <w:b/>
          <w:color w:val="7030A0"/>
          <w:lang w:val="fr-FR"/>
        </w:rPr>
        <w:t>Contrat de licence exclusive avec le Centre National de la Recherche Scientifique (CNRS), L’Université de Montpellier 2 Sciences et Techniques et l’Institut Curie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4</w:t>
      </w:r>
      <w:r w:rsidRPr="00C73365">
        <w:rPr>
          <w:rFonts w:asciiTheme="minorHAnsi" w:hAnsiTheme="minorHAnsi" w:cstheme="minorHAnsi"/>
          <w:spacing w:val="14"/>
          <w:lang w:val="fr-FR"/>
        </w:rPr>
        <w:t xml:space="preserve"> </w:t>
      </w:r>
      <w:r w:rsidRPr="00C73365">
        <w:rPr>
          <w:rFonts w:asciiTheme="minorHAnsi" w:hAnsiTheme="minorHAnsi" w:cstheme="minorHAnsi"/>
          <w:spacing w:val="-2"/>
          <w:lang w:val="fr-FR"/>
        </w:rPr>
        <w:t>décembre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2008,</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le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Centre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National</w:t>
      </w:r>
      <w:r w:rsidRPr="00C73365">
        <w:rPr>
          <w:rFonts w:asciiTheme="minorHAnsi" w:hAnsiTheme="minorHAnsi" w:cstheme="minorHAnsi"/>
          <w:spacing w:val="54"/>
          <w:lang w:val="fr-FR"/>
        </w:rPr>
        <w:t xml:space="preserve"> </w:t>
      </w:r>
      <w:r w:rsidRPr="00C73365">
        <w:rPr>
          <w:rFonts w:asciiTheme="minorHAnsi" w:hAnsiTheme="minorHAnsi" w:cstheme="minorHAnsi"/>
          <w:lang w:val="fr-FR"/>
        </w:rPr>
        <w:t>de la</w:t>
      </w:r>
      <w:r w:rsidRPr="00C73365">
        <w:rPr>
          <w:rFonts w:asciiTheme="minorHAnsi" w:hAnsiTheme="minorHAnsi" w:cstheme="minorHAnsi"/>
          <w:spacing w:val="9"/>
          <w:lang w:val="fr-FR"/>
        </w:rPr>
        <w:t xml:space="preserve"> </w:t>
      </w:r>
      <w:r w:rsidRPr="00C73365">
        <w:rPr>
          <w:rFonts w:asciiTheme="minorHAnsi" w:hAnsiTheme="minorHAnsi" w:cstheme="minorHAnsi"/>
          <w:lang w:val="fr-FR"/>
        </w:rPr>
        <w:t>Recherche</w:t>
      </w:r>
      <w:r w:rsidRPr="00C73365">
        <w:rPr>
          <w:rFonts w:asciiTheme="minorHAnsi" w:hAnsiTheme="minorHAnsi" w:cstheme="minorHAnsi"/>
          <w:spacing w:val="9"/>
          <w:lang w:val="fr-FR"/>
        </w:rPr>
        <w:t xml:space="preserve"> </w:t>
      </w:r>
      <w:r w:rsidRPr="00C73365">
        <w:rPr>
          <w:rFonts w:asciiTheme="minorHAnsi" w:hAnsiTheme="minorHAnsi" w:cstheme="minorHAnsi"/>
          <w:lang w:val="fr-FR"/>
        </w:rPr>
        <w:t>Scientifique</w:t>
      </w:r>
      <w:r w:rsidRPr="00C73365">
        <w:rPr>
          <w:rFonts w:asciiTheme="minorHAnsi" w:hAnsiTheme="minorHAnsi" w:cstheme="minorHAnsi"/>
          <w:spacing w:val="7"/>
          <w:lang w:val="fr-FR"/>
        </w:rPr>
        <w:t xml:space="preserve"> </w:t>
      </w:r>
      <w:r w:rsidRPr="00C73365">
        <w:rPr>
          <w:rFonts w:asciiTheme="minorHAnsi" w:hAnsiTheme="minorHAnsi" w:cstheme="minorHAnsi"/>
          <w:lang w:val="fr-FR"/>
        </w:rPr>
        <w:t>(CNRS), l’Université de Montpellier 2 Sciences et Techniques et</w:t>
      </w:r>
      <w:r w:rsidRPr="00C73365">
        <w:rPr>
          <w:rFonts w:asciiTheme="minorHAnsi" w:hAnsiTheme="minorHAnsi" w:cstheme="minorHAnsi"/>
          <w:spacing w:val="9"/>
          <w:lang w:val="fr-FR"/>
        </w:rPr>
        <w:t xml:space="preserve"> l’Institut Curie ont accordé</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 xml:space="preserve">à </w:t>
      </w:r>
      <w:r w:rsidR="00EF089C" w:rsidRPr="00C73365">
        <w:rPr>
          <w:rFonts w:asciiTheme="minorHAnsi" w:hAnsiTheme="minorHAnsi" w:cstheme="minorHAnsi"/>
          <w:lang w:val="fr-FR"/>
        </w:rPr>
        <w:t>ABIVAX</w:t>
      </w:r>
      <w:r w:rsidRPr="00C73365">
        <w:rPr>
          <w:rFonts w:asciiTheme="minorHAnsi" w:hAnsiTheme="minorHAnsi" w:cstheme="minorHAnsi"/>
          <w:lang w:val="fr-FR"/>
        </w:rPr>
        <w:t>,</w:t>
      </w:r>
      <w:r w:rsidRPr="00C73365">
        <w:rPr>
          <w:rFonts w:asciiTheme="minorHAnsi" w:hAnsiTheme="minorHAnsi" w:cstheme="minorHAnsi"/>
          <w:spacing w:val="65"/>
          <w:lang w:val="fr-FR"/>
        </w:rPr>
        <w:t xml:space="preserve"> </w:t>
      </w:r>
      <w:r w:rsidRPr="00C73365">
        <w:rPr>
          <w:rFonts w:asciiTheme="minorHAnsi" w:hAnsiTheme="minorHAnsi" w:cstheme="minorHAnsi"/>
          <w:lang w:val="fr-FR"/>
        </w:rPr>
        <w:t>4</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licences</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exclusives</w:t>
      </w:r>
      <w:r w:rsidRPr="00C73365">
        <w:rPr>
          <w:rFonts w:asciiTheme="minorHAnsi" w:hAnsiTheme="minorHAnsi" w:cstheme="minorHAnsi"/>
          <w:spacing w:val="12"/>
          <w:lang w:val="fr-FR"/>
        </w:rPr>
        <w:t xml:space="preserve"> </w:t>
      </w:r>
      <w:r w:rsidRPr="00C73365">
        <w:rPr>
          <w:rFonts w:asciiTheme="minorHAnsi" w:hAnsiTheme="minorHAnsi" w:cstheme="minorHAnsi"/>
          <w:lang w:val="fr-FR"/>
        </w:rPr>
        <w:t>dans le domaine de la santé humaine et vétérinaire sur leur technologie et produits relatifs à l’utilisation de produits de synthèse modifiant l’épissage de l’ARNm, pour la recherche, le diagnostic, la prévention et le traitement de toute indication possible.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Ces accords de licence donnent accès à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aux brevets et demandes de brevets détaillés dans les tableaux 12 à 14 présentés ci-dessus.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contrepartie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des</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droits</w:t>
      </w:r>
      <w:r w:rsidRPr="00C73365">
        <w:rPr>
          <w:rFonts w:asciiTheme="minorHAnsi" w:hAnsiTheme="minorHAnsi" w:cstheme="minorHAnsi"/>
          <w:spacing w:val="3"/>
          <w:lang w:val="fr-FR"/>
        </w:rPr>
        <w:t xml:space="preserve"> </w:t>
      </w:r>
      <w:r w:rsidRPr="00C73365">
        <w:rPr>
          <w:rFonts w:asciiTheme="minorHAnsi" w:hAnsiTheme="minorHAnsi" w:cstheme="minorHAnsi"/>
          <w:spacing w:val="-2"/>
          <w:lang w:val="fr-FR"/>
        </w:rPr>
        <w:t>de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licence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qui</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lui</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sont</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concédés</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au</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titre</w:t>
      </w:r>
      <w:r w:rsidRPr="00C73365">
        <w:rPr>
          <w:rFonts w:asciiTheme="minorHAnsi" w:hAnsiTheme="minorHAnsi" w:cstheme="minorHAnsi"/>
          <w:spacing w:val="5"/>
          <w:lang w:val="fr-FR"/>
        </w:rPr>
        <w:t xml:space="preserve"> </w:t>
      </w:r>
      <w:r w:rsidRPr="00C73365">
        <w:rPr>
          <w:rFonts w:asciiTheme="minorHAnsi" w:hAnsiTheme="minorHAnsi" w:cstheme="minorHAnsi"/>
          <w:spacing w:val="-2"/>
          <w:lang w:val="fr-FR"/>
        </w:rPr>
        <w:t>de ces</w:t>
      </w:r>
      <w:r w:rsidRPr="00C73365">
        <w:rPr>
          <w:rFonts w:asciiTheme="minorHAnsi" w:hAnsiTheme="minorHAnsi" w:cstheme="minorHAnsi"/>
          <w:spacing w:val="3"/>
          <w:lang w:val="fr-FR"/>
        </w:rPr>
        <w:t xml:space="preserve"> accords, </w:t>
      </w:r>
      <w:r w:rsidR="00EF089C" w:rsidRPr="00C73365">
        <w:rPr>
          <w:rFonts w:asciiTheme="minorHAnsi" w:hAnsiTheme="minorHAnsi" w:cstheme="minorHAnsi"/>
          <w:spacing w:val="3"/>
          <w:lang w:val="fr-FR"/>
        </w:rPr>
        <w:t>ABIVAX</w:t>
      </w:r>
      <w:r w:rsidRPr="00C73365">
        <w:rPr>
          <w:rFonts w:asciiTheme="minorHAnsi" w:hAnsiTheme="minorHAnsi" w:cstheme="minorHAnsi"/>
          <w:spacing w:val="3"/>
          <w:lang w:val="fr-FR"/>
        </w:rPr>
        <w:t xml:space="preserve"> doit </w:t>
      </w:r>
      <w:r w:rsidRPr="00C73365">
        <w:rPr>
          <w:rFonts w:asciiTheme="minorHAnsi" w:hAnsiTheme="minorHAnsi" w:cstheme="minorHAnsi"/>
          <w:lang w:val="fr-FR"/>
        </w:rPr>
        <w:t>verser aux concédants :</w:t>
      </w:r>
    </w:p>
    <w:p w:rsidR="00F46C7B" w:rsidRPr="00E66FAB" w:rsidRDefault="00F46C7B" w:rsidP="004572A0">
      <w:pPr>
        <w:pStyle w:val="ListBullet2"/>
        <w:numPr>
          <w:ilvl w:val="0"/>
          <w:numId w:val="43"/>
        </w:numPr>
        <w:rPr>
          <w:rFonts w:asciiTheme="minorHAnsi" w:hAnsiTheme="minorHAnsi" w:cstheme="minorHAnsi"/>
          <w:lang w:val="fr-FR"/>
        </w:rPr>
      </w:pPr>
      <w:r w:rsidRPr="00E66FAB">
        <w:rPr>
          <w:rFonts w:asciiTheme="minorHAnsi" w:hAnsiTheme="minorHAnsi" w:cstheme="minorHAnsi"/>
          <w:lang w:val="fr-FR"/>
        </w:rPr>
        <w:t>des milestones à différentes étapes de développement clinique et règlementaire du premier produit ;</w:t>
      </w:r>
    </w:p>
    <w:p w:rsidR="00F46C7B" w:rsidRPr="00E66FAB" w:rsidRDefault="00F46C7B" w:rsidP="004572A0">
      <w:pPr>
        <w:pStyle w:val="ListBullet2"/>
        <w:numPr>
          <w:ilvl w:val="0"/>
          <w:numId w:val="43"/>
        </w:numPr>
        <w:rPr>
          <w:rFonts w:asciiTheme="minorHAnsi" w:hAnsiTheme="minorHAnsi" w:cstheme="minorHAnsi"/>
          <w:lang w:val="fr-FR"/>
        </w:rPr>
      </w:pPr>
      <w:r w:rsidRPr="00E66FAB">
        <w:rPr>
          <w:rFonts w:asciiTheme="minorHAnsi" w:hAnsiTheme="minorHAnsi" w:cstheme="minorHAnsi"/>
          <w:lang w:val="fr-FR"/>
        </w:rPr>
        <w:t>des royalties selon le montant des ventes nettes et le type de produit.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contrat se terminera à la date d’expiration du dernier brevet en vigueur.</w:t>
      </w:r>
    </w:p>
    <w:p w:rsidR="00F46C7B" w:rsidRPr="00C73365" w:rsidRDefault="00F46C7B" w:rsidP="00434C49">
      <w:pPr>
        <w:pStyle w:val="ConmainL3"/>
        <w:keepLines/>
        <w:numPr>
          <w:ilvl w:val="3"/>
          <w:numId w:val="96"/>
        </w:numPr>
        <w:spacing w:after="120"/>
        <w:rPr>
          <w:rFonts w:asciiTheme="minorHAnsi" w:hAnsiTheme="minorHAnsi" w:cstheme="minorHAnsi"/>
          <w:lang w:val="fr-FR"/>
        </w:rPr>
      </w:pPr>
      <w:r w:rsidRPr="00C73365">
        <w:rPr>
          <w:rFonts w:asciiTheme="minorHAnsi" w:hAnsiTheme="minorHAnsi" w:cstheme="minorHAnsi"/>
          <w:lang w:val="fr-FR"/>
        </w:rPr>
        <w:t>Contrat de licence exclusive avec le Centre National de la Recherche Scientifique (CNRS)</w:t>
      </w:r>
      <w:r w:rsidR="00805E46" w:rsidRPr="00C73365">
        <w:rPr>
          <w:rFonts w:asciiTheme="minorHAnsi" w:hAnsiTheme="minorHAnsi" w:cstheme="minorHAnsi"/>
          <w:lang w:val="fr-FR"/>
        </w:rPr>
        <w:t xml:space="preserve"> </w:t>
      </w:r>
      <w:r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szCs w:val="22"/>
          <w:lang w:val="fr-FR"/>
        </w:rPr>
      </w:pPr>
      <w:r w:rsidRPr="00C73365">
        <w:rPr>
          <w:rFonts w:asciiTheme="minorHAnsi" w:hAnsiTheme="minorHAnsi" w:cstheme="minorHAnsi"/>
          <w:lang w:val="fr-FR"/>
        </w:rPr>
        <w:t>Le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4</w:t>
      </w:r>
      <w:r w:rsidRPr="00C73365">
        <w:rPr>
          <w:rFonts w:asciiTheme="minorHAnsi" w:hAnsiTheme="minorHAnsi" w:cstheme="minorHAnsi"/>
          <w:spacing w:val="14"/>
          <w:lang w:val="fr-FR"/>
        </w:rPr>
        <w:t xml:space="preserve"> </w:t>
      </w:r>
      <w:r w:rsidRPr="00C73365">
        <w:rPr>
          <w:rFonts w:asciiTheme="minorHAnsi" w:hAnsiTheme="minorHAnsi" w:cstheme="minorHAnsi"/>
          <w:spacing w:val="-2"/>
          <w:lang w:val="fr-FR"/>
        </w:rPr>
        <w:t>décembre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2008,</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le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Centre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National</w:t>
      </w:r>
      <w:r w:rsidRPr="00C73365">
        <w:rPr>
          <w:rFonts w:asciiTheme="minorHAnsi" w:hAnsiTheme="minorHAnsi" w:cstheme="minorHAnsi"/>
          <w:spacing w:val="54"/>
          <w:lang w:val="fr-FR"/>
        </w:rPr>
        <w:t xml:space="preserve"> </w:t>
      </w:r>
      <w:r w:rsidRPr="00C73365">
        <w:rPr>
          <w:rFonts w:asciiTheme="minorHAnsi" w:hAnsiTheme="minorHAnsi" w:cstheme="minorHAnsi"/>
          <w:lang w:val="fr-FR"/>
        </w:rPr>
        <w:t>de la</w:t>
      </w:r>
      <w:r w:rsidRPr="00C73365">
        <w:rPr>
          <w:rFonts w:asciiTheme="minorHAnsi" w:hAnsiTheme="minorHAnsi" w:cstheme="minorHAnsi"/>
          <w:spacing w:val="9"/>
          <w:lang w:val="fr-FR"/>
        </w:rPr>
        <w:t xml:space="preserve"> </w:t>
      </w:r>
      <w:r w:rsidRPr="00C73365">
        <w:rPr>
          <w:rFonts w:asciiTheme="minorHAnsi" w:hAnsiTheme="minorHAnsi" w:cstheme="minorHAnsi"/>
          <w:lang w:val="fr-FR"/>
        </w:rPr>
        <w:t>Recherche</w:t>
      </w:r>
      <w:r w:rsidRPr="00C73365">
        <w:rPr>
          <w:rFonts w:asciiTheme="minorHAnsi" w:hAnsiTheme="minorHAnsi" w:cstheme="minorHAnsi"/>
          <w:spacing w:val="9"/>
          <w:lang w:val="fr-FR"/>
        </w:rPr>
        <w:t xml:space="preserve"> </w:t>
      </w:r>
      <w:r w:rsidRPr="00C73365">
        <w:rPr>
          <w:rFonts w:asciiTheme="minorHAnsi" w:hAnsiTheme="minorHAnsi" w:cstheme="minorHAnsi"/>
          <w:lang w:val="fr-FR"/>
        </w:rPr>
        <w:t>Scientifique</w:t>
      </w:r>
      <w:r w:rsidRPr="00C73365">
        <w:rPr>
          <w:rFonts w:asciiTheme="minorHAnsi" w:hAnsiTheme="minorHAnsi" w:cstheme="minorHAnsi"/>
          <w:spacing w:val="7"/>
          <w:lang w:val="fr-FR"/>
        </w:rPr>
        <w:t xml:space="preserve"> </w:t>
      </w:r>
      <w:r w:rsidRPr="00C73365">
        <w:rPr>
          <w:rFonts w:asciiTheme="minorHAnsi" w:hAnsiTheme="minorHAnsi" w:cstheme="minorHAnsi"/>
          <w:lang w:val="fr-FR"/>
        </w:rPr>
        <w:t xml:space="preserve">(CNRS) </w:t>
      </w:r>
      <w:r w:rsidR="00805E46" w:rsidRPr="00C73365">
        <w:rPr>
          <w:rFonts w:asciiTheme="minorHAnsi" w:hAnsiTheme="minorHAnsi" w:cstheme="minorHAnsi"/>
          <w:spacing w:val="9"/>
          <w:lang w:val="fr-FR"/>
        </w:rPr>
        <w:t xml:space="preserve">a </w:t>
      </w:r>
      <w:r w:rsidRPr="00C73365">
        <w:rPr>
          <w:rFonts w:asciiTheme="minorHAnsi" w:hAnsiTheme="minorHAnsi" w:cstheme="minorHAnsi"/>
          <w:spacing w:val="9"/>
          <w:lang w:val="fr-FR"/>
        </w:rPr>
        <w:t>accordé</w:t>
      </w:r>
      <w:r w:rsidRPr="00C73365">
        <w:rPr>
          <w:rFonts w:asciiTheme="minorHAnsi" w:hAnsiTheme="minorHAnsi" w:cstheme="minorHAnsi"/>
          <w:spacing w:val="8"/>
          <w:lang w:val="fr-FR"/>
        </w:rPr>
        <w:t xml:space="preserve"> </w:t>
      </w:r>
      <w:r w:rsidRPr="00C73365">
        <w:rPr>
          <w:rFonts w:asciiTheme="minorHAnsi" w:hAnsiTheme="minorHAnsi" w:cstheme="minorHAnsi"/>
          <w:lang w:val="fr-FR"/>
        </w:rPr>
        <w:t xml:space="preserve">à </w:t>
      </w:r>
      <w:r w:rsidR="00EF089C" w:rsidRPr="00C73365">
        <w:rPr>
          <w:rFonts w:asciiTheme="minorHAnsi" w:hAnsiTheme="minorHAnsi" w:cstheme="minorHAnsi"/>
          <w:lang w:val="fr-FR"/>
        </w:rPr>
        <w:t>ABIVAX</w:t>
      </w:r>
      <w:r w:rsidRPr="00C73365">
        <w:rPr>
          <w:rFonts w:asciiTheme="minorHAnsi" w:hAnsiTheme="minorHAnsi" w:cstheme="minorHAnsi"/>
          <w:lang w:val="fr-FR"/>
        </w:rPr>
        <w:t>,</w:t>
      </w:r>
      <w:r w:rsidRPr="00C73365">
        <w:rPr>
          <w:rFonts w:asciiTheme="minorHAnsi" w:hAnsiTheme="minorHAnsi" w:cstheme="minorHAnsi"/>
          <w:spacing w:val="65"/>
          <w:lang w:val="fr-FR"/>
        </w:rPr>
        <w:t xml:space="preserve"> </w:t>
      </w:r>
      <w:r w:rsidRPr="00C73365">
        <w:rPr>
          <w:rFonts w:asciiTheme="minorHAnsi" w:hAnsiTheme="minorHAnsi" w:cstheme="minorHAnsi"/>
          <w:lang w:val="fr-FR"/>
        </w:rPr>
        <w:t>une</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licence</w:t>
      </w:r>
      <w:r w:rsidRPr="00C73365">
        <w:rPr>
          <w:rFonts w:asciiTheme="minorHAnsi" w:hAnsiTheme="minorHAnsi" w:cstheme="minorHAnsi"/>
          <w:spacing w:val="15"/>
          <w:lang w:val="fr-FR"/>
        </w:rPr>
        <w:t xml:space="preserve"> </w:t>
      </w:r>
      <w:r w:rsidRPr="00C73365">
        <w:rPr>
          <w:rFonts w:asciiTheme="minorHAnsi" w:hAnsiTheme="minorHAnsi" w:cstheme="minorHAnsi"/>
          <w:lang w:val="fr-FR"/>
        </w:rPr>
        <w:t>exclusive</w:t>
      </w:r>
      <w:r w:rsidRPr="00C73365">
        <w:rPr>
          <w:rFonts w:asciiTheme="minorHAnsi" w:hAnsiTheme="minorHAnsi" w:cstheme="minorHAnsi"/>
          <w:spacing w:val="12"/>
          <w:lang w:val="fr-FR"/>
        </w:rPr>
        <w:t xml:space="preserve"> </w:t>
      </w:r>
      <w:r w:rsidRPr="00C73365">
        <w:rPr>
          <w:rFonts w:asciiTheme="minorHAnsi" w:hAnsiTheme="minorHAnsi" w:cstheme="minorHAnsi"/>
          <w:lang w:val="fr-FR"/>
        </w:rPr>
        <w:t xml:space="preserve">dans le domaine de la santé humaine et vétérinaire sur leur technologie et produits relatifs à l’utilisation de produits de synthèse pour la prévention et le traitement de cancers. </w:t>
      </w:r>
      <w:r w:rsidRPr="00C73365">
        <w:rPr>
          <w:rFonts w:asciiTheme="minorHAnsi" w:hAnsiTheme="minorHAnsi" w:cstheme="minorHAnsi"/>
          <w:szCs w:val="22"/>
          <w:lang w:val="fr-FR"/>
        </w:rPr>
        <w:t>Cet accord de licence nous donne accès aux brevets et demandes de brevets détaillés dans le tableau 15 présenté ci-dessus.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contrepartie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des</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droits</w:t>
      </w:r>
      <w:r w:rsidRPr="00C73365">
        <w:rPr>
          <w:rFonts w:asciiTheme="minorHAnsi" w:hAnsiTheme="minorHAnsi" w:cstheme="minorHAnsi"/>
          <w:spacing w:val="3"/>
          <w:lang w:val="fr-FR"/>
        </w:rPr>
        <w:t xml:space="preserve"> </w:t>
      </w:r>
      <w:r w:rsidRPr="00C73365">
        <w:rPr>
          <w:rFonts w:asciiTheme="minorHAnsi" w:hAnsiTheme="minorHAnsi" w:cstheme="minorHAnsi"/>
          <w:spacing w:val="-2"/>
          <w:lang w:val="fr-FR"/>
        </w:rPr>
        <w:t>de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licence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qui</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lui</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sont</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concédés</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au</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titre</w:t>
      </w:r>
      <w:r w:rsidRPr="00C73365">
        <w:rPr>
          <w:rFonts w:asciiTheme="minorHAnsi" w:hAnsiTheme="minorHAnsi" w:cstheme="minorHAnsi"/>
          <w:spacing w:val="5"/>
          <w:lang w:val="fr-FR"/>
        </w:rPr>
        <w:t xml:space="preserve"> </w:t>
      </w:r>
      <w:r w:rsidRPr="00C73365">
        <w:rPr>
          <w:rFonts w:asciiTheme="minorHAnsi" w:hAnsiTheme="minorHAnsi" w:cstheme="minorHAnsi"/>
          <w:spacing w:val="-2"/>
          <w:lang w:val="fr-FR"/>
        </w:rPr>
        <w:t>de</w:t>
      </w:r>
      <w:r w:rsidRPr="00C73365">
        <w:rPr>
          <w:rFonts w:asciiTheme="minorHAnsi" w:hAnsiTheme="minorHAnsi" w:cstheme="minorHAnsi"/>
          <w:spacing w:val="3"/>
          <w:lang w:val="fr-FR"/>
        </w:rPr>
        <w:t xml:space="preserve"> l’accord, </w:t>
      </w:r>
      <w:r w:rsidR="00EF089C" w:rsidRPr="00C73365">
        <w:rPr>
          <w:rFonts w:asciiTheme="minorHAnsi" w:hAnsiTheme="minorHAnsi" w:cstheme="minorHAnsi"/>
          <w:spacing w:val="3"/>
          <w:lang w:val="fr-FR"/>
        </w:rPr>
        <w:t>ABIVAX</w:t>
      </w:r>
      <w:r w:rsidRPr="00C73365">
        <w:rPr>
          <w:rFonts w:asciiTheme="minorHAnsi" w:hAnsiTheme="minorHAnsi" w:cstheme="minorHAnsi"/>
          <w:spacing w:val="3"/>
          <w:lang w:val="fr-FR"/>
        </w:rPr>
        <w:t xml:space="preserve"> doit </w:t>
      </w:r>
      <w:r w:rsidRPr="00C73365">
        <w:rPr>
          <w:rFonts w:asciiTheme="minorHAnsi" w:hAnsiTheme="minorHAnsi" w:cstheme="minorHAnsi"/>
          <w:lang w:val="fr-FR"/>
        </w:rPr>
        <w:t>verser au concédant</w:t>
      </w:r>
      <w:r w:rsidR="00805E46" w:rsidRPr="00C73365">
        <w:rPr>
          <w:rFonts w:asciiTheme="minorHAnsi" w:hAnsiTheme="minorHAnsi" w:cstheme="minorHAnsi"/>
          <w:lang w:val="fr-FR"/>
        </w:rPr>
        <w:t xml:space="preserve"> </w:t>
      </w:r>
      <w:r w:rsidRPr="00C73365">
        <w:rPr>
          <w:rFonts w:asciiTheme="minorHAnsi" w:hAnsiTheme="minorHAnsi" w:cstheme="minorHAnsi"/>
          <w:lang w:val="fr-FR"/>
        </w:rPr>
        <w:t>:</w:t>
      </w:r>
    </w:p>
    <w:p w:rsidR="00F46C7B" w:rsidRPr="00E66FAB" w:rsidRDefault="00F46C7B" w:rsidP="004572A0">
      <w:pPr>
        <w:pStyle w:val="ListBullet2"/>
        <w:numPr>
          <w:ilvl w:val="0"/>
          <w:numId w:val="43"/>
        </w:numPr>
        <w:rPr>
          <w:rFonts w:asciiTheme="minorHAnsi" w:hAnsiTheme="minorHAnsi" w:cstheme="minorHAnsi"/>
          <w:lang w:val="fr-FR"/>
        </w:rPr>
      </w:pPr>
      <w:r w:rsidRPr="00E66FAB">
        <w:rPr>
          <w:rFonts w:asciiTheme="minorHAnsi" w:hAnsiTheme="minorHAnsi" w:cstheme="minorHAnsi"/>
          <w:lang w:val="fr-FR"/>
        </w:rPr>
        <w:t>des milestones à différentes étapes de développement clinique et règlementaire du premier produit ;</w:t>
      </w:r>
    </w:p>
    <w:p w:rsidR="00F46C7B" w:rsidRPr="00E66FAB" w:rsidRDefault="00F46C7B" w:rsidP="004572A0">
      <w:pPr>
        <w:pStyle w:val="ListBullet2"/>
        <w:numPr>
          <w:ilvl w:val="0"/>
          <w:numId w:val="43"/>
        </w:numPr>
        <w:rPr>
          <w:rFonts w:asciiTheme="minorHAnsi" w:hAnsiTheme="minorHAnsi" w:cstheme="minorHAnsi"/>
          <w:lang w:val="fr-FR"/>
        </w:rPr>
      </w:pPr>
      <w:r w:rsidRPr="00E66FAB">
        <w:rPr>
          <w:rFonts w:asciiTheme="minorHAnsi" w:hAnsiTheme="minorHAnsi" w:cstheme="minorHAnsi"/>
          <w:lang w:val="fr-FR"/>
        </w:rPr>
        <w:t>des royalties selon le montant des ventes nettes et le type de produit.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contrat se terminera à la date d’expiration du dernier brevet en vigueur.</w:t>
      </w:r>
    </w:p>
    <w:p w:rsidR="00F46C7B" w:rsidRPr="00C73365" w:rsidRDefault="00F46C7B" w:rsidP="00434C49">
      <w:pPr>
        <w:pStyle w:val="ConmainL3"/>
        <w:keepLines/>
        <w:numPr>
          <w:ilvl w:val="3"/>
          <w:numId w:val="96"/>
        </w:numPr>
        <w:spacing w:after="120"/>
        <w:rPr>
          <w:rFonts w:asciiTheme="minorHAnsi" w:hAnsiTheme="minorHAnsi" w:cstheme="minorHAnsi"/>
          <w:lang w:val="fr-FR"/>
          <w14:props3d w14:extrusionH="0" w14:contourW="0" w14:prstMaterial="matte"/>
        </w:rPr>
      </w:pPr>
      <w:r w:rsidRPr="00C73365">
        <w:rPr>
          <w:rFonts w:asciiTheme="minorHAnsi" w:hAnsiTheme="minorHAnsi" w:cstheme="minorHAnsi"/>
          <w:lang w:val="fr-FR"/>
          <w14:props3d w14:extrusionH="0" w14:contourW="0" w14:prstMaterial="matte"/>
        </w:rPr>
        <w:t>Contrat cadre de collaboration de recherche portant création d’un laboratoire coopératif</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11 décembre 2008,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le Centre National de la Recherche Scientifique (CNRS) et l’Université de Montpellier 2 Sciences et Techniques ont conclu, pour une durée de deux ans, un contrat cadre de collaboration de recherche afin de réaliser un programme de recherche commun dans les domaines du criblage et développement de composés anti-VIH et antiviraux, anti-cancer et anti-métastases et de composés ciblant certaines maladies génétiques. La durée et le contenu des programmes de recherche ont été modifiés par des avenants successifs (le contrat est en vigueur jusqu’au 31 décembre </w:t>
      </w:r>
      <w:r w:rsidR="004801C8" w:rsidRPr="00C73365">
        <w:rPr>
          <w:rFonts w:asciiTheme="minorHAnsi" w:hAnsiTheme="minorHAnsi" w:cstheme="minorHAnsi"/>
          <w:lang w:val="fr-FR"/>
        </w:rPr>
        <w:t xml:space="preserve">2021). </w:t>
      </w:r>
      <w:r w:rsidRPr="00C73365">
        <w:rPr>
          <w:rFonts w:asciiTheme="minorHAnsi" w:hAnsiTheme="minorHAnsi" w:cstheme="minorHAnsi"/>
          <w:lang w:val="fr-FR"/>
        </w:rPr>
        <w:t>La Société possède déjà certains droits d’exploitation exclusive dans les domaines de l’épissage alternatif et de l’invasion métastatique des cancers (se référer aux paragraphes 11.3.1.1 et 11.3.1.2).</w:t>
      </w:r>
    </w:p>
    <w:p w:rsidR="00F46C7B"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s’engage à payer au CNRS des frais de fonctionnement sous condition de franchissement d’étape ainsi que des frais de recherche externes et autres frais de gestion.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Chaque partie conserve la propriété de ses droits de propriété intellectuelle acquis préalablement. Les parties sont copropriétaires des résultats issus de la recherche au prorata de leurs apports inventifs, matériels, humains et financiers.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décide si ces résultats doivent faire l’objet d’un dépôt de brevet et prend en charge les frais afférents.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w:t>
      </w:r>
      <w:r w:rsidRPr="00C73365">
        <w:rPr>
          <w:rFonts w:asciiTheme="minorHAnsi" w:hAnsiTheme="minorHAnsi" w:cstheme="minorHAnsi"/>
          <w:lang w:val="fr-FR"/>
        </w:rPr>
        <w:lastRenderedPageBreak/>
        <w:t xml:space="preserve">a un droit d’exploitation exclusif et mondial des résultats de la recherche et/ou des brevets en découlant, en contrepartie du versement d’une rémunération aux autres parties. </w:t>
      </w:r>
    </w:p>
    <w:p w:rsidR="00F46C7B" w:rsidRPr="00C73365" w:rsidRDefault="00F46C7B" w:rsidP="00434C49">
      <w:pPr>
        <w:pStyle w:val="ConmainL3"/>
        <w:keepLines/>
        <w:numPr>
          <w:ilvl w:val="3"/>
          <w:numId w:val="96"/>
        </w:numPr>
        <w:spacing w:after="120"/>
        <w:rPr>
          <w:rFonts w:asciiTheme="minorHAnsi" w:hAnsiTheme="minorHAnsi" w:cstheme="minorHAnsi"/>
          <w:lang w:val="fr-FR"/>
        </w:rPr>
      </w:pPr>
      <w:r w:rsidRPr="00C73365">
        <w:rPr>
          <w:rFonts w:asciiTheme="minorHAnsi" w:hAnsiTheme="minorHAnsi" w:cstheme="minorHAnsi"/>
          <w:lang w:val="fr-FR"/>
        </w:rPr>
        <w:t>Contrat de collaboration de recherche avec le Centre National de la Recherche Scientifique (CNRS), l’Université de Montpellier 2 Sciences et Techniques et l’Institut Curie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Concomitamment au contrat cadre de collaboration de recherche portant création du laboratoire coopératif, les parties ont signé une convention financière définissant les modalités financières d’exploitation des brevets et ont souhaité poursuivre leurs recherches dans le cadre d’un nouveau contrat de collaboration, qui confie au CNRS et à l’Institut Curie la conception et la synthèse d’une série de dérivés chimiques, qui seront testés par le laboratoire coopératif afin de valider les molécules revendiquées dans les brevets. Ce contrat a été signé le 15 avril 2009 pour une durée d’un an. La durée et les moyens affectés au programme ont été modifiés par des avenants successifs (le contrat en cours d’extension est en vigueur jusqu’au 30 </w:t>
      </w:r>
      <w:r w:rsidR="00E73A7C">
        <w:rPr>
          <w:rFonts w:asciiTheme="minorHAnsi" w:hAnsiTheme="minorHAnsi" w:cstheme="minorHAnsi"/>
          <w:lang w:val="fr-FR"/>
        </w:rPr>
        <w:t>septembre</w:t>
      </w:r>
      <w:r w:rsidRPr="00C73365">
        <w:rPr>
          <w:rFonts w:asciiTheme="minorHAnsi" w:hAnsiTheme="minorHAnsi" w:cstheme="minorHAnsi"/>
          <w:lang w:val="fr-FR"/>
        </w:rPr>
        <w:t xml:space="preserve"> </w:t>
      </w:r>
      <w:r w:rsidR="00104DAD" w:rsidRPr="00C73365">
        <w:rPr>
          <w:rFonts w:asciiTheme="minorHAnsi" w:hAnsiTheme="minorHAnsi" w:cstheme="minorHAnsi"/>
          <w:lang w:val="fr-FR"/>
        </w:rPr>
        <w:t>2018</w:t>
      </w:r>
      <w:r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En contrepartie de la réalisation du programme par le CNRS et l’Institut Curie,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s’engage à payer un montant global forfaitaire.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Chaque partie conserve la propriété de ses droits de propriété intellectuels acquis préalablement. Les parties sont copropriétaires des résultats issus de la recherche au prorata de leurs apports inventifs, matériels, humains et financiers.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décide si ces résultats doivent faire l’objet d’un dépôt de brevet et prend en charge les frais afférents.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un droit d’exploitation exclusif et mondial des résultats de la recherche et/ou des brevets en découlant, en contrepartie du versement d’une rémunération aux autres parties.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travaux menés conjointement par </w:t>
      </w:r>
      <w:r w:rsidR="00EF089C" w:rsidRPr="00C73365">
        <w:rPr>
          <w:rFonts w:asciiTheme="minorHAnsi" w:hAnsiTheme="minorHAnsi" w:cstheme="minorHAnsi"/>
          <w:lang w:val="fr-FR"/>
        </w:rPr>
        <w:t>ABIVAX</w:t>
      </w:r>
      <w:r w:rsidRPr="00C73365">
        <w:rPr>
          <w:rFonts w:asciiTheme="minorHAnsi" w:hAnsiTheme="minorHAnsi" w:cstheme="minorHAnsi"/>
          <w:lang w:val="fr-FR"/>
        </w:rPr>
        <w:t>, le CNRS, l’Université de Montpellier 2 Sciences et Techniques et l’Institut Curie  ont aboutis aux brevets et demandes de brevets détaillés dans les tableaux 1 à 1</w:t>
      </w:r>
      <w:r w:rsidR="00161528" w:rsidRPr="00C73365">
        <w:rPr>
          <w:rFonts w:asciiTheme="minorHAnsi" w:hAnsiTheme="minorHAnsi" w:cstheme="minorHAnsi"/>
          <w:lang w:val="fr-FR"/>
        </w:rPr>
        <w:t>4</w:t>
      </w:r>
      <w:r w:rsidRPr="00C73365">
        <w:rPr>
          <w:rFonts w:asciiTheme="minorHAnsi" w:hAnsiTheme="minorHAnsi" w:cstheme="minorHAnsi"/>
          <w:lang w:val="fr-FR"/>
        </w:rPr>
        <w:t xml:space="preserve"> présenté ci-dessus.</w:t>
      </w:r>
    </w:p>
    <w:p w:rsidR="00F46C7B" w:rsidRPr="00C73365" w:rsidRDefault="00F46C7B" w:rsidP="00434C49">
      <w:pPr>
        <w:pStyle w:val="ConmainL3"/>
        <w:keepLines/>
        <w:numPr>
          <w:ilvl w:val="3"/>
          <w:numId w:val="96"/>
        </w:numPr>
        <w:spacing w:after="120"/>
        <w:rPr>
          <w:rFonts w:asciiTheme="minorHAnsi" w:hAnsiTheme="minorHAnsi" w:cstheme="minorHAnsi"/>
          <w:lang w:val="fr-FR"/>
        </w:rPr>
      </w:pPr>
      <w:r w:rsidRPr="00C73365">
        <w:rPr>
          <w:rFonts w:asciiTheme="minorHAnsi" w:hAnsiTheme="minorHAnsi" w:cstheme="minorHAnsi"/>
          <w:lang w:val="fr-FR"/>
        </w:rPr>
        <w:t>Contrat de recherche et développement et d’option de licence avec le Centre National de la Recherche Scientifique (CNRS), l’Université de Montpellier 2 Sciences et Techniques et la société Theradiag</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 xml:space="preserve">25 </w:t>
      </w:r>
      <w:r w:rsidR="00E73A7C">
        <w:rPr>
          <w:rFonts w:asciiTheme="minorHAnsi" w:hAnsiTheme="minorHAnsi" w:cstheme="minorHAnsi"/>
          <w:lang w:val="fr-FR"/>
        </w:rPr>
        <w:t>septembre</w:t>
      </w:r>
      <w:r w:rsidRPr="00C73365">
        <w:rPr>
          <w:rFonts w:asciiTheme="minorHAnsi" w:hAnsiTheme="minorHAnsi" w:cstheme="minorHAnsi"/>
          <w:lang w:val="fr-FR"/>
        </w:rPr>
        <w:t xml:space="preserve"> 2013,</w:t>
      </w:r>
      <w:r w:rsidRPr="00C73365">
        <w:rPr>
          <w:rFonts w:asciiTheme="minorHAnsi" w:hAnsiTheme="minorHAnsi" w:cstheme="minorHAnsi"/>
          <w:spacing w:val="14"/>
          <w:lang w:val="fr-FR"/>
        </w:rPr>
        <w:t xml:space="preserve"> </w:t>
      </w:r>
      <w:r w:rsidRPr="00C73365">
        <w:rPr>
          <w:rFonts w:asciiTheme="minorHAnsi" w:hAnsiTheme="minorHAnsi" w:cstheme="minorHAnsi"/>
          <w:lang w:val="fr-FR"/>
        </w:rPr>
        <w:t xml:space="preserve">le CNRS, l’Université de Montpellier 2 et les sociétés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Theradiag ont mis en place un projet collaboratif dénommé CaReNA afin d’effectuer ensemble des programmes de recherche et développement dans les domaines de l’obésité, du VIH et du HTLV-1.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 contrat est en vigueur jusqu’au 9 Février 2017 et n’implique aucun flux financier entre les parties, chacune supportant le financement nécessaire à sa part du projet. </w:t>
      </w:r>
    </w:p>
    <w:p w:rsidR="00F46C7B"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jouira du droit d’exploitation exclusif et mondial des résultats propres du CNRS et de l’Université de Montpellier 2 ainsi que des quotes-parts des résultats communs dont ils sont propriétaires. En outre, la société Theradiag concède à </w:t>
      </w: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une option de licence exclusive et mondiale d’exploitation de ses résultats propres ainsi que de la quote-part des résultats communs dont elle est propriétaire. Cette option pourra être levée par </w:t>
      </w: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durant toute la durée du contrat et dans un délai de deux ans après son expiration ou sa résiliation. Les conditions financières des licences exclusives mondiales sont négociées entre Theradiag et </w:t>
      </w: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si cette dernière lève l’option.</w:t>
      </w:r>
    </w:p>
    <w:p w:rsidR="00F46C7B" w:rsidRPr="00C73365" w:rsidRDefault="00F46C7B" w:rsidP="00434C49">
      <w:pPr>
        <w:pStyle w:val="ConmainL3"/>
        <w:keepLines/>
        <w:numPr>
          <w:ilvl w:val="2"/>
          <w:numId w:val="96"/>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Contrat de licence exclusive avec « The Scripps Research Institute, University of Chicago and Brigham Young University » avec la plateforme « Stimulation Immunitaire » (Produit </w:t>
      </w:r>
      <w:r w:rsidR="00E32CFE" w:rsidRPr="00C73365">
        <w:rPr>
          <w:rFonts w:asciiTheme="minorHAnsi" w:hAnsiTheme="minorHAnsi" w:cstheme="minorHAnsi"/>
          <w:b/>
          <w:color w:val="7030A0"/>
          <w:lang w:val="fr-FR"/>
        </w:rPr>
        <w:t>ABX196</w:t>
      </w:r>
      <w:r w:rsidRPr="00C73365">
        <w:rPr>
          <w:rFonts w:asciiTheme="minorHAnsi" w:hAnsiTheme="minorHAnsi" w:cstheme="minorHAnsi"/>
          <w:b/>
          <w:color w:val="7030A0"/>
          <w:lang w:val="fr-FR"/>
        </w:rPr>
        <w:t xml:space="preserv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w:t>
      </w:r>
      <w:r w:rsidRPr="00C73365">
        <w:rPr>
          <w:rFonts w:asciiTheme="minorHAnsi" w:hAnsiTheme="minorHAnsi" w:cstheme="minorHAnsi"/>
          <w:spacing w:val="36"/>
          <w:lang w:val="fr-FR"/>
        </w:rPr>
        <w:t xml:space="preserve"> </w:t>
      </w:r>
      <w:r w:rsidRPr="00C73365">
        <w:rPr>
          <w:rFonts w:asciiTheme="minorHAnsi" w:hAnsiTheme="minorHAnsi" w:cstheme="minorHAnsi"/>
          <w:lang w:val="fr-FR"/>
        </w:rPr>
        <w:t>11</w:t>
      </w:r>
      <w:r w:rsidRPr="00C73365">
        <w:rPr>
          <w:rFonts w:asciiTheme="minorHAnsi" w:hAnsiTheme="minorHAnsi" w:cstheme="minorHAnsi"/>
          <w:spacing w:val="35"/>
          <w:lang w:val="fr-FR"/>
        </w:rPr>
        <w:t xml:space="preserve"> </w:t>
      </w:r>
      <w:r w:rsidRPr="00C73365">
        <w:rPr>
          <w:rFonts w:asciiTheme="minorHAnsi" w:hAnsiTheme="minorHAnsi" w:cstheme="minorHAnsi"/>
          <w:lang w:val="fr-FR"/>
        </w:rPr>
        <w:t>novembre</w:t>
      </w:r>
      <w:r w:rsidRPr="00C73365">
        <w:rPr>
          <w:rFonts w:asciiTheme="minorHAnsi" w:hAnsiTheme="minorHAnsi" w:cstheme="minorHAnsi"/>
          <w:spacing w:val="36"/>
          <w:lang w:val="fr-FR"/>
        </w:rPr>
        <w:t xml:space="preserve"> </w:t>
      </w:r>
      <w:r w:rsidRPr="00C73365">
        <w:rPr>
          <w:rFonts w:asciiTheme="minorHAnsi" w:hAnsiTheme="minorHAnsi" w:cstheme="minorHAnsi"/>
          <w:lang w:val="fr-FR"/>
        </w:rPr>
        <w:t>2006,</w:t>
      </w:r>
      <w:r w:rsidRPr="00C73365">
        <w:rPr>
          <w:rFonts w:asciiTheme="minorHAnsi" w:hAnsiTheme="minorHAnsi" w:cstheme="minorHAnsi"/>
          <w:spacing w:val="36"/>
          <w:lang w:val="fr-FR"/>
        </w:rPr>
        <w:t xml:space="preserve"> </w:t>
      </w:r>
      <w:r w:rsidRPr="00C73365">
        <w:rPr>
          <w:rFonts w:asciiTheme="minorHAnsi" w:hAnsiTheme="minorHAnsi" w:cstheme="minorHAnsi"/>
          <w:i/>
          <w:lang w:val="fr-FR"/>
        </w:rPr>
        <w:t xml:space="preserve">The Scripps Research Institute </w:t>
      </w:r>
      <w:r w:rsidRPr="00C73365">
        <w:rPr>
          <w:rFonts w:asciiTheme="minorHAnsi" w:hAnsiTheme="minorHAnsi" w:cstheme="minorHAnsi"/>
          <w:lang w:val="fr-FR"/>
        </w:rPr>
        <w:t>(La Jolla, Californie,</w:t>
      </w:r>
      <w:r w:rsidRPr="00C73365">
        <w:rPr>
          <w:rFonts w:asciiTheme="minorHAnsi" w:hAnsiTheme="minorHAnsi" w:cstheme="minorHAnsi"/>
          <w:i/>
          <w:lang w:val="fr-FR"/>
        </w:rPr>
        <w:t xml:space="preserve"> </w:t>
      </w:r>
      <w:r w:rsidRPr="00C73365">
        <w:rPr>
          <w:rFonts w:asciiTheme="minorHAnsi" w:hAnsiTheme="minorHAnsi" w:cstheme="minorHAnsi"/>
          <w:lang w:val="fr-FR"/>
        </w:rPr>
        <w:t>Etats-Unis</w:t>
      </w:r>
      <w:r w:rsidRPr="00C73365">
        <w:rPr>
          <w:rFonts w:asciiTheme="minorHAnsi" w:hAnsiTheme="minorHAnsi" w:cstheme="minorHAnsi"/>
          <w:i/>
          <w:lang w:val="fr-FR"/>
        </w:rPr>
        <w:t xml:space="preserve">), </w:t>
      </w:r>
      <w:r w:rsidRPr="00C73365">
        <w:rPr>
          <w:rFonts w:asciiTheme="minorHAnsi" w:hAnsiTheme="minorHAnsi" w:cstheme="minorHAnsi"/>
          <w:lang w:val="fr-FR"/>
        </w:rPr>
        <w:t>en accord avec</w:t>
      </w:r>
      <w:r w:rsidRPr="00C73365">
        <w:rPr>
          <w:rFonts w:asciiTheme="minorHAnsi" w:hAnsiTheme="minorHAnsi" w:cstheme="minorHAnsi"/>
          <w:i/>
          <w:lang w:val="fr-FR"/>
        </w:rPr>
        <w:t xml:space="preserve"> l’University of Chicago </w:t>
      </w:r>
      <w:r w:rsidRPr="00C73365">
        <w:rPr>
          <w:rFonts w:asciiTheme="minorHAnsi" w:hAnsiTheme="minorHAnsi" w:cstheme="minorHAnsi"/>
          <w:lang w:val="fr-FR"/>
        </w:rPr>
        <w:t>(Chicago,</w:t>
      </w:r>
      <w:r w:rsidRPr="00C73365">
        <w:rPr>
          <w:rFonts w:asciiTheme="minorHAnsi" w:hAnsiTheme="minorHAnsi" w:cstheme="minorHAnsi"/>
          <w:spacing w:val="36"/>
          <w:lang w:val="fr-FR"/>
        </w:rPr>
        <w:t xml:space="preserve"> Illinois, </w:t>
      </w:r>
      <w:r w:rsidRPr="00C73365">
        <w:rPr>
          <w:rFonts w:asciiTheme="minorHAnsi" w:hAnsiTheme="minorHAnsi" w:cstheme="minorHAnsi"/>
          <w:lang w:val="fr-FR"/>
        </w:rPr>
        <w:t xml:space="preserve">Etats-Unis) et </w:t>
      </w:r>
      <w:r w:rsidRPr="00C73365">
        <w:rPr>
          <w:rFonts w:asciiTheme="minorHAnsi" w:hAnsiTheme="minorHAnsi" w:cstheme="minorHAnsi"/>
          <w:i/>
          <w:lang w:val="fr-FR"/>
        </w:rPr>
        <w:t>Brigham Young University</w:t>
      </w:r>
      <w:r w:rsidRPr="00C73365">
        <w:rPr>
          <w:rFonts w:asciiTheme="minorHAnsi" w:hAnsiTheme="minorHAnsi" w:cstheme="minorHAnsi"/>
          <w:lang w:val="fr-FR"/>
        </w:rPr>
        <w:t xml:space="preserve"> (Provo, Utah, Etats-Unis)</w:t>
      </w:r>
      <w:r w:rsidRPr="00C73365">
        <w:rPr>
          <w:rFonts w:asciiTheme="minorHAnsi" w:hAnsiTheme="minorHAnsi" w:cstheme="minorHAnsi"/>
          <w:spacing w:val="36"/>
          <w:lang w:val="fr-FR"/>
        </w:rPr>
        <w:t xml:space="preserve"> </w:t>
      </w:r>
      <w:r w:rsidRPr="00C73365">
        <w:rPr>
          <w:rFonts w:asciiTheme="minorHAnsi" w:hAnsiTheme="minorHAnsi" w:cstheme="minorHAnsi"/>
          <w:lang w:val="fr-FR"/>
        </w:rPr>
        <w:t>a</w:t>
      </w:r>
      <w:r w:rsidRPr="00C73365">
        <w:rPr>
          <w:rFonts w:asciiTheme="minorHAnsi" w:hAnsiTheme="minorHAnsi" w:cstheme="minorHAnsi"/>
          <w:spacing w:val="39"/>
          <w:lang w:val="fr-FR"/>
        </w:rPr>
        <w:t xml:space="preserve"> </w:t>
      </w:r>
      <w:r w:rsidRPr="00C73365">
        <w:rPr>
          <w:rFonts w:asciiTheme="minorHAnsi" w:hAnsiTheme="minorHAnsi" w:cstheme="minorHAnsi"/>
          <w:lang w:val="fr-FR"/>
        </w:rPr>
        <w:t>accordé</w:t>
      </w:r>
      <w:r w:rsidRPr="00C73365">
        <w:rPr>
          <w:rFonts w:asciiTheme="minorHAnsi" w:hAnsiTheme="minorHAnsi" w:cstheme="minorHAnsi"/>
          <w:spacing w:val="25"/>
          <w:lang w:val="fr-FR"/>
        </w:rPr>
        <w:t xml:space="preserve"> à </w:t>
      </w:r>
      <w:r w:rsidR="00EF089C" w:rsidRPr="00C73365">
        <w:rPr>
          <w:rFonts w:asciiTheme="minorHAnsi" w:hAnsiTheme="minorHAnsi" w:cstheme="minorHAnsi"/>
          <w:lang w:val="fr-FR"/>
        </w:rPr>
        <w:t>ABIVAX</w:t>
      </w:r>
      <w:r w:rsidRPr="00C73365">
        <w:rPr>
          <w:rFonts w:asciiTheme="minorHAnsi" w:hAnsiTheme="minorHAnsi" w:cstheme="minorHAnsi"/>
          <w:lang w:val="fr-FR"/>
        </w:rPr>
        <w:t>,</w:t>
      </w:r>
      <w:r w:rsidRPr="00C73365">
        <w:rPr>
          <w:rFonts w:asciiTheme="minorHAnsi" w:hAnsiTheme="minorHAnsi" w:cstheme="minorHAnsi"/>
          <w:spacing w:val="24"/>
          <w:lang w:val="fr-FR"/>
        </w:rPr>
        <w:t xml:space="preserve"> </w:t>
      </w:r>
      <w:r w:rsidRPr="00C73365">
        <w:rPr>
          <w:rFonts w:asciiTheme="minorHAnsi" w:hAnsiTheme="minorHAnsi" w:cstheme="minorHAnsi"/>
          <w:lang w:val="fr-FR"/>
        </w:rPr>
        <w:t>une</w:t>
      </w:r>
      <w:r w:rsidRPr="00C73365">
        <w:rPr>
          <w:rFonts w:asciiTheme="minorHAnsi" w:hAnsiTheme="minorHAnsi" w:cstheme="minorHAnsi"/>
          <w:spacing w:val="24"/>
          <w:lang w:val="fr-FR"/>
        </w:rPr>
        <w:t xml:space="preserve"> </w:t>
      </w:r>
      <w:r w:rsidRPr="00C73365">
        <w:rPr>
          <w:rFonts w:asciiTheme="minorHAnsi" w:hAnsiTheme="minorHAnsi" w:cstheme="minorHAnsi"/>
          <w:lang w:val="fr-FR"/>
        </w:rPr>
        <w:t>licence exclusive dans le domaine de la santé humaine et vétérinaire sur sa technologie et ses produits relatifs à l’utilisation des agonistes iNKT pour la recherche, le diagnostic, la prévention et le traitement de toutes indications possibles.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Cet accord de licence nous donne accès aux brevets et demandes de brevets détaillés dans les tableaux </w:t>
      </w:r>
      <w:r w:rsidR="003B3C7C" w:rsidRPr="00C73365">
        <w:rPr>
          <w:rFonts w:asciiTheme="minorHAnsi" w:hAnsiTheme="minorHAnsi" w:cstheme="minorHAnsi"/>
          <w:lang w:val="fr-FR"/>
        </w:rPr>
        <w:t xml:space="preserve">19 </w:t>
      </w:r>
      <w:r w:rsidRPr="00C73365">
        <w:rPr>
          <w:rFonts w:asciiTheme="minorHAnsi" w:hAnsiTheme="minorHAnsi" w:cstheme="minorHAnsi"/>
          <w:lang w:val="fr-FR"/>
        </w:rPr>
        <w:t xml:space="preserve">à </w:t>
      </w:r>
      <w:r w:rsidR="003B3C7C" w:rsidRPr="00C73365">
        <w:rPr>
          <w:rFonts w:asciiTheme="minorHAnsi" w:hAnsiTheme="minorHAnsi" w:cstheme="minorHAnsi"/>
          <w:lang w:val="fr-FR"/>
        </w:rPr>
        <w:t xml:space="preserve">23 </w:t>
      </w:r>
      <w:r w:rsidRPr="00C73365">
        <w:rPr>
          <w:rFonts w:asciiTheme="minorHAnsi" w:hAnsiTheme="minorHAnsi" w:cstheme="minorHAnsi"/>
          <w:lang w:val="fr-FR"/>
        </w:rPr>
        <w:t>présentés ci-dessus.</w:t>
      </w:r>
    </w:p>
    <w:p w:rsidR="00F46C7B" w:rsidRPr="000E78ED" w:rsidRDefault="00F46C7B" w:rsidP="000E78ED">
      <w:pPr>
        <w:pStyle w:val="BodyText"/>
        <w:rPr>
          <w:rFonts w:asciiTheme="minorHAnsi" w:hAnsiTheme="minorHAnsi" w:cstheme="minorHAnsi"/>
          <w:spacing w:val="3"/>
          <w:lang w:val="fr-FR"/>
        </w:rPr>
      </w:pPr>
      <w:r w:rsidRPr="00C73365">
        <w:rPr>
          <w:rFonts w:asciiTheme="minorHAnsi" w:hAnsiTheme="minorHAnsi" w:cstheme="minorHAnsi"/>
          <w:lang w:val="fr-FR"/>
        </w:rPr>
        <w:t>En</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contrepartie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des</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droits</w:t>
      </w:r>
      <w:r w:rsidRPr="00C73365">
        <w:rPr>
          <w:rFonts w:asciiTheme="minorHAnsi" w:hAnsiTheme="minorHAnsi" w:cstheme="minorHAnsi"/>
          <w:spacing w:val="3"/>
          <w:lang w:val="fr-FR"/>
        </w:rPr>
        <w:t xml:space="preserve"> </w:t>
      </w:r>
      <w:r w:rsidRPr="00C73365">
        <w:rPr>
          <w:rFonts w:asciiTheme="minorHAnsi" w:hAnsiTheme="minorHAnsi" w:cstheme="minorHAnsi"/>
          <w:spacing w:val="-2"/>
          <w:lang w:val="fr-FR"/>
        </w:rPr>
        <w:t>de</w:t>
      </w:r>
      <w:r w:rsidRPr="00C73365">
        <w:rPr>
          <w:rFonts w:asciiTheme="minorHAnsi" w:hAnsiTheme="minorHAnsi" w:cstheme="minorHAnsi"/>
          <w:spacing w:val="5"/>
          <w:lang w:val="fr-FR"/>
        </w:rPr>
        <w:t xml:space="preserve"> </w:t>
      </w:r>
      <w:r w:rsidRPr="00C73365">
        <w:rPr>
          <w:rFonts w:asciiTheme="minorHAnsi" w:hAnsiTheme="minorHAnsi" w:cstheme="minorHAnsi"/>
          <w:lang w:val="fr-FR"/>
        </w:rPr>
        <w:t>licence</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qui</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lui</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sont</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concédés</w:t>
      </w:r>
      <w:r w:rsidRPr="00C73365">
        <w:rPr>
          <w:rFonts w:asciiTheme="minorHAnsi" w:hAnsiTheme="minorHAnsi" w:cstheme="minorHAnsi"/>
          <w:spacing w:val="3"/>
          <w:lang w:val="fr-FR"/>
        </w:rPr>
        <w:t xml:space="preserve"> </w:t>
      </w:r>
      <w:r w:rsidRPr="00C73365">
        <w:rPr>
          <w:rFonts w:asciiTheme="minorHAnsi" w:hAnsiTheme="minorHAnsi" w:cstheme="minorHAnsi"/>
          <w:lang w:val="fr-FR"/>
        </w:rPr>
        <w:t>au</w:t>
      </w:r>
      <w:r w:rsidRPr="00C73365">
        <w:rPr>
          <w:rFonts w:asciiTheme="minorHAnsi" w:hAnsiTheme="minorHAnsi" w:cstheme="minorHAnsi"/>
          <w:spacing w:val="2"/>
          <w:lang w:val="fr-FR"/>
        </w:rPr>
        <w:t xml:space="preserve"> </w:t>
      </w:r>
      <w:r w:rsidRPr="00C73365">
        <w:rPr>
          <w:rFonts w:asciiTheme="minorHAnsi" w:hAnsiTheme="minorHAnsi" w:cstheme="minorHAnsi"/>
          <w:lang w:val="fr-FR"/>
        </w:rPr>
        <w:t>titre</w:t>
      </w:r>
      <w:r w:rsidRPr="00C73365">
        <w:rPr>
          <w:rFonts w:asciiTheme="minorHAnsi" w:hAnsiTheme="minorHAnsi" w:cstheme="minorHAnsi"/>
          <w:spacing w:val="5"/>
          <w:lang w:val="fr-FR"/>
        </w:rPr>
        <w:t xml:space="preserve"> </w:t>
      </w:r>
      <w:r w:rsidRPr="00C73365">
        <w:rPr>
          <w:rFonts w:asciiTheme="minorHAnsi" w:hAnsiTheme="minorHAnsi" w:cstheme="minorHAnsi"/>
          <w:spacing w:val="-2"/>
          <w:lang w:val="fr-FR"/>
        </w:rPr>
        <w:t>de</w:t>
      </w:r>
      <w:r w:rsidRPr="00C73365">
        <w:rPr>
          <w:rFonts w:asciiTheme="minorHAnsi" w:hAnsiTheme="minorHAnsi" w:cstheme="minorHAnsi"/>
          <w:spacing w:val="3"/>
          <w:lang w:val="fr-FR"/>
        </w:rPr>
        <w:t xml:space="preserve"> l’accord, </w:t>
      </w:r>
      <w:r w:rsidR="00EF089C" w:rsidRPr="00C73365">
        <w:rPr>
          <w:rFonts w:asciiTheme="minorHAnsi" w:hAnsiTheme="minorHAnsi" w:cstheme="minorHAnsi"/>
          <w:spacing w:val="3"/>
          <w:lang w:val="fr-FR"/>
        </w:rPr>
        <w:t>ABIVAX</w:t>
      </w:r>
      <w:r w:rsidRPr="00C73365">
        <w:rPr>
          <w:rFonts w:asciiTheme="minorHAnsi" w:hAnsiTheme="minorHAnsi" w:cstheme="minorHAnsi"/>
          <w:spacing w:val="3"/>
          <w:lang w:val="fr-FR"/>
        </w:rPr>
        <w:t xml:space="preserve"> doit </w:t>
      </w:r>
      <w:r w:rsidRPr="004E53D0">
        <w:rPr>
          <w:rFonts w:asciiTheme="minorHAnsi" w:hAnsiTheme="minorHAnsi" w:cstheme="minorHAnsi"/>
          <w:spacing w:val="-1"/>
          <w:lang w:val="fr-FR"/>
        </w:rPr>
        <w:t xml:space="preserve">verser à </w:t>
      </w:r>
      <w:r w:rsidRPr="004E53D0">
        <w:rPr>
          <w:rFonts w:asciiTheme="minorHAnsi" w:hAnsiTheme="minorHAnsi" w:cstheme="minorHAnsi"/>
          <w:lang w:val="fr-FR"/>
        </w:rPr>
        <w:t>The Scripps Research Institute :</w:t>
      </w:r>
    </w:p>
    <w:p w:rsidR="00F46C7B" w:rsidRPr="00E66FAB" w:rsidRDefault="00F46C7B" w:rsidP="004572A0">
      <w:pPr>
        <w:pStyle w:val="ListBullet3"/>
        <w:numPr>
          <w:ilvl w:val="0"/>
          <w:numId w:val="32"/>
        </w:numPr>
        <w:rPr>
          <w:rFonts w:asciiTheme="minorHAnsi" w:hAnsiTheme="minorHAnsi" w:cstheme="minorHAnsi"/>
          <w:lang w:val="fr-FR"/>
        </w:rPr>
      </w:pPr>
      <w:r w:rsidRPr="00E66FAB">
        <w:rPr>
          <w:rFonts w:asciiTheme="minorHAnsi" w:hAnsiTheme="minorHAnsi" w:cstheme="minorHAnsi"/>
          <w:lang w:val="fr-FR"/>
        </w:rPr>
        <w:lastRenderedPageBreak/>
        <w:t>des milestones à différentes étapes de développement clinique et règlementaire du premier produit ;</w:t>
      </w:r>
    </w:p>
    <w:p w:rsidR="00F46C7B" w:rsidRPr="00E66FAB" w:rsidRDefault="00F46C7B" w:rsidP="004572A0">
      <w:pPr>
        <w:pStyle w:val="ListBullet3"/>
        <w:numPr>
          <w:ilvl w:val="0"/>
          <w:numId w:val="32"/>
        </w:numPr>
        <w:rPr>
          <w:rFonts w:asciiTheme="minorHAnsi" w:hAnsiTheme="minorHAnsi" w:cstheme="minorHAnsi"/>
          <w:lang w:val="fr-FR"/>
        </w:rPr>
      </w:pPr>
      <w:r w:rsidRPr="00E66FAB">
        <w:rPr>
          <w:rFonts w:asciiTheme="minorHAnsi" w:hAnsiTheme="minorHAnsi" w:cstheme="minorHAnsi"/>
          <w:lang w:val="fr-FR"/>
        </w:rPr>
        <w:t>des royalties pour  les vaccins, les tests de diagnostic et les produits thérapeutiques, selon le montant des ventes nettes.</w:t>
      </w:r>
    </w:p>
    <w:p w:rsidR="00F46C7B" w:rsidRPr="00E66FAB" w:rsidRDefault="00F46C7B" w:rsidP="004572A0">
      <w:pPr>
        <w:pStyle w:val="ListBullet2"/>
        <w:numPr>
          <w:ilvl w:val="0"/>
          <w:numId w:val="35"/>
        </w:numPr>
        <w:rPr>
          <w:rFonts w:asciiTheme="minorHAnsi" w:hAnsiTheme="minorHAnsi" w:cstheme="minorHAnsi"/>
          <w:lang w:val="fr-FR"/>
        </w:rPr>
      </w:pPr>
      <w:r w:rsidRPr="00E66FAB">
        <w:rPr>
          <w:rFonts w:asciiTheme="minorHAnsi" w:hAnsiTheme="minorHAnsi" w:cstheme="minorHAnsi"/>
          <w:lang w:val="fr-FR"/>
        </w:rPr>
        <w:t xml:space="preserve">accorder à </w:t>
      </w:r>
      <w:r w:rsidRPr="00E66FAB">
        <w:rPr>
          <w:rFonts w:asciiTheme="minorHAnsi" w:hAnsiTheme="minorHAnsi" w:cstheme="minorHAnsi"/>
          <w:i/>
          <w:lang w:val="fr-FR"/>
        </w:rPr>
        <w:t xml:space="preserve">The Scripps Research Institute l’University of Chicago </w:t>
      </w:r>
      <w:r w:rsidRPr="00E66FAB">
        <w:rPr>
          <w:rFonts w:asciiTheme="minorHAnsi" w:hAnsiTheme="minorHAnsi" w:cstheme="minorHAnsi"/>
          <w:lang w:val="fr-FR"/>
        </w:rPr>
        <w:t xml:space="preserve">et </w:t>
      </w:r>
      <w:r w:rsidRPr="00E66FAB">
        <w:rPr>
          <w:rFonts w:asciiTheme="minorHAnsi" w:hAnsiTheme="minorHAnsi" w:cstheme="minorHAnsi"/>
          <w:i/>
          <w:lang w:val="fr-FR"/>
        </w:rPr>
        <w:t>Brigham Young University</w:t>
      </w:r>
      <w:r w:rsidRPr="00E66FAB">
        <w:rPr>
          <w:rFonts w:asciiTheme="minorHAnsi" w:hAnsiTheme="minorHAnsi" w:cstheme="minorHAnsi"/>
          <w:lang w:val="fr-FR"/>
        </w:rPr>
        <w:t>, une participation au capital de la Société (à la date du présent document de référence, ces trois institutions académiques détiennent 1,41% du capital non dilué de la Société).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contrat prendra fin à l’échéance du dernier brevet en vigueur dans le dernier pays et / ou 10 ans après la dernière commercialisation du produit / service / processus issus du savoir-faire ou du matériel concédé.</w:t>
      </w:r>
    </w:p>
    <w:p w:rsidR="00F46C7B" w:rsidRPr="00C73365" w:rsidRDefault="00F46C7B" w:rsidP="00434C49">
      <w:pPr>
        <w:pStyle w:val="ConmainL3"/>
        <w:keepLines/>
        <w:numPr>
          <w:ilvl w:val="2"/>
          <w:numId w:val="96"/>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Contrats de licence concédés par </w:t>
      </w:r>
      <w:r w:rsidR="00EF089C" w:rsidRPr="00C73365">
        <w:rPr>
          <w:rFonts w:asciiTheme="minorHAnsi" w:hAnsiTheme="minorHAnsi" w:cstheme="minorHAnsi"/>
          <w:b/>
          <w:color w:val="7030A0"/>
          <w:lang w:val="fr-FR"/>
        </w:rPr>
        <w:t>ABIVAX</w:t>
      </w:r>
      <w:r w:rsidRPr="00C73365">
        <w:rPr>
          <w:rFonts w:asciiTheme="minorHAnsi" w:hAnsiTheme="minorHAnsi" w:cstheme="minorHAnsi"/>
          <w:b/>
          <w:color w:val="7030A0"/>
          <w:lang w:val="fr-FR"/>
        </w:rPr>
        <w:t xml:space="preserve"> à des tiers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16 Juin 2016,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concédé à Theradiag une licence exclusive d’utilisation de la technologie en vue du développement des applications du brevet « MIR 124 » (ref : WO2014/111892) et ses applications dans le domaine théranostique. Les conditions d’exploitation des résultats éventuels de ce développement feront l’objet d’un contrat séparé à une date ultérieure.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contrat reste en vigueur sauf en cas de résiliation anticipée jusqu’à la plus lointaine des trois échéances suivantes :</w:t>
      </w:r>
    </w:p>
    <w:p w:rsidR="00F46C7B" w:rsidRPr="00E66FAB" w:rsidRDefault="00F46C7B" w:rsidP="00F844DD">
      <w:pPr>
        <w:pStyle w:val="ListBullet2"/>
        <w:numPr>
          <w:ilvl w:val="0"/>
          <w:numId w:val="35"/>
        </w:numPr>
        <w:spacing w:after="0"/>
        <w:rPr>
          <w:rFonts w:asciiTheme="minorHAnsi" w:hAnsiTheme="minorHAnsi" w:cstheme="minorHAnsi"/>
          <w:lang w:val="fr-FR"/>
        </w:rPr>
      </w:pPr>
      <w:r w:rsidRPr="00E66FAB">
        <w:rPr>
          <w:rFonts w:asciiTheme="minorHAnsi" w:hAnsiTheme="minorHAnsi" w:cstheme="minorHAnsi"/>
          <w:lang w:val="fr-FR"/>
        </w:rPr>
        <w:t>L’expiration ou l’invalidation du dernier Brevet</w:t>
      </w:r>
    </w:p>
    <w:p w:rsidR="00F46C7B" w:rsidRPr="00E66FAB" w:rsidRDefault="00F46C7B" w:rsidP="00F844DD">
      <w:pPr>
        <w:pStyle w:val="ListBullet2"/>
        <w:numPr>
          <w:ilvl w:val="0"/>
          <w:numId w:val="35"/>
        </w:numPr>
        <w:spacing w:after="0"/>
        <w:rPr>
          <w:rFonts w:asciiTheme="minorHAnsi" w:hAnsiTheme="minorHAnsi" w:cstheme="minorHAnsi"/>
          <w:lang w:val="fr-FR"/>
        </w:rPr>
      </w:pPr>
      <w:r w:rsidRPr="00E66FAB">
        <w:rPr>
          <w:rFonts w:asciiTheme="minorHAnsi" w:hAnsiTheme="minorHAnsi" w:cstheme="minorHAnsi"/>
          <w:lang w:val="fr-FR"/>
        </w:rPr>
        <w:t>L’expiration de la protection conférée au dernier Brevet ou Produit par les Certificats Complémentaire de Protection</w:t>
      </w:r>
    </w:p>
    <w:p w:rsidR="00F46C7B" w:rsidRPr="00E66FAB" w:rsidRDefault="00F46C7B" w:rsidP="00F844DD">
      <w:pPr>
        <w:pStyle w:val="ListBullet2"/>
        <w:numPr>
          <w:ilvl w:val="0"/>
          <w:numId w:val="35"/>
        </w:numPr>
        <w:spacing w:after="0"/>
        <w:rPr>
          <w:rFonts w:asciiTheme="minorHAnsi" w:hAnsiTheme="minorHAnsi" w:cstheme="minorHAnsi"/>
          <w:lang w:val="fr-FR"/>
        </w:rPr>
      </w:pPr>
      <w:r w:rsidRPr="00E66FAB">
        <w:rPr>
          <w:rFonts w:asciiTheme="minorHAnsi" w:hAnsiTheme="minorHAnsi" w:cstheme="minorHAnsi"/>
          <w:lang w:val="fr-FR"/>
        </w:rPr>
        <w:t>L’expiration de la période du « market exclusivity » conférée par l’obtention d’une AMM orpheline et/ou d’un PUMA (« </w:t>
      </w:r>
      <w:r w:rsidRPr="00E66FAB">
        <w:rPr>
          <w:rFonts w:asciiTheme="minorHAnsi" w:hAnsiTheme="minorHAnsi" w:cstheme="minorHAnsi"/>
          <w:shd w:val="clear" w:color="auto" w:fill="FFFFFF"/>
          <w:lang w:val="fr-FR"/>
        </w:rPr>
        <w:t>paediatric-use marketing authorisation » – autorisation de commercialisation pour usage pédiatrique</w:t>
      </w:r>
      <w:r w:rsidRPr="00E66FAB">
        <w:rPr>
          <w:rFonts w:asciiTheme="minorHAnsi" w:hAnsiTheme="minorHAnsi" w:cstheme="minorHAnsi"/>
          <w:lang w:val="fr-FR"/>
        </w:rPr>
        <w:t>),  ou toute autre réglementation équivalente.</w:t>
      </w:r>
    </w:p>
    <w:p w:rsidR="00F46C7B" w:rsidRPr="00C73365" w:rsidRDefault="00F46C7B">
      <w:pPr>
        <w:rPr>
          <w:rFonts w:asciiTheme="minorHAnsi" w:hAnsiTheme="minorHAnsi" w:cstheme="minorHAnsi"/>
          <w:spacing w:val="-1"/>
          <w:szCs w:val="20"/>
          <w:lang w:val="fr-FR"/>
        </w:rPr>
      </w:pPr>
    </w:p>
    <w:p w:rsidR="00F46C7B" w:rsidRPr="00C73365" w:rsidRDefault="00F46C7B" w:rsidP="00434C49">
      <w:pPr>
        <w:pStyle w:val="ConmainL2"/>
        <w:numPr>
          <w:ilvl w:val="1"/>
          <w:numId w:val="96"/>
        </w:numPr>
        <w:spacing w:after="120"/>
        <w:rPr>
          <w:rFonts w:asciiTheme="minorHAnsi" w:hAnsiTheme="minorHAnsi" w:cstheme="minorHAnsi"/>
          <w:sz w:val="22"/>
          <w:szCs w:val="22"/>
          <w:lang w:val="fr-FR"/>
        </w:rPr>
      </w:pPr>
      <w:bookmarkStart w:id="724" w:name="_Toc461441239"/>
      <w:bookmarkStart w:id="725" w:name="_Toc461441240"/>
      <w:bookmarkStart w:id="726" w:name="_Toc406257030"/>
      <w:bookmarkStart w:id="727" w:name="_Toc462673261"/>
      <w:bookmarkStart w:id="728" w:name="_Toc467835608"/>
      <w:bookmarkStart w:id="729" w:name="_Toc512863923"/>
      <w:bookmarkEnd w:id="724"/>
      <w:bookmarkEnd w:id="725"/>
      <w:r w:rsidRPr="00C73365">
        <w:rPr>
          <w:rFonts w:asciiTheme="minorHAnsi" w:hAnsiTheme="minorHAnsi" w:cstheme="minorHAnsi"/>
          <w:sz w:val="22"/>
          <w:szCs w:val="22"/>
          <w:lang w:val="fr-FR"/>
        </w:rPr>
        <w:t>Marques, demandes de marque et noms de domaine</w:t>
      </w:r>
      <w:bookmarkEnd w:id="726"/>
      <w:bookmarkEnd w:id="727"/>
      <w:bookmarkEnd w:id="728"/>
      <w:bookmarkEnd w:id="729"/>
    </w:p>
    <w:p w:rsidR="00F46C7B" w:rsidRPr="00C73365" w:rsidRDefault="00F46C7B" w:rsidP="00434C49">
      <w:pPr>
        <w:pStyle w:val="ConmainL3"/>
        <w:keepLines/>
        <w:numPr>
          <w:ilvl w:val="2"/>
          <w:numId w:val="96"/>
        </w:numPr>
        <w:spacing w:after="120"/>
        <w:rPr>
          <w:rFonts w:asciiTheme="minorHAnsi" w:hAnsiTheme="minorHAnsi" w:cstheme="minorHAnsi"/>
          <w:b/>
          <w:color w:val="7030A0"/>
          <w:lang w:val="fr-FR"/>
        </w:rPr>
      </w:pPr>
      <w:bookmarkStart w:id="730" w:name="_Toc290245350"/>
      <w:bookmarkStart w:id="731" w:name="_Toc290293275"/>
      <w:bookmarkStart w:id="732" w:name="_Toc290294909"/>
      <w:bookmarkStart w:id="733" w:name="_Toc291712677"/>
      <w:bookmarkStart w:id="734" w:name="_Toc292267516"/>
      <w:bookmarkStart w:id="735" w:name="_Toc292876436"/>
      <w:bookmarkStart w:id="736" w:name="_Toc293328270"/>
      <w:bookmarkStart w:id="737" w:name="_Toc299090657"/>
      <w:bookmarkStart w:id="738" w:name="_Toc299092955"/>
      <w:bookmarkStart w:id="739" w:name="_Toc299094440"/>
      <w:r w:rsidRPr="00C73365">
        <w:rPr>
          <w:rFonts w:asciiTheme="minorHAnsi" w:hAnsiTheme="minorHAnsi" w:cstheme="minorHAnsi"/>
          <w:b/>
          <w:color w:val="7030A0"/>
          <w:lang w:val="fr-FR"/>
        </w:rPr>
        <w:t>Marques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a déposé les marques suivantes :</w:t>
      </w:r>
    </w:p>
    <w:tbl>
      <w:tblPr>
        <w:tblW w:w="9485" w:type="dxa"/>
        <w:tblInd w:w="70" w:type="dxa"/>
        <w:tblCellMar>
          <w:left w:w="70" w:type="dxa"/>
          <w:right w:w="70" w:type="dxa"/>
        </w:tblCellMar>
        <w:tblLook w:val="04A0" w:firstRow="1" w:lastRow="0" w:firstColumn="1" w:lastColumn="0" w:noHBand="0" w:noVBand="1"/>
      </w:tblPr>
      <w:tblGrid>
        <w:gridCol w:w="1270"/>
        <w:gridCol w:w="1270"/>
        <w:gridCol w:w="3135"/>
        <w:gridCol w:w="1270"/>
        <w:gridCol w:w="1270"/>
        <w:gridCol w:w="1270"/>
      </w:tblGrid>
      <w:tr w:rsidR="00FE1605" w:rsidRPr="00C73365" w:rsidTr="00981866">
        <w:trPr>
          <w:trHeight w:val="87"/>
        </w:trPr>
        <w:tc>
          <w:tcPr>
            <w:tcW w:w="1270" w:type="dxa"/>
            <w:tcBorders>
              <w:top w:val="single" w:sz="12"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Marque</w:t>
            </w:r>
          </w:p>
        </w:tc>
        <w:tc>
          <w:tcPr>
            <w:tcW w:w="1270" w:type="dxa"/>
            <w:tcBorders>
              <w:top w:val="single" w:sz="12"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Numéro</w:t>
            </w:r>
          </w:p>
        </w:tc>
        <w:tc>
          <w:tcPr>
            <w:tcW w:w="3135" w:type="dxa"/>
            <w:tcBorders>
              <w:top w:val="single" w:sz="12"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Statut</w:t>
            </w:r>
          </w:p>
        </w:tc>
        <w:tc>
          <w:tcPr>
            <w:tcW w:w="1270" w:type="dxa"/>
            <w:tcBorders>
              <w:top w:val="single" w:sz="12"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Date de dépôt</w:t>
            </w:r>
          </w:p>
        </w:tc>
        <w:tc>
          <w:tcPr>
            <w:tcW w:w="1270" w:type="dxa"/>
            <w:tcBorders>
              <w:top w:val="single" w:sz="12"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Territoire</w:t>
            </w:r>
          </w:p>
        </w:tc>
        <w:tc>
          <w:tcPr>
            <w:tcW w:w="1270" w:type="dxa"/>
            <w:tcBorders>
              <w:top w:val="single" w:sz="12"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Classe</w:t>
            </w:r>
          </w:p>
        </w:tc>
      </w:tr>
      <w:tr w:rsidR="00FE1605" w:rsidRPr="00C73365" w:rsidTr="00981866">
        <w:trPr>
          <w:trHeight w:val="224"/>
        </w:trPr>
        <w:tc>
          <w:tcPr>
            <w:tcW w:w="1270" w:type="dxa"/>
            <w:vMerge w:val="restart"/>
            <w:tcBorders>
              <w:top w:val="nil"/>
              <w:left w:val="nil"/>
              <w:bottom w:val="single" w:sz="8" w:space="0" w:color="7030A0"/>
              <w:right w:val="nil"/>
            </w:tcBorders>
            <w:shd w:val="clear" w:color="auto" w:fill="auto"/>
            <w:vAlign w:val="center"/>
            <w:hideMark/>
          </w:tcPr>
          <w:p w:rsidR="00FE1605"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vMerge w:val="restart"/>
            <w:tcBorders>
              <w:top w:val="nil"/>
              <w:left w:val="nil"/>
              <w:bottom w:val="single" w:sz="8" w:space="0" w:color="7030A0"/>
              <w:right w:val="nil"/>
            </w:tcBorders>
            <w:shd w:val="clear" w:color="auto" w:fill="auto"/>
            <w:noWrap/>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1 732 388</w:t>
            </w:r>
          </w:p>
        </w:tc>
        <w:tc>
          <w:tcPr>
            <w:tcW w:w="3135" w:type="dxa"/>
            <w:tcBorders>
              <w:top w:val="nil"/>
              <w:left w:val="nil"/>
              <w:bottom w:val="nil"/>
              <w:right w:val="nil"/>
            </w:tcBorders>
            <w:shd w:val="clear" w:color="auto" w:fill="auto"/>
            <w:vAlign w:val="center"/>
            <w:hideMark/>
          </w:tcPr>
          <w:p w:rsidR="00FE1605" w:rsidRPr="00C73365" w:rsidRDefault="00FE1605">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Déposée</w:t>
            </w:r>
          </w:p>
        </w:tc>
        <w:tc>
          <w:tcPr>
            <w:tcW w:w="1270" w:type="dxa"/>
            <w:vMerge w:val="restart"/>
            <w:tcBorders>
              <w:top w:val="nil"/>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11-juin-15</w:t>
            </w:r>
          </w:p>
        </w:tc>
        <w:tc>
          <w:tcPr>
            <w:tcW w:w="1270" w:type="dxa"/>
            <w:vMerge w:val="restart"/>
            <w:tcBorders>
              <w:top w:val="nil"/>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Canada</w:t>
            </w:r>
          </w:p>
        </w:tc>
        <w:tc>
          <w:tcPr>
            <w:tcW w:w="1270" w:type="dxa"/>
            <w:vMerge w:val="restart"/>
            <w:tcBorders>
              <w:top w:val="nil"/>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FE1605" w:rsidRPr="008C1A4A" w:rsidTr="00C50FC3">
        <w:trPr>
          <w:trHeight w:val="438"/>
        </w:trPr>
        <w:tc>
          <w:tcPr>
            <w:tcW w:w="1270" w:type="dxa"/>
            <w:vMerge/>
            <w:tcBorders>
              <w:top w:val="nil"/>
              <w:left w:val="nil"/>
              <w:bottom w:val="single" w:sz="8" w:space="0" w:color="7030A0"/>
              <w:right w:val="nil"/>
            </w:tcBorders>
            <w:vAlign w:val="center"/>
            <w:hideMark/>
          </w:tcPr>
          <w:p w:rsidR="00FE1605" w:rsidRPr="00C73365" w:rsidRDefault="00FE1605">
            <w:pPr>
              <w:rPr>
                <w:rFonts w:asciiTheme="minorHAnsi" w:hAnsiTheme="minorHAnsi" w:cstheme="minorHAnsi"/>
                <w:color w:val="000000"/>
                <w:szCs w:val="20"/>
                <w:lang w:val="fr-FR" w:eastAsia="fr-FR"/>
              </w:rPr>
            </w:pPr>
          </w:p>
        </w:tc>
        <w:tc>
          <w:tcPr>
            <w:tcW w:w="1270" w:type="dxa"/>
            <w:vMerge/>
            <w:tcBorders>
              <w:top w:val="nil"/>
              <w:left w:val="nil"/>
              <w:bottom w:val="single" w:sz="8" w:space="0" w:color="7030A0"/>
              <w:right w:val="nil"/>
            </w:tcBorders>
            <w:vAlign w:val="center"/>
            <w:hideMark/>
          </w:tcPr>
          <w:p w:rsidR="00FE1605" w:rsidRPr="00C73365" w:rsidRDefault="00FE1605">
            <w:pPr>
              <w:rPr>
                <w:rFonts w:asciiTheme="minorHAnsi" w:hAnsiTheme="minorHAnsi" w:cstheme="minorHAnsi"/>
                <w:color w:val="000000"/>
                <w:szCs w:val="20"/>
                <w:lang w:val="fr-FR" w:eastAsia="fr-FR"/>
              </w:rPr>
            </w:pPr>
          </w:p>
        </w:tc>
        <w:tc>
          <w:tcPr>
            <w:tcW w:w="3135" w:type="dxa"/>
            <w:tcBorders>
              <w:top w:val="nil"/>
              <w:left w:val="nil"/>
              <w:bottom w:val="single" w:sz="8" w:space="0" w:color="7030A0"/>
              <w:right w:val="nil"/>
            </w:tcBorders>
            <w:shd w:val="clear" w:color="auto" w:fill="auto"/>
            <w:vAlign w:val="center"/>
            <w:hideMark/>
          </w:tcPr>
          <w:p w:rsidR="00FE1605" w:rsidRPr="00C73365" w:rsidRDefault="00FE1605">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Déclaration d’usage à produire au plus tard le 11 juin 2018</w:t>
            </w:r>
          </w:p>
        </w:tc>
        <w:tc>
          <w:tcPr>
            <w:tcW w:w="1270" w:type="dxa"/>
            <w:vMerge/>
            <w:tcBorders>
              <w:top w:val="nil"/>
              <w:left w:val="nil"/>
              <w:bottom w:val="single" w:sz="8" w:space="0" w:color="7030A0"/>
              <w:right w:val="nil"/>
            </w:tcBorders>
            <w:vAlign w:val="center"/>
            <w:hideMark/>
          </w:tcPr>
          <w:p w:rsidR="00FE1605" w:rsidRPr="00C73365" w:rsidRDefault="00FE1605">
            <w:pPr>
              <w:rPr>
                <w:rFonts w:asciiTheme="minorHAnsi" w:hAnsiTheme="minorHAnsi" w:cstheme="minorHAnsi"/>
                <w:color w:val="000000"/>
                <w:szCs w:val="20"/>
                <w:lang w:val="fr-FR" w:eastAsia="fr-FR"/>
              </w:rPr>
            </w:pPr>
          </w:p>
        </w:tc>
        <w:tc>
          <w:tcPr>
            <w:tcW w:w="1270" w:type="dxa"/>
            <w:vMerge/>
            <w:tcBorders>
              <w:top w:val="nil"/>
              <w:left w:val="nil"/>
              <w:bottom w:val="single" w:sz="8" w:space="0" w:color="7030A0"/>
              <w:right w:val="nil"/>
            </w:tcBorders>
            <w:vAlign w:val="center"/>
            <w:hideMark/>
          </w:tcPr>
          <w:p w:rsidR="00FE1605" w:rsidRPr="00C73365" w:rsidRDefault="00FE1605">
            <w:pPr>
              <w:rPr>
                <w:rFonts w:asciiTheme="minorHAnsi" w:hAnsiTheme="minorHAnsi" w:cstheme="minorHAnsi"/>
                <w:color w:val="000000"/>
                <w:szCs w:val="20"/>
                <w:lang w:val="fr-FR" w:eastAsia="fr-FR"/>
              </w:rPr>
            </w:pPr>
          </w:p>
        </w:tc>
        <w:tc>
          <w:tcPr>
            <w:tcW w:w="1270" w:type="dxa"/>
            <w:vMerge/>
            <w:tcBorders>
              <w:top w:val="nil"/>
              <w:left w:val="nil"/>
              <w:bottom w:val="single" w:sz="8" w:space="0" w:color="7030A0"/>
              <w:right w:val="nil"/>
            </w:tcBorders>
            <w:vAlign w:val="center"/>
            <w:hideMark/>
          </w:tcPr>
          <w:p w:rsidR="00FE1605" w:rsidRPr="00C73365" w:rsidRDefault="00FE1605">
            <w:pPr>
              <w:rPr>
                <w:rFonts w:asciiTheme="minorHAnsi" w:hAnsiTheme="minorHAnsi" w:cstheme="minorHAnsi"/>
                <w:color w:val="000000"/>
                <w:szCs w:val="20"/>
                <w:lang w:val="fr-FR" w:eastAsia="fr-FR"/>
              </w:rPr>
            </w:pPr>
          </w:p>
        </w:tc>
      </w:tr>
      <w:tr w:rsidR="0041326F" w:rsidRPr="00C73365" w:rsidTr="00C50FC3">
        <w:trPr>
          <w:trHeight w:val="488"/>
        </w:trPr>
        <w:tc>
          <w:tcPr>
            <w:tcW w:w="1270" w:type="dxa"/>
            <w:tcBorders>
              <w:top w:val="single" w:sz="8" w:space="0" w:color="7030A0"/>
              <w:left w:val="nil"/>
              <w:bottom w:val="single" w:sz="4" w:space="0" w:color="7030A0"/>
              <w:right w:val="nil"/>
            </w:tcBorders>
            <w:shd w:val="clear" w:color="auto" w:fill="auto"/>
            <w:vAlign w:val="center"/>
            <w:hideMark/>
          </w:tcPr>
          <w:p w:rsidR="0041326F"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tcBorders>
              <w:top w:val="single" w:sz="8" w:space="0" w:color="7030A0"/>
              <w:left w:val="nil"/>
              <w:bottom w:val="single" w:sz="4" w:space="0" w:color="7030A0"/>
              <w:right w:val="nil"/>
            </w:tcBorders>
            <w:shd w:val="clear" w:color="auto" w:fill="auto"/>
            <w:noWrap/>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013957212</w:t>
            </w:r>
          </w:p>
        </w:tc>
        <w:tc>
          <w:tcPr>
            <w:tcW w:w="3135" w:type="dxa"/>
            <w:tcBorders>
              <w:top w:val="single" w:sz="8" w:space="0" w:color="7030A0"/>
              <w:left w:val="nil"/>
              <w:bottom w:val="single" w:sz="4" w:space="0" w:color="7030A0"/>
              <w:right w:val="nil"/>
            </w:tcBorders>
            <w:shd w:val="clear" w:color="auto" w:fill="auto"/>
            <w:vAlign w:val="center"/>
            <w:hideMark/>
          </w:tcPr>
          <w:p w:rsidR="0041326F" w:rsidRPr="00C73365" w:rsidRDefault="0041326F">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Enregistrée</w:t>
            </w:r>
          </w:p>
        </w:tc>
        <w:tc>
          <w:tcPr>
            <w:tcW w:w="1270" w:type="dxa"/>
            <w:tcBorders>
              <w:top w:val="single" w:sz="8" w:space="0" w:color="7030A0"/>
              <w:left w:val="nil"/>
              <w:bottom w:val="single" w:sz="4" w:space="0" w:color="7030A0"/>
              <w:right w:val="nil"/>
            </w:tcBorders>
            <w:shd w:val="clear" w:color="auto" w:fill="auto"/>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16-avr-15</w:t>
            </w:r>
          </w:p>
        </w:tc>
        <w:tc>
          <w:tcPr>
            <w:tcW w:w="1270" w:type="dxa"/>
            <w:tcBorders>
              <w:top w:val="single" w:sz="8" w:space="0" w:color="7030A0"/>
              <w:left w:val="nil"/>
              <w:bottom w:val="single" w:sz="4" w:space="0" w:color="7030A0"/>
              <w:right w:val="nil"/>
            </w:tcBorders>
            <w:shd w:val="clear" w:color="auto" w:fill="auto"/>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UE</w:t>
            </w:r>
          </w:p>
        </w:tc>
        <w:tc>
          <w:tcPr>
            <w:tcW w:w="1270" w:type="dxa"/>
            <w:tcBorders>
              <w:top w:val="single" w:sz="8" w:space="0" w:color="7030A0"/>
              <w:left w:val="nil"/>
              <w:bottom w:val="single" w:sz="4" w:space="0" w:color="7030A0"/>
              <w:right w:val="nil"/>
            </w:tcBorders>
            <w:shd w:val="clear" w:color="auto" w:fill="auto"/>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FE1605" w:rsidRPr="00C73365" w:rsidTr="00C50FC3">
        <w:trPr>
          <w:trHeight w:val="233"/>
        </w:trPr>
        <w:tc>
          <w:tcPr>
            <w:tcW w:w="1270" w:type="dxa"/>
            <w:tcBorders>
              <w:top w:val="single" w:sz="4" w:space="0" w:color="7030A0"/>
              <w:left w:val="nil"/>
              <w:bottom w:val="single" w:sz="8" w:space="0" w:color="7030A0"/>
              <w:right w:val="nil"/>
            </w:tcBorders>
            <w:shd w:val="clear" w:color="auto" w:fill="auto"/>
            <w:vAlign w:val="center"/>
            <w:hideMark/>
          </w:tcPr>
          <w:p w:rsidR="00FE1605"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tcBorders>
              <w:top w:val="single" w:sz="4" w:space="0" w:color="7030A0"/>
              <w:left w:val="nil"/>
              <w:bottom w:val="single" w:sz="8" w:space="0" w:color="7030A0"/>
              <w:right w:val="nil"/>
            </w:tcBorders>
            <w:shd w:val="clear" w:color="auto" w:fill="auto"/>
            <w:noWrap/>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4 698 349</w:t>
            </w:r>
          </w:p>
        </w:tc>
        <w:tc>
          <w:tcPr>
            <w:tcW w:w="3135" w:type="dxa"/>
            <w:tcBorders>
              <w:top w:val="single" w:sz="4" w:space="0" w:color="7030A0"/>
              <w:left w:val="nil"/>
              <w:bottom w:val="single" w:sz="8" w:space="0" w:color="7030A0"/>
              <w:right w:val="nil"/>
            </w:tcBorders>
            <w:shd w:val="clear" w:color="auto" w:fill="auto"/>
            <w:vAlign w:val="center"/>
            <w:hideMark/>
          </w:tcPr>
          <w:p w:rsidR="00FE1605" w:rsidRPr="00C73365" w:rsidRDefault="00FE1605">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Enregistrée</w:t>
            </w:r>
          </w:p>
        </w:tc>
        <w:tc>
          <w:tcPr>
            <w:tcW w:w="1270" w:type="dxa"/>
            <w:tcBorders>
              <w:top w:val="single" w:sz="4"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10-mars-15</w:t>
            </w:r>
          </w:p>
        </w:tc>
        <w:tc>
          <w:tcPr>
            <w:tcW w:w="1270" w:type="dxa"/>
            <w:tcBorders>
              <w:top w:val="single" w:sz="4"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Etats-Unis</w:t>
            </w:r>
          </w:p>
        </w:tc>
        <w:tc>
          <w:tcPr>
            <w:tcW w:w="1270" w:type="dxa"/>
            <w:tcBorders>
              <w:top w:val="single" w:sz="4" w:space="0" w:color="7030A0"/>
              <w:left w:val="nil"/>
              <w:bottom w:val="single" w:sz="8" w:space="0" w:color="7030A0"/>
              <w:right w:val="nil"/>
            </w:tcBorders>
            <w:shd w:val="clear" w:color="auto" w:fill="auto"/>
            <w:vAlign w:val="center"/>
            <w:hideMark/>
          </w:tcPr>
          <w:p w:rsidR="00FE1605" w:rsidRPr="00C73365" w:rsidRDefault="00FE1605">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536E1C" w:rsidRPr="00C73365" w:rsidTr="00981866">
        <w:trPr>
          <w:trHeight w:val="233"/>
        </w:trPr>
        <w:tc>
          <w:tcPr>
            <w:tcW w:w="1270" w:type="dxa"/>
            <w:tcBorders>
              <w:top w:val="nil"/>
              <w:left w:val="nil"/>
              <w:bottom w:val="single" w:sz="8" w:space="0" w:color="7030A0"/>
              <w:right w:val="nil"/>
            </w:tcBorders>
            <w:shd w:val="clear" w:color="auto" w:fill="auto"/>
            <w:vAlign w:val="center"/>
            <w:hideMark/>
          </w:tcPr>
          <w:p w:rsidR="00536E1C"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tcBorders>
              <w:top w:val="nil"/>
              <w:left w:val="nil"/>
              <w:bottom w:val="single" w:sz="8" w:space="0" w:color="7030A0"/>
              <w:right w:val="nil"/>
            </w:tcBorders>
            <w:shd w:val="clear" w:color="auto" w:fill="auto"/>
            <w:noWrap/>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13 4 043 749</w:t>
            </w:r>
          </w:p>
        </w:tc>
        <w:tc>
          <w:tcPr>
            <w:tcW w:w="3135" w:type="dxa"/>
            <w:tcBorders>
              <w:top w:val="nil"/>
              <w:left w:val="nil"/>
              <w:bottom w:val="single" w:sz="8" w:space="0" w:color="7030A0"/>
              <w:right w:val="nil"/>
            </w:tcBorders>
            <w:shd w:val="clear" w:color="auto" w:fill="auto"/>
            <w:vAlign w:val="center"/>
            <w:hideMark/>
          </w:tcPr>
          <w:p w:rsidR="00536E1C" w:rsidRPr="00C73365" w:rsidRDefault="00536E1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Enregistrée</w:t>
            </w:r>
          </w:p>
        </w:tc>
        <w:tc>
          <w:tcPr>
            <w:tcW w:w="1270" w:type="dxa"/>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30-oct-13</w:t>
            </w:r>
          </w:p>
        </w:tc>
        <w:tc>
          <w:tcPr>
            <w:tcW w:w="1270" w:type="dxa"/>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France</w:t>
            </w:r>
          </w:p>
        </w:tc>
        <w:tc>
          <w:tcPr>
            <w:tcW w:w="1270" w:type="dxa"/>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536E1C" w:rsidRPr="00C73365" w:rsidTr="00C50FC3">
        <w:trPr>
          <w:trHeight w:val="233"/>
        </w:trPr>
        <w:tc>
          <w:tcPr>
            <w:tcW w:w="1270" w:type="dxa"/>
            <w:tcBorders>
              <w:top w:val="nil"/>
              <w:left w:val="nil"/>
              <w:bottom w:val="single" w:sz="8" w:space="0" w:color="7030A0"/>
              <w:right w:val="nil"/>
            </w:tcBorders>
            <w:shd w:val="clear" w:color="auto" w:fill="auto"/>
            <w:vAlign w:val="center"/>
            <w:hideMark/>
          </w:tcPr>
          <w:p w:rsidR="00536E1C"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tcBorders>
              <w:top w:val="nil"/>
              <w:left w:val="nil"/>
              <w:bottom w:val="single" w:sz="8" w:space="0" w:color="7030A0"/>
              <w:right w:val="nil"/>
            </w:tcBorders>
            <w:shd w:val="clear" w:color="auto" w:fill="auto"/>
            <w:noWrap/>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1 260 622</w:t>
            </w:r>
          </w:p>
        </w:tc>
        <w:tc>
          <w:tcPr>
            <w:tcW w:w="3135" w:type="dxa"/>
            <w:tcBorders>
              <w:top w:val="nil"/>
              <w:left w:val="nil"/>
              <w:bottom w:val="single" w:sz="8" w:space="0" w:color="7030A0"/>
              <w:right w:val="nil"/>
            </w:tcBorders>
            <w:shd w:val="clear" w:color="auto" w:fill="auto"/>
            <w:vAlign w:val="center"/>
            <w:hideMark/>
          </w:tcPr>
          <w:p w:rsidR="00536E1C" w:rsidRPr="00C73365" w:rsidRDefault="00536E1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Enregistrée</w:t>
            </w:r>
          </w:p>
        </w:tc>
        <w:tc>
          <w:tcPr>
            <w:tcW w:w="1270" w:type="dxa"/>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07-mai-15</w:t>
            </w:r>
          </w:p>
        </w:tc>
        <w:tc>
          <w:tcPr>
            <w:tcW w:w="1270" w:type="dxa"/>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Cuba</w:t>
            </w:r>
          </w:p>
        </w:tc>
        <w:tc>
          <w:tcPr>
            <w:tcW w:w="1270" w:type="dxa"/>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41326F" w:rsidRPr="00C73365" w:rsidTr="00C50FC3">
        <w:trPr>
          <w:trHeight w:val="362"/>
        </w:trPr>
        <w:tc>
          <w:tcPr>
            <w:tcW w:w="1270" w:type="dxa"/>
            <w:tcBorders>
              <w:top w:val="nil"/>
              <w:left w:val="nil"/>
              <w:bottom w:val="single" w:sz="8" w:space="0" w:color="7030A0"/>
              <w:right w:val="nil"/>
            </w:tcBorders>
            <w:shd w:val="clear" w:color="auto" w:fill="auto"/>
            <w:vAlign w:val="center"/>
            <w:hideMark/>
          </w:tcPr>
          <w:p w:rsidR="0041326F"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tcBorders>
              <w:top w:val="nil"/>
              <w:left w:val="nil"/>
              <w:bottom w:val="single" w:sz="8" w:space="0" w:color="7030A0"/>
              <w:right w:val="nil"/>
            </w:tcBorders>
            <w:shd w:val="clear" w:color="auto" w:fill="auto"/>
            <w:noWrap/>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2984677</w:t>
            </w:r>
          </w:p>
        </w:tc>
        <w:tc>
          <w:tcPr>
            <w:tcW w:w="3135" w:type="dxa"/>
            <w:tcBorders>
              <w:top w:val="single" w:sz="8" w:space="0" w:color="7030A0"/>
              <w:left w:val="nil"/>
              <w:bottom w:val="single" w:sz="4" w:space="0" w:color="7030A0"/>
              <w:right w:val="nil"/>
            </w:tcBorders>
            <w:shd w:val="clear" w:color="auto" w:fill="auto"/>
            <w:vAlign w:val="center"/>
          </w:tcPr>
          <w:p w:rsidR="0041326F" w:rsidRPr="00C73365" w:rsidRDefault="0041326F">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Enregistrée</w:t>
            </w:r>
          </w:p>
        </w:tc>
        <w:tc>
          <w:tcPr>
            <w:tcW w:w="1270" w:type="dxa"/>
            <w:tcBorders>
              <w:top w:val="nil"/>
              <w:left w:val="nil"/>
              <w:bottom w:val="single" w:sz="8" w:space="0" w:color="7030A0"/>
              <w:right w:val="nil"/>
            </w:tcBorders>
            <w:shd w:val="clear" w:color="auto" w:fill="auto"/>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12-juin-15</w:t>
            </w:r>
          </w:p>
        </w:tc>
        <w:tc>
          <w:tcPr>
            <w:tcW w:w="1270" w:type="dxa"/>
            <w:tcBorders>
              <w:top w:val="nil"/>
              <w:left w:val="nil"/>
              <w:bottom w:val="single" w:sz="8" w:space="0" w:color="7030A0"/>
              <w:right w:val="nil"/>
            </w:tcBorders>
            <w:shd w:val="clear" w:color="auto" w:fill="auto"/>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Inde</w:t>
            </w:r>
          </w:p>
        </w:tc>
        <w:tc>
          <w:tcPr>
            <w:tcW w:w="1270" w:type="dxa"/>
            <w:tcBorders>
              <w:top w:val="nil"/>
              <w:left w:val="nil"/>
              <w:bottom w:val="single" w:sz="8" w:space="0" w:color="7030A0"/>
              <w:right w:val="nil"/>
            </w:tcBorders>
            <w:shd w:val="clear" w:color="auto" w:fill="auto"/>
            <w:vAlign w:val="center"/>
            <w:hideMark/>
          </w:tcPr>
          <w:p w:rsidR="0041326F" w:rsidRPr="00C73365" w:rsidRDefault="0041326F">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536E1C" w:rsidRPr="00C73365" w:rsidTr="00C50FC3">
        <w:trPr>
          <w:trHeight w:val="102"/>
        </w:trPr>
        <w:tc>
          <w:tcPr>
            <w:tcW w:w="1270" w:type="dxa"/>
            <w:vMerge w:val="restart"/>
            <w:tcBorders>
              <w:top w:val="nil"/>
              <w:left w:val="nil"/>
              <w:bottom w:val="single" w:sz="8" w:space="0" w:color="7030A0"/>
              <w:right w:val="nil"/>
            </w:tcBorders>
            <w:shd w:val="clear" w:color="auto" w:fill="auto"/>
            <w:vAlign w:val="center"/>
            <w:hideMark/>
          </w:tcPr>
          <w:p w:rsidR="00536E1C"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270" w:type="dxa"/>
            <w:vMerge w:val="restart"/>
            <w:tcBorders>
              <w:top w:val="nil"/>
              <w:left w:val="nil"/>
              <w:bottom w:val="single" w:sz="8" w:space="0" w:color="7030A0"/>
              <w:right w:val="nil"/>
            </w:tcBorders>
            <w:shd w:val="clear" w:color="auto" w:fill="auto"/>
            <w:noWrap/>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2015-15483</w:t>
            </w:r>
          </w:p>
        </w:tc>
        <w:tc>
          <w:tcPr>
            <w:tcW w:w="3135" w:type="dxa"/>
            <w:tcBorders>
              <w:top w:val="single" w:sz="4" w:space="0" w:color="7030A0"/>
              <w:left w:val="nil"/>
              <w:bottom w:val="nil"/>
              <w:right w:val="nil"/>
            </w:tcBorders>
            <w:shd w:val="clear" w:color="auto" w:fill="auto"/>
            <w:vAlign w:val="center"/>
            <w:hideMark/>
          </w:tcPr>
          <w:p w:rsidR="00536E1C" w:rsidRPr="00C73365" w:rsidRDefault="001972DF">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Demande publiée le 20 décembre 2017</w:t>
            </w:r>
          </w:p>
        </w:tc>
        <w:tc>
          <w:tcPr>
            <w:tcW w:w="1270" w:type="dxa"/>
            <w:vMerge w:val="restart"/>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12-juin-15</w:t>
            </w:r>
          </w:p>
        </w:tc>
        <w:tc>
          <w:tcPr>
            <w:tcW w:w="1270" w:type="dxa"/>
            <w:vMerge w:val="restart"/>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Afrique du Sud</w:t>
            </w:r>
          </w:p>
        </w:tc>
        <w:tc>
          <w:tcPr>
            <w:tcW w:w="1270" w:type="dxa"/>
            <w:vMerge w:val="restart"/>
            <w:tcBorders>
              <w:top w:val="nil"/>
              <w:left w:val="nil"/>
              <w:bottom w:val="single" w:sz="8" w:space="0" w:color="7030A0"/>
              <w:right w:val="nil"/>
            </w:tcBorders>
            <w:shd w:val="clear" w:color="auto" w:fill="auto"/>
            <w:vAlign w:val="center"/>
            <w:hideMark/>
          </w:tcPr>
          <w:p w:rsidR="00536E1C" w:rsidRPr="00C73365" w:rsidRDefault="00536E1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w:t>
            </w:r>
          </w:p>
        </w:tc>
      </w:tr>
      <w:tr w:rsidR="00536E1C" w:rsidRPr="00C73365" w:rsidTr="00981866">
        <w:trPr>
          <w:trHeight w:val="438"/>
        </w:trPr>
        <w:tc>
          <w:tcPr>
            <w:tcW w:w="1270" w:type="dxa"/>
            <w:vMerge/>
            <w:tcBorders>
              <w:top w:val="nil"/>
              <w:left w:val="nil"/>
              <w:bottom w:val="single" w:sz="8" w:space="0" w:color="7030A0"/>
              <w:right w:val="nil"/>
            </w:tcBorders>
            <w:vAlign w:val="center"/>
            <w:hideMark/>
          </w:tcPr>
          <w:p w:rsidR="00536E1C" w:rsidRPr="00C73365" w:rsidRDefault="00536E1C">
            <w:pPr>
              <w:rPr>
                <w:rFonts w:asciiTheme="minorHAnsi" w:hAnsiTheme="minorHAnsi" w:cstheme="minorHAnsi"/>
                <w:color w:val="000000"/>
                <w:szCs w:val="20"/>
                <w:lang w:val="fr-FR" w:eastAsia="fr-FR"/>
              </w:rPr>
            </w:pPr>
          </w:p>
        </w:tc>
        <w:tc>
          <w:tcPr>
            <w:tcW w:w="1270" w:type="dxa"/>
            <w:vMerge/>
            <w:tcBorders>
              <w:top w:val="nil"/>
              <w:left w:val="nil"/>
              <w:bottom w:val="single" w:sz="8" w:space="0" w:color="7030A0"/>
              <w:right w:val="nil"/>
            </w:tcBorders>
            <w:vAlign w:val="center"/>
            <w:hideMark/>
          </w:tcPr>
          <w:p w:rsidR="00536E1C" w:rsidRPr="00C73365" w:rsidRDefault="00536E1C">
            <w:pPr>
              <w:rPr>
                <w:rFonts w:asciiTheme="minorHAnsi" w:hAnsiTheme="minorHAnsi" w:cstheme="minorHAnsi"/>
                <w:color w:val="000000"/>
                <w:szCs w:val="20"/>
                <w:lang w:val="fr-FR" w:eastAsia="fr-FR"/>
              </w:rPr>
            </w:pPr>
          </w:p>
        </w:tc>
        <w:tc>
          <w:tcPr>
            <w:tcW w:w="3135" w:type="dxa"/>
            <w:tcBorders>
              <w:top w:val="nil"/>
              <w:left w:val="nil"/>
              <w:bottom w:val="single" w:sz="8" w:space="0" w:color="7030A0"/>
              <w:right w:val="nil"/>
            </w:tcBorders>
            <w:shd w:val="clear" w:color="auto" w:fill="auto"/>
            <w:vAlign w:val="center"/>
            <w:hideMark/>
          </w:tcPr>
          <w:p w:rsidR="00536E1C" w:rsidRPr="00C73365" w:rsidRDefault="001972DF">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Délai d’opposition au 20 mars 2018</w:t>
            </w:r>
          </w:p>
        </w:tc>
        <w:tc>
          <w:tcPr>
            <w:tcW w:w="1270" w:type="dxa"/>
            <w:vMerge/>
            <w:tcBorders>
              <w:top w:val="nil"/>
              <w:left w:val="nil"/>
              <w:bottom w:val="single" w:sz="8" w:space="0" w:color="7030A0"/>
              <w:right w:val="nil"/>
            </w:tcBorders>
            <w:vAlign w:val="center"/>
            <w:hideMark/>
          </w:tcPr>
          <w:p w:rsidR="00536E1C" w:rsidRPr="00C73365" w:rsidRDefault="00536E1C">
            <w:pPr>
              <w:rPr>
                <w:rFonts w:asciiTheme="minorHAnsi" w:hAnsiTheme="minorHAnsi" w:cstheme="minorHAnsi"/>
                <w:color w:val="000000"/>
                <w:szCs w:val="20"/>
                <w:lang w:val="fr-FR" w:eastAsia="fr-FR"/>
              </w:rPr>
            </w:pPr>
          </w:p>
        </w:tc>
        <w:tc>
          <w:tcPr>
            <w:tcW w:w="1270" w:type="dxa"/>
            <w:vMerge/>
            <w:tcBorders>
              <w:top w:val="nil"/>
              <w:left w:val="nil"/>
              <w:bottom w:val="single" w:sz="8" w:space="0" w:color="7030A0"/>
              <w:right w:val="nil"/>
            </w:tcBorders>
            <w:vAlign w:val="center"/>
            <w:hideMark/>
          </w:tcPr>
          <w:p w:rsidR="00536E1C" w:rsidRPr="00C73365" w:rsidRDefault="00536E1C">
            <w:pPr>
              <w:rPr>
                <w:rFonts w:asciiTheme="minorHAnsi" w:hAnsiTheme="minorHAnsi" w:cstheme="minorHAnsi"/>
                <w:color w:val="000000"/>
                <w:szCs w:val="20"/>
                <w:lang w:val="fr-FR" w:eastAsia="fr-FR"/>
              </w:rPr>
            </w:pPr>
          </w:p>
        </w:tc>
        <w:tc>
          <w:tcPr>
            <w:tcW w:w="1270" w:type="dxa"/>
            <w:vMerge/>
            <w:tcBorders>
              <w:top w:val="nil"/>
              <w:left w:val="nil"/>
              <w:bottom w:val="single" w:sz="8" w:space="0" w:color="7030A0"/>
              <w:right w:val="nil"/>
            </w:tcBorders>
            <w:vAlign w:val="center"/>
            <w:hideMark/>
          </w:tcPr>
          <w:p w:rsidR="00536E1C" w:rsidRPr="00C73365" w:rsidRDefault="00536E1C">
            <w:pPr>
              <w:rPr>
                <w:rFonts w:asciiTheme="minorHAnsi" w:hAnsiTheme="minorHAnsi" w:cstheme="minorHAnsi"/>
                <w:color w:val="000000"/>
                <w:szCs w:val="20"/>
                <w:lang w:val="fr-FR" w:eastAsia="fr-FR"/>
              </w:rPr>
            </w:pPr>
          </w:p>
        </w:tc>
      </w:tr>
    </w:tbl>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n’a pas jugé pertinent de déposer des marques protégeant la dénomination de ses plateformes technologiques ou de ses produits en cours de développement clinique.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 la date du présent document de référence, il n</w:t>
      </w:r>
      <w:r w:rsidR="004572A0" w:rsidRPr="00C73365">
        <w:rPr>
          <w:rFonts w:asciiTheme="minorHAnsi" w:hAnsiTheme="minorHAnsi" w:cstheme="minorHAnsi"/>
          <w:lang w:val="fr-FR"/>
        </w:rPr>
        <w:t>’</w:t>
      </w:r>
      <w:r w:rsidRPr="00C73365">
        <w:rPr>
          <w:rFonts w:asciiTheme="minorHAnsi" w:hAnsiTheme="minorHAnsi" w:cstheme="minorHAnsi"/>
          <w:lang w:val="fr-FR"/>
        </w:rPr>
        <w:t>existe aucun litige relatif aux marques ni aucune procédure d</w:t>
      </w:r>
      <w:r w:rsidR="004572A0" w:rsidRPr="00C73365">
        <w:rPr>
          <w:rFonts w:asciiTheme="minorHAnsi" w:hAnsiTheme="minorHAnsi" w:cstheme="minorHAnsi"/>
          <w:lang w:val="fr-FR"/>
        </w:rPr>
        <w:t>’</w:t>
      </w:r>
      <w:r w:rsidRPr="00C73365">
        <w:rPr>
          <w:rFonts w:asciiTheme="minorHAnsi" w:hAnsiTheme="minorHAnsi" w:cstheme="minorHAnsi"/>
          <w:lang w:val="fr-FR"/>
        </w:rPr>
        <w:t>opposition qui aurait été intentée par un tiers à l</w:t>
      </w:r>
      <w:r w:rsidR="004572A0" w:rsidRPr="00C73365">
        <w:rPr>
          <w:rFonts w:asciiTheme="minorHAnsi" w:hAnsiTheme="minorHAnsi" w:cstheme="minorHAnsi"/>
          <w:lang w:val="fr-FR"/>
        </w:rPr>
        <w:t>’</w:t>
      </w:r>
      <w:r w:rsidRPr="00C73365">
        <w:rPr>
          <w:rFonts w:asciiTheme="minorHAnsi" w:hAnsiTheme="minorHAnsi" w:cstheme="minorHAnsi"/>
          <w:lang w:val="fr-FR"/>
        </w:rPr>
        <w:t>encontre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une marque de la Société. </w:t>
      </w:r>
    </w:p>
    <w:p w:rsidR="00F46C7B" w:rsidRPr="00C73365" w:rsidRDefault="00F46C7B" w:rsidP="00434C49">
      <w:pPr>
        <w:pStyle w:val="ConmainL3"/>
        <w:keepLines/>
        <w:numPr>
          <w:ilvl w:val="2"/>
          <w:numId w:val="96"/>
        </w:numPr>
        <w:spacing w:after="120"/>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Noms de domaine</w:t>
      </w:r>
      <w:bookmarkEnd w:id="730"/>
      <w:bookmarkEnd w:id="731"/>
      <w:bookmarkEnd w:id="732"/>
      <w:bookmarkEnd w:id="733"/>
      <w:bookmarkEnd w:id="734"/>
      <w:bookmarkEnd w:id="735"/>
      <w:bookmarkEnd w:id="736"/>
      <w:bookmarkEnd w:id="737"/>
      <w:bookmarkEnd w:id="738"/>
      <w:bookmarkEnd w:id="739"/>
      <w:r w:rsidRPr="00C73365">
        <w:rPr>
          <w:rFonts w:asciiTheme="minorHAnsi" w:hAnsiTheme="minorHAnsi" w:cstheme="minorHAnsi"/>
          <w:b/>
          <w:color w:val="7030A0"/>
          <w:lang w:val="fr-FR"/>
        </w:rPr>
        <w:t xml:space="preserve">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exploite les noms de domaine suivants :</w:t>
      </w:r>
    </w:p>
    <w:tbl>
      <w:tblPr>
        <w:tblW w:w="7440" w:type="dxa"/>
        <w:tblCellMar>
          <w:left w:w="70" w:type="dxa"/>
          <w:right w:w="70" w:type="dxa"/>
        </w:tblCellMar>
        <w:tblLook w:val="04A0" w:firstRow="1" w:lastRow="0" w:firstColumn="1" w:lastColumn="0" w:noHBand="0" w:noVBand="1"/>
      </w:tblPr>
      <w:tblGrid>
        <w:gridCol w:w="2387"/>
        <w:gridCol w:w="164"/>
        <w:gridCol w:w="1671"/>
        <w:gridCol w:w="180"/>
        <w:gridCol w:w="1091"/>
        <w:gridCol w:w="164"/>
        <w:gridCol w:w="1783"/>
      </w:tblGrid>
      <w:tr w:rsidR="00F46C7B" w:rsidRPr="00C73365" w:rsidTr="00981866">
        <w:trPr>
          <w:trHeight w:val="254"/>
        </w:trPr>
        <w:tc>
          <w:tcPr>
            <w:tcW w:w="2387"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Nom du domaine</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p>
        </w:tc>
        <w:tc>
          <w:tcPr>
            <w:tcW w:w="1671"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Date réservation</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p>
        </w:tc>
        <w:tc>
          <w:tcPr>
            <w:tcW w:w="1091" w:type="dxa"/>
            <w:tcBorders>
              <w:top w:val="single" w:sz="12" w:space="0" w:color="7030A0"/>
              <w:left w:val="nil"/>
              <w:bottom w:val="single" w:sz="8" w:space="0" w:color="7030A0"/>
              <w:right w:val="nil"/>
            </w:tcBorders>
            <w:shd w:val="clear" w:color="auto" w:fill="auto"/>
            <w:noWrap/>
            <w:vAlign w:val="center"/>
            <w:hideMark/>
          </w:tcPr>
          <w:p w:rsidR="00F46C7B" w:rsidRPr="00C73365" w:rsidRDefault="00F46C7B">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Titulaire</w:t>
            </w:r>
          </w:p>
        </w:tc>
        <w:tc>
          <w:tcPr>
            <w:tcW w:w="164" w:type="dxa"/>
            <w:tcBorders>
              <w:top w:val="nil"/>
              <w:left w:val="nil"/>
              <w:bottom w:val="nil"/>
              <w:right w:val="nil"/>
            </w:tcBorders>
            <w:shd w:val="clear" w:color="auto" w:fill="auto"/>
            <w:vAlign w:val="center"/>
            <w:hideMark/>
          </w:tcPr>
          <w:p w:rsidR="00F46C7B" w:rsidRPr="00C73365" w:rsidRDefault="00F46C7B">
            <w:pPr>
              <w:jc w:val="right"/>
              <w:rPr>
                <w:rFonts w:asciiTheme="minorHAnsi" w:hAnsiTheme="minorHAnsi" w:cstheme="minorHAnsi"/>
                <w:b/>
                <w:bCs/>
                <w:color w:val="000000"/>
                <w:szCs w:val="20"/>
                <w:lang w:val="fr-FR" w:eastAsia="fr-FR"/>
              </w:rPr>
            </w:pPr>
          </w:p>
        </w:tc>
        <w:tc>
          <w:tcPr>
            <w:tcW w:w="1783" w:type="dxa"/>
            <w:tcBorders>
              <w:top w:val="single" w:sz="12" w:space="0" w:color="7030A0"/>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Renouvellement</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.com</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noWrap/>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.fr</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.eu</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.org</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-biologicals.com</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-biologicals.fr</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-biologicals.eu</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-biologicals.org</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-biologics.com</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-biologics.fr</w:t>
            </w:r>
          </w:p>
        </w:tc>
        <w:tc>
          <w:tcPr>
            <w:tcW w:w="164" w:type="dxa"/>
            <w:tcBorders>
              <w:top w:val="nil"/>
              <w:left w:val="nil"/>
              <w:bottom w:val="nil"/>
              <w:right w:val="nil"/>
            </w:tcBorders>
            <w:shd w:val="clear" w:color="auto" w:fill="auto"/>
            <w:vAlign w:val="center"/>
            <w:hideMark/>
          </w:tcPr>
          <w:p w:rsidR="00F46C7B" w:rsidRPr="00C73365" w:rsidRDefault="00F46C7B">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single" w:sz="8" w:space="0" w:color="7030A0"/>
              <w:left w:val="nil"/>
              <w:right w:val="nil"/>
            </w:tcBorders>
            <w:shd w:val="clear" w:color="auto" w:fill="auto"/>
            <w:vAlign w:val="center"/>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-biologics.eu</w:t>
            </w:r>
          </w:p>
        </w:tc>
        <w:tc>
          <w:tcPr>
            <w:tcW w:w="164" w:type="dxa"/>
            <w:tcBorders>
              <w:left w:val="nil"/>
              <w:right w:val="nil"/>
            </w:tcBorders>
            <w:shd w:val="clear" w:color="auto" w:fill="auto"/>
            <w:vAlign w:val="center"/>
          </w:tcPr>
          <w:p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single" w:sz="8" w:space="0" w:color="7030A0"/>
              <w:left w:val="nil"/>
              <w:right w:val="nil"/>
            </w:tcBorders>
            <w:shd w:val="clear" w:color="auto" w:fill="auto"/>
            <w:vAlign w:val="center"/>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-biologics.org</w:t>
            </w:r>
          </w:p>
        </w:tc>
        <w:tc>
          <w:tcPr>
            <w:tcW w:w="164" w:type="dxa"/>
            <w:tcBorders>
              <w:left w:val="nil"/>
              <w:right w:val="nil"/>
            </w:tcBorders>
            <w:shd w:val="clear" w:color="auto" w:fill="auto"/>
            <w:vAlign w:val="center"/>
          </w:tcPr>
          <w:p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single" w:sz="8" w:space="0" w:color="7030A0"/>
              <w:left w:val="nil"/>
              <w:right w:val="nil"/>
            </w:tcBorders>
            <w:shd w:val="clear" w:color="auto" w:fill="auto"/>
            <w:vAlign w:val="center"/>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-biotech.com</w:t>
            </w:r>
          </w:p>
        </w:tc>
        <w:tc>
          <w:tcPr>
            <w:tcW w:w="164" w:type="dxa"/>
            <w:tcBorders>
              <w:left w:val="nil"/>
              <w:right w:val="nil"/>
            </w:tcBorders>
            <w:shd w:val="clear" w:color="auto" w:fill="auto"/>
            <w:vAlign w:val="center"/>
          </w:tcPr>
          <w:p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single" w:sz="8" w:space="0" w:color="7030A0"/>
              <w:left w:val="nil"/>
              <w:right w:val="nil"/>
            </w:tcBorders>
            <w:shd w:val="clear" w:color="auto" w:fill="auto"/>
            <w:vAlign w:val="center"/>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-biotech.fr</w:t>
            </w:r>
          </w:p>
        </w:tc>
        <w:tc>
          <w:tcPr>
            <w:tcW w:w="164" w:type="dxa"/>
            <w:tcBorders>
              <w:left w:val="nil"/>
              <w:right w:val="nil"/>
            </w:tcBorders>
            <w:shd w:val="clear" w:color="auto" w:fill="auto"/>
            <w:vAlign w:val="center"/>
          </w:tcPr>
          <w:p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single" w:sz="8" w:space="0" w:color="7030A0"/>
              <w:left w:val="nil"/>
              <w:right w:val="nil"/>
            </w:tcBorders>
            <w:shd w:val="clear" w:color="auto" w:fill="auto"/>
            <w:vAlign w:val="center"/>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-biotech.eu</w:t>
            </w:r>
          </w:p>
        </w:tc>
        <w:tc>
          <w:tcPr>
            <w:tcW w:w="164" w:type="dxa"/>
            <w:tcBorders>
              <w:left w:val="nil"/>
              <w:right w:val="nil"/>
            </w:tcBorders>
            <w:shd w:val="clear" w:color="auto" w:fill="auto"/>
            <w:vAlign w:val="center"/>
          </w:tcPr>
          <w:p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single" w:sz="8" w:space="0" w:color="7030A0"/>
              <w:left w:val="nil"/>
              <w:bottom w:val="single" w:sz="8" w:space="0" w:color="7030A0"/>
              <w:right w:val="nil"/>
            </w:tcBorders>
            <w:shd w:val="clear" w:color="auto" w:fill="auto"/>
            <w:vAlign w:val="center"/>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-biotech.org</w:t>
            </w:r>
          </w:p>
        </w:tc>
        <w:tc>
          <w:tcPr>
            <w:tcW w:w="164" w:type="dxa"/>
            <w:tcBorders>
              <w:left w:val="nil"/>
              <w:right w:val="nil"/>
            </w:tcBorders>
            <w:shd w:val="clear" w:color="auto" w:fill="auto"/>
            <w:vAlign w:val="center"/>
          </w:tcPr>
          <w:p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bottom w:val="single" w:sz="8" w:space="0" w:color="7030A0"/>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8" w:space="0" w:color="7030A0"/>
              <w:right w:val="nil"/>
            </w:tcBorders>
            <w:shd w:val="clear" w:color="auto" w:fill="auto"/>
            <w:vAlign w:val="center"/>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8" w:space="0" w:color="7030A0"/>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F46C7B" w:rsidRPr="00C73365" w:rsidTr="007C607C">
        <w:trPr>
          <w:trHeight w:val="247"/>
        </w:trPr>
        <w:tc>
          <w:tcPr>
            <w:tcW w:w="2387" w:type="dxa"/>
            <w:tcBorders>
              <w:top w:val="single" w:sz="8" w:space="0" w:color="7030A0"/>
              <w:left w:val="nil"/>
              <w:bottom w:val="single" w:sz="8" w:space="0" w:color="7030A0"/>
              <w:right w:val="nil"/>
            </w:tcBorders>
            <w:shd w:val="clear" w:color="auto" w:fill="auto"/>
            <w:vAlign w:val="center"/>
          </w:tcPr>
          <w:p w:rsidR="00F46C7B"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F46C7B" w:rsidRPr="00C73365">
              <w:rPr>
                <w:rFonts w:asciiTheme="minorHAnsi" w:hAnsiTheme="minorHAnsi" w:cstheme="minorHAnsi"/>
                <w:color w:val="000000"/>
                <w:szCs w:val="20"/>
                <w:lang w:val="fr-FR" w:eastAsia="fr-FR"/>
              </w:rPr>
              <w:t>-pharma.com</w:t>
            </w:r>
          </w:p>
        </w:tc>
        <w:tc>
          <w:tcPr>
            <w:tcW w:w="164" w:type="dxa"/>
            <w:tcBorders>
              <w:left w:val="nil"/>
              <w:right w:val="nil"/>
            </w:tcBorders>
            <w:shd w:val="clear" w:color="auto" w:fill="auto"/>
            <w:vAlign w:val="center"/>
          </w:tcPr>
          <w:p w:rsidR="00F46C7B" w:rsidRPr="00C73365" w:rsidRDefault="00F46C7B">
            <w:pPr>
              <w:rPr>
                <w:rFonts w:asciiTheme="minorHAnsi" w:hAnsiTheme="minorHAnsi" w:cstheme="minorHAnsi"/>
                <w:color w:val="000000"/>
                <w:szCs w:val="20"/>
                <w:lang w:val="fr-FR" w:eastAsia="fr-FR"/>
              </w:rPr>
            </w:pPr>
          </w:p>
        </w:tc>
        <w:tc>
          <w:tcPr>
            <w:tcW w:w="1671" w:type="dxa"/>
            <w:tcBorders>
              <w:top w:val="single" w:sz="8" w:space="0" w:color="7030A0"/>
              <w:left w:val="nil"/>
              <w:bottom w:val="single" w:sz="8" w:space="0" w:color="7030A0"/>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8" w:space="0" w:color="7030A0"/>
              <w:right w:val="nil"/>
            </w:tcBorders>
            <w:shd w:val="clear" w:color="auto" w:fill="auto"/>
            <w:vAlign w:val="center"/>
          </w:tcPr>
          <w:p w:rsidR="00F46C7B"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8" w:space="0" w:color="7030A0"/>
              <w:right w:val="nil"/>
            </w:tcBorders>
            <w:shd w:val="clear" w:color="auto" w:fill="auto"/>
            <w:vAlign w:val="center"/>
          </w:tcPr>
          <w:p w:rsidR="00F46C7B" w:rsidRPr="00C73365" w:rsidRDefault="00F46C7B">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8" w:space="0" w:color="7030A0"/>
              <w:left w:val="nil"/>
              <w:bottom w:val="single" w:sz="4" w:space="0" w:color="7030A0"/>
              <w:right w:val="nil"/>
            </w:tcBorders>
            <w:shd w:val="clear" w:color="auto" w:fill="auto"/>
            <w:vAlign w:val="center"/>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-pharma.fr</w:t>
            </w:r>
          </w:p>
        </w:tc>
        <w:tc>
          <w:tcPr>
            <w:tcW w:w="164" w:type="dxa"/>
            <w:tcBorders>
              <w:left w:val="nil"/>
              <w:right w:val="nil"/>
            </w:tcBorders>
            <w:shd w:val="clear" w:color="auto" w:fill="auto"/>
            <w:vAlign w:val="center"/>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bottom w:val="single" w:sz="4" w:space="0" w:color="7030A0"/>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4" w:space="0" w:color="7030A0"/>
              <w:right w:val="nil"/>
            </w:tcBorders>
            <w:shd w:val="clear" w:color="auto" w:fill="auto"/>
            <w:vAlign w:val="center"/>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4" w:space="0" w:color="7030A0"/>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4" w:space="0" w:color="7030A0"/>
              <w:left w:val="nil"/>
              <w:right w:val="nil"/>
            </w:tcBorders>
            <w:shd w:val="clear" w:color="auto" w:fill="auto"/>
            <w:vAlign w:val="center"/>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-pharma.eu</w:t>
            </w:r>
          </w:p>
        </w:tc>
        <w:tc>
          <w:tcPr>
            <w:tcW w:w="164" w:type="dxa"/>
            <w:tcBorders>
              <w:left w:val="nil"/>
              <w:right w:val="nil"/>
            </w:tcBorders>
            <w:shd w:val="clear" w:color="auto" w:fill="auto"/>
            <w:vAlign w:val="center"/>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4" w:space="0" w:color="7030A0"/>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4" w:space="0" w:color="7030A0"/>
              <w:left w:val="nil"/>
              <w:right w:val="nil"/>
            </w:tcBorders>
            <w:shd w:val="clear" w:color="auto" w:fill="auto"/>
            <w:vAlign w:val="center"/>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4" w:space="0" w:color="7030A0"/>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8" w:space="0" w:color="7030A0"/>
              <w:left w:val="nil"/>
              <w:right w:val="nil"/>
            </w:tcBorders>
            <w:shd w:val="clear" w:color="auto" w:fill="auto"/>
            <w:vAlign w:val="center"/>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-pharma.org</w:t>
            </w:r>
          </w:p>
        </w:tc>
        <w:tc>
          <w:tcPr>
            <w:tcW w:w="164" w:type="dxa"/>
            <w:tcBorders>
              <w:left w:val="nil"/>
              <w:right w:val="nil"/>
            </w:tcBorders>
            <w:shd w:val="clear" w:color="auto" w:fill="auto"/>
            <w:vAlign w:val="center"/>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8" w:space="0" w:color="7030A0"/>
              <w:left w:val="nil"/>
              <w:right w:val="nil"/>
            </w:tcBorders>
            <w:shd w:val="clear" w:color="auto" w:fill="auto"/>
            <w:vAlign w:val="center"/>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-vaccine.com</w:t>
            </w:r>
          </w:p>
        </w:tc>
        <w:tc>
          <w:tcPr>
            <w:tcW w:w="164" w:type="dxa"/>
            <w:tcBorders>
              <w:left w:val="nil"/>
              <w:right w:val="nil"/>
            </w:tcBorders>
            <w:shd w:val="clear" w:color="auto" w:fill="auto"/>
            <w:vAlign w:val="center"/>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right w:val="nil"/>
            </w:tcBorders>
            <w:shd w:val="clear" w:color="auto" w:fill="auto"/>
            <w:vAlign w:val="center"/>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8" w:space="0" w:color="7030A0"/>
              <w:left w:val="nil"/>
              <w:bottom w:val="single" w:sz="8" w:space="0" w:color="7030A0"/>
              <w:right w:val="nil"/>
            </w:tcBorders>
            <w:shd w:val="clear" w:color="auto" w:fill="auto"/>
            <w:vAlign w:val="center"/>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-vaccine.fr</w:t>
            </w:r>
          </w:p>
        </w:tc>
        <w:tc>
          <w:tcPr>
            <w:tcW w:w="164" w:type="dxa"/>
            <w:tcBorders>
              <w:left w:val="nil"/>
              <w:right w:val="nil"/>
            </w:tcBorders>
            <w:shd w:val="clear" w:color="auto" w:fill="auto"/>
            <w:vAlign w:val="center"/>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bottom w:val="single" w:sz="8" w:space="0" w:color="7030A0"/>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8" w:space="0" w:color="7030A0"/>
              <w:right w:val="nil"/>
            </w:tcBorders>
            <w:shd w:val="clear" w:color="auto" w:fill="auto"/>
            <w:vAlign w:val="center"/>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8" w:space="0" w:color="7030A0"/>
              <w:right w:val="nil"/>
            </w:tcBorders>
            <w:shd w:val="clear" w:color="auto" w:fill="auto"/>
            <w:vAlign w:val="center"/>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8" w:space="0" w:color="7030A0"/>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-vaccine.eu</w:t>
            </w:r>
          </w:p>
        </w:tc>
        <w:tc>
          <w:tcPr>
            <w:tcW w:w="164" w:type="dxa"/>
            <w:tcBorders>
              <w:left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8" w:space="0" w:color="7030A0"/>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-vaccine.org</w:t>
            </w:r>
          </w:p>
        </w:tc>
        <w:tc>
          <w:tcPr>
            <w:tcW w:w="164" w:type="dxa"/>
            <w:tcBorders>
              <w:top w:val="nil"/>
              <w:left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single" w:sz="8" w:space="0" w:color="7030A0"/>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-vaccines.com</w:t>
            </w:r>
          </w:p>
        </w:tc>
        <w:tc>
          <w:tcPr>
            <w:tcW w:w="164" w:type="dxa"/>
            <w:tcBorders>
              <w:left w:val="nil"/>
              <w:bottom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single" w:sz="8" w:space="0" w:color="7030A0"/>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single" w:sz="8" w:space="0" w:color="7030A0"/>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single" w:sz="8" w:space="0" w:color="7030A0"/>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-vaccines.fr</w:t>
            </w:r>
          </w:p>
        </w:tc>
        <w:tc>
          <w:tcPr>
            <w:tcW w:w="164" w:type="dxa"/>
            <w:tcBorders>
              <w:top w:val="nil"/>
              <w:left w:val="nil"/>
              <w:bottom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-vaccines.eu</w:t>
            </w:r>
          </w:p>
        </w:tc>
        <w:tc>
          <w:tcPr>
            <w:tcW w:w="164" w:type="dxa"/>
            <w:tcBorders>
              <w:top w:val="nil"/>
              <w:left w:val="nil"/>
              <w:bottom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-vaccines.org</w:t>
            </w:r>
          </w:p>
        </w:tc>
        <w:tc>
          <w:tcPr>
            <w:tcW w:w="164" w:type="dxa"/>
            <w:tcBorders>
              <w:top w:val="nil"/>
              <w:left w:val="nil"/>
              <w:bottom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16/01/2014</w:t>
            </w:r>
          </w:p>
        </w:tc>
        <w:tc>
          <w:tcPr>
            <w:tcW w:w="180"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szCs w:val="20"/>
                <w:lang w:val="fr-FR" w:eastAsia="fr-FR"/>
              </w:rPr>
            </w:pPr>
            <w:r w:rsidRPr="00C73365">
              <w:rPr>
                <w:rFonts w:asciiTheme="minorHAnsi" w:hAnsiTheme="minorHAnsi" w:cstheme="minorHAnsi"/>
                <w:szCs w:val="20"/>
                <w:lang w:val="fr-FR" w:eastAsia="fr-FR"/>
              </w:rPr>
              <w:t>ABIVAX</w:t>
            </w:r>
            <w:r w:rsidR="002524B0" w:rsidRPr="00C73365">
              <w:rPr>
                <w:rFonts w:asciiTheme="minorHAnsi" w:hAnsiTheme="minorHAnsi" w:cstheme="minorHAnsi"/>
                <w:szCs w:val="20"/>
                <w:lang w:val="fr-FR" w:eastAsia="fr-FR"/>
              </w:rPr>
              <w:t>-antivirals.com</w:t>
            </w:r>
          </w:p>
        </w:tc>
        <w:tc>
          <w:tcPr>
            <w:tcW w:w="164" w:type="dxa"/>
            <w:tcBorders>
              <w:top w:val="nil"/>
              <w:left w:val="nil"/>
              <w:bottom w:val="nil"/>
              <w:right w:val="nil"/>
            </w:tcBorders>
            <w:shd w:val="clear" w:color="auto" w:fill="auto"/>
            <w:vAlign w:val="center"/>
            <w:hideMark/>
          </w:tcPr>
          <w:p w:rsidR="002524B0" w:rsidRPr="00C73365" w:rsidRDefault="002524B0">
            <w:pPr>
              <w:rPr>
                <w:rFonts w:asciiTheme="minorHAnsi" w:hAnsiTheme="minorHAnsi" w:cstheme="minorHAnsi"/>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04/11/2015</w:t>
            </w:r>
          </w:p>
        </w:tc>
        <w:tc>
          <w:tcPr>
            <w:tcW w:w="180"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ABIVAX</w:t>
            </w:r>
          </w:p>
        </w:tc>
        <w:tc>
          <w:tcPr>
            <w:tcW w:w="164"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szCs w:val="20"/>
                <w:lang w:val="fr-FR" w:eastAsia="fr-FR"/>
              </w:rPr>
            </w:pPr>
            <w:r w:rsidRPr="00C73365">
              <w:rPr>
                <w:rFonts w:asciiTheme="minorHAnsi" w:hAnsiTheme="minorHAnsi" w:cstheme="minorHAnsi"/>
                <w:szCs w:val="20"/>
                <w:lang w:val="fr-FR" w:eastAsia="fr-FR"/>
              </w:rPr>
              <w:t>Automatique</w:t>
            </w:r>
          </w:p>
        </w:tc>
      </w:tr>
      <w:tr w:rsidR="002524B0"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-antivirals.fr</w:t>
            </w:r>
          </w:p>
        </w:tc>
        <w:tc>
          <w:tcPr>
            <w:tcW w:w="164" w:type="dxa"/>
            <w:tcBorders>
              <w:top w:val="nil"/>
              <w:left w:val="nil"/>
              <w:bottom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04/11/2015</w:t>
            </w:r>
          </w:p>
        </w:tc>
        <w:tc>
          <w:tcPr>
            <w:tcW w:w="180"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-antivirals.eu</w:t>
            </w:r>
          </w:p>
        </w:tc>
        <w:tc>
          <w:tcPr>
            <w:tcW w:w="164" w:type="dxa"/>
            <w:tcBorders>
              <w:top w:val="nil"/>
              <w:left w:val="nil"/>
              <w:bottom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04/11/2015</w:t>
            </w:r>
          </w:p>
        </w:tc>
        <w:tc>
          <w:tcPr>
            <w:tcW w:w="180"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r w:rsidR="002524B0" w:rsidRPr="00C73365" w:rsidTr="007C607C">
        <w:trPr>
          <w:trHeight w:val="247"/>
        </w:trPr>
        <w:tc>
          <w:tcPr>
            <w:tcW w:w="2387" w:type="dxa"/>
            <w:tcBorders>
              <w:top w:val="nil"/>
              <w:left w:val="nil"/>
              <w:bottom w:val="single" w:sz="8" w:space="0" w:color="7030A0"/>
              <w:right w:val="nil"/>
            </w:tcBorders>
            <w:shd w:val="clear" w:color="auto" w:fill="auto"/>
            <w:vAlign w:val="center"/>
            <w:hideMark/>
          </w:tcPr>
          <w:p w:rsidR="002524B0" w:rsidRPr="00C73365" w:rsidRDefault="00EF089C">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r w:rsidR="002524B0" w:rsidRPr="00C73365">
              <w:rPr>
                <w:rFonts w:asciiTheme="minorHAnsi" w:hAnsiTheme="minorHAnsi" w:cstheme="minorHAnsi"/>
                <w:color w:val="000000"/>
                <w:szCs w:val="20"/>
                <w:lang w:val="fr-FR" w:eastAsia="fr-FR"/>
              </w:rPr>
              <w:t>-antivirals.org</w:t>
            </w:r>
          </w:p>
        </w:tc>
        <w:tc>
          <w:tcPr>
            <w:tcW w:w="164" w:type="dxa"/>
            <w:tcBorders>
              <w:top w:val="nil"/>
              <w:left w:val="nil"/>
              <w:bottom w:val="nil"/>
              <w:right w:val="nil"/>
            </w:tcBorders>
            <w:shd w:val="clear" w:color="auto" w:fill="auto"/>
            <w:vAlign w:val="center"/>
            <w:hideMark/>
          </w:tcPr>
          <w:p w:rsidR="002524B0" w:rsidRPr="00C73365" w:rsidRDefault="002524B0">
            <w:pPr>
              <w:rPr>
                <w:rFonts w:asciiTheme="minorHAnsi" w:hAnsiTheme="minorHAnsi" w:cstheme="minorHAnsi"/>
                <w:color w:val="000000"/>
                <w:szCs w:val="20"/>
                <w:lang w:val="fr-FR" w:eastAsia="fr-FR"/>
              </w:rPr>
            </w:pPr>
          </w:p>
        </w:tc>
        <w:tc>
          <w:tcPr>
            <w:tcW w:w="1671"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04/11/2015</w:t>
            </w:r>
          </w:p>
        </w:tc>
        <w:tc>
          <w:tcPr>
            <w:tcW w:w="180"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091" w:type="dxa"/>
            <w:tcBorders>
              <w:top w:val="nil"/>
              <w:left w:val="nil"/>
              <w:bottom w:val="single" w:sz="8" w:space="0" w:color="7030A0"/>
              <w:right w:val="nil"/>
            </w:tcBorders>
            <w:shd w:val="clear" w:color="auto" w:fill="auto"/>
            <w:vAlign w:val="center"/>
            <w:hideMark/>
          </w:tcPr>
          <w:p w:rsidR="002524B0" w:rsidRPr="00C73365" w:rsidRDefault="00EF089C">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64" w:type="dxa"/>
            <w:tcBorders>
              <w:top w:val="nil"/>
              <w:left w:val="nil"/>
              <w:bottom w:val="nil"/>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p>
        </w:tc>
        <w:tc>
          <w:tcPr>
            <w:tcW w:w="1783" w:type="dxa"/>
            <w:tcBorders>
              <w:top w:val="nil"/>
              <w:left w:val="nil"/>
              <w:bottom w:val="single" w:sz="8" w:space="0" w:color="7030A0"/>
              <w:right w:val="nil"/>
            </w:tcBorders>
            <w:shd w:val="clear" w:color="auto" w:fill="auto"/>
            <w:vAlign w:val="center"/>
            <w:hideMark/>
          </w:tcPr>
          <w:p w:rsidR="002524B0" w:rsidRPr="00C73365" w:rsidRDefault="002524B0">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Automatique</w:t>
            </w:r>
          </w:p>
        </w:tc>
      </w:tr>
    </w:tbl>
    <w:p w:rsidR="00AE4914" w:rsidRPr="00C73365" w:rsidRDefault="00AE4914">
      <w:pPr>
        <w:widowControl w:val="0"/>
        <w:rPr>
          <w:rFonts w:asciiTheme="minorHAnsi" w:hAnsiTheme="minorHAnsi" w:cstheme="minorHAnsi"/>
          <w:szCs w:val="22"/>
          <w:lang w:val="fr-FR"/>
        </w:rPr>
      </w:pPr>
    </w:p>
    <w:p w:rsidR="00F46C7B"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xml:space="preserve"> est à la date d’enregistrement du présent document de référence réservataire de 32 noms de domaine.</w:t>
      </w:r>
    </w:p>
    <w:p w:rsidR="00F46C7B" w:rsidRPr="00C73365" w:rsidRDefault="00F46C7B" w:rsidP="00B31080">
      <w:pPr>
        <w:pStyle w:val="ConmainL1"/>
        <w:numPr>
          <w:ilvl w:val="0"/>
          <w:numId w:val="9"/>
        </w:numPr>
        <w:spacing w:after="120"/>
        <w:rPr>
          <w:rFonts w:asciiTheme="minorHAnsi" w:hAnsiTheme="minorHAnsi" w:cstheme="minorHAnsi"/>
          <w:lang w:val="fr-FR"/>
        </w:rPr>
      </w:pPr>
      <w:bookmarkStart w:id="740" w:name="_Toc462673262"/>
      <w:bookmarkStart w:id="741" w:name="_Toc467835609"/>
      <w:bookmarkStart w:id="742" w:name="_Toc512863924"/>
      <w:r w:rsidRPr="00C73365">
        <w:rPr>
          <w:rFonts w:asciiTheme="minorHAnsi" w:hAnsiTheme="minorHAnsi" w:cstheme="minorHAnsi"/>
          <w:lang w:val="fr-FR"/>
        </w:rPr>
        <w:lastRenderedPageBreak/>
        <w:t>TENDANCES</w:t>
      </w:r>
      <w:bookmarkEnd w:id="740"/>
      <w:bookmarkEnd w:id="741"/>
      <w:bookmarkEnd w:id="742"/>
    </w:p>
    <w:p w:rsidR="00876FB5" w:rsidRPr="00BE69CB" w:rsidRDefault="00F46C7B" w:rsidP="004572A0">
      <w:pPr>
        <w:pStyle w:val="ConmainL2"/>
        <w:numPr>
          <w:ilvl w:val="1"/>
          <w:numId w:val="9"/>
        </w:numPr>
        <w:spacing w:after="120"/>
        <w:rPr>
          <w:rFonts w:asciiTheme="minorHAnsi" w:hAnsiTheme="minorHAnsi" w:cstheme="minorHAnsi"/>
          <w:sz w:val="22"/>
          <w:szCs w:val="22"/>
          <w:lang w:val="fr-FR"/>
        </w:rPr>
      </w:pPr>
      <w:bookmarkStart w:id="743" w:name="_Toc462673263"/>
      <w:bookmarkStart w:id="744" w:name="_Toc512863925"/>
      <w:r w:rsidRPr="00C73365">
        <w:rPr>
          <w:rFonts w:asciiTheme="minorHAnsi" w:hAnsiTheme="minorHAnsi" w:cstheme="minorHAnsi"/>
          <w:sz w:val="22"/>
          <w:szCs w:val="22"/>
          <w:lang w:val="fr-FR"/>
        </w:rPr>
        <w:t xml:space="preserve">Perspectives </w:t>
      </w:r>
      <w:bookmarkEnd w:id="743"/>
      <w:r w:rsidR="006834D5" w:rsidRPr="00C73365">
        <w:rPr>
          <w:rFonts w:asciiTheme="minorHAnsi" w:hAnsiTheme="minorHAnsi" w:cstheme="minorHAnsi"/>
          <w:sz w:val="22"/>
          <w:szCs w:val="22"/>
          <w:lang w:val="fr-FR"/>
        </w:rPr>
        <w:t>201</w:t>
      </w:r>
      <w:r w:rsidR="003D20F8" w:rsidRPr="00C73365">
        <w:rPr>
          <w:rFonts w:asciiTheme="minorHAnsi" w:hAnsiTheme="minorHAnsi" w:cstheme="minorHAnsi"/>
          <w:sz w:val="22"/>
          <w:szCs w:val="22"/>
          <w:lang w:val="fr-FR"/>
        </w:rPr>
        <w:t>8</w:t>
      </w:r>
      <w:bookmarkEnd w:id="744"/>
    </w:p>
    <w:p w:rsidR="00BE69CB" w:rsidRDefault="00BE69CB" w:rsidP="003D46DA">
      <w:pPr>
        <w:rPr>
          <w:rFonts w:asciiTheme="minorHAnsi" w:hAnsiTheme="minorHAnsi" w:cstheme="minorHAnsi"/>
          <w:lang w:val="fr-FR"/>
        </w:rPr>
      </w:pPr>
    </w:p>
    <w:tbl>
      <w:tblPr>
        <w:tblStyle w:val="Grilledutableau3"/>
        <w:tblW w:w="9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843"/>
        <w:gridCol w:w="7699"/>
      </w:tblGrid>
      <w:tr w:rsidR="00BE69CB" w:rsidRPr="008C1A4A" w:rsidTr="00D21169">
        <w:tc>
          <w:tcPr>
            <w:tcW w:w="1843" w:type="dxa"/>
            <w:shd w:val="clear" w:color="auto" w:fill="auto"/>
          </w:tcPr>
          <w:p w:rsidR="00BE69CB" w:rsidRPr="00C73365" w:rsidRDefault="00BE69CB" w:rsidP="00D21169">
            <w:pPr>
              <w:rPr>
                <w:rFonts w:asciiTheme="minorHAnsi" w:hAnsiTheme="minorHAnsi" w:cstheme="minorHAnsi"/>
                <w:b/>
                <w:lang w:val="fr-FR"/>
              </w:rPr>
            </w:pPr>
            <w:r w:rsidRPr="00C73365">
              <w:rPr>
                <w:rFonts w:asciiTheme="minorHAnsi" w:hAnsiTheme="minorHAnsi" w:cstheme="minorHAnsi"/>
                <w:b/>
                <w:lang w:val="fr-FR"/>
              </w:rPr>
              <w:t>Janvier 2018</w:t>
            </w:r>
          </w:p>
        </w:tc>
        <w:tc>
          <w:tcPr>
            <w:tcW w:w="7699" w:type="dxa"/>
            <w:shd w:val="clear" w:color="auto" w:fill="auto"/>
          </w:tcPr>
          <w:p w:rsidR="00BE69CB" w:rsidRPr="00C73365" w:rsidRDefault="00BE69CB" w:rsidP="00D21169">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 annonce l’extension de son étude ABX464 sur le long terme chez les patients atteints de rectocolite hémorragique</w:t>
            </w:r>
          </w:p>
          <w:p w:rsidR="00BE69CB" w:rsidRPr="00C73365" w:rsidRDefault="00BE69CB" w:rsidP="00D21169">
            <w:pPr>
              <w:pStyle w:val="NormalWeb"/>
              <w:shd w:val="clear" w:color="auto" w:fill="FFFFFF"/>
              <w:spacing w:before="0" w:beforeAutospacing="0" w:after="120" w:afterAutospacing="0"/>
              <w:rPr>
                <w:rFonts w:asciiTheme="minorHAnsi" w:hAnsiTheme="minorHAnsi" w:cstheme="minorHAnsi"/>
                <w:lang w:val="fr-FR"/>
              </w:rPr>
            </w:pPr>
            <w:r w:rsidRPr="00C73365">
              <w:rPr>
                <w:rFonts w:asciiTheme="minorHAnsi" w:hAnsiTheme="minorHAnsi" w:cstheme="minorHAnsi"/>
                <w:lang w:val="fr-FR"/>
              </w:rPr>
              <w:t>ABIVAX nomme le Docteur Carol L. Brosgart à son Conseil d’Administration</w:t>
            </w:r>
          </w:p>
        </w:tc>
      </w:tr>
      <w:tr w:rsidR="001B0462" w:rsidRPr="008C1A4A" w:rsidTr="00D21169">
        <w:tc>
          <w:tcPr>
            <w:tcW w:w="1843" w:type="dxa"/>
            <w:shd w:val="clear" w:color="auto" w:fill="auto"/>
          </w:tcPr>
          <w:p w:rsidR="001B0462" w:rsidRDefault="001B0462" w:rsidP="00D21169">
            <w:pPr>
              <w:rPr>
                <w:rFonts w:asciiTheme="minorHAnsi" w:hAnsiTheme="minorHAnsi" w:cstheme="minorHAnsi"/>
                <w:b/>
                <w:lang w:val="fr-FR"/>
              </w:rPr>
            </w:pPr>
            <w:r>
              <w:rPr>
                <w:rFonts w:asciiTheme="minorHAnsi" w:hAnsiTheme="minorHAnsi" w:cstheme="minorHAnsi"/>
                <w:b/>
                <w:lang w:val="fr-FR"/>
              </w:rPr>
              <w:t>Mars 2018</w:t>
            </w:r>
          </w:p>
        </w:tc>
        <w:tc>
          <w:tcPr>
            <w:tcW w:w="7699" w:type="dxa"/>
            <w:shd w:val="clear" w:color="auto" w:fill="auto"/>
          </w:tcPr>
          <w:p w:rsidR="001B0462" w:rsidRPr="00BE69CB" w:rsidRDefault="001B0462" w:rsidP="00D21169">
            <w:pPr>
              <w:pStyle w:val="NormalWeb"/>
              <w:shd w:val="clear" w:color="auto" w:fill="FFFFFF"/>
              <w:spacing w:before="0" w:beforeAutospacing="0" w:after="120" w:afterAutospacing="0"/>
              <w:rPr>
                <w:rFonts w:asciiTheme="minorHAnsi" w:hAnsiTheme="minorHAnsi" w:cstheme="minorHAnsi"/>
                <w:lang w:val="fr-FR"/>
              </w:rPr>
            </w:pPr>
            <w:r w:rsidRPr="001B0462">
              <w:rPr>
                <w:rFonts w:asciiTheme="minorHAnsi" w:hAnsiTheme="minorHAnsi" w:cstheme="minorHAnsi"/>
                <w:lang w:val="fr-FR"/>
              </w:rPr>
              <w:t>ABIVAX : résultats annuels 2017 et point d’avancement sur les activités</w:t>
            </w:r>
          </w:p>
        </w:tc>
      </w:tr>
      <w:tr w:rsidR="00BE69CB" w:rsidRPr="008C1A4A" w:rsidTr="00D21169">
        <w:tc>
          <w:tcPr>
            <w:tcW w:w="1843" w:type="dxa"/>
            <w:shd w:val="clear" w:color="auto" w:fill="auto"/>
          </w:tcPr>
          <w:p w:rsidR="00BE69CB" w:rsidRPr="00C73365" w:rsidRDefault="00BE69CB" w:rsidP="00D21169">
            <w:pPr>
              <w:rPr>
                <w:rFonts w:asciiTheme="minorHAnsi" w:hAnsiTheme="minorHAnsi" w:cstheme="minorHAnsi"/>
                <w:b/>
                <w:lang w:val="fr-FR"/>
              </w:rPr>
            </w:pPr>
            <w:r>
              <w:rPr>
                <w:rFonts w:asciiTheme="minorHAnsi" w:hAnsiTheme="minorHAnsi" w:cstheme="minorHAnsi"/>
                <w:b/>
                <w:lang w:val="fr-FR"/>
              </w:rPr>
              <w:t>Avril 2018</w:t>
            </w:r>
          </w:p>
        </w:tc>
        <w:tc>
          <w:tcPr>
            <w:tcW w:w="7699" w:type="dxa"/>
            <w:shd w:val="clear" w:color="auto" w:fill="auto"/>
          </w:tcPr>
          <w:p w:rsidR="00BE69CB" w:rsidRPr="00C73365" w:rsidRDefault="00BE69CB" w:rsidP="00D21169">
            <w:pPr>
              <w:pStyle w:val="NormalWeb"/>
              <w:shd w:val="clear" w:color="auto" w:fill="FFFFFF"/>
              <w:spacing w:before="0" w:beforeAutospacing="0" w:after="120" w:afterAutospacing="0"/>
              <w:rPr>
                <w:rFonts w:asciiTheme="minorHAnsi" w:hAnsiTheme="minorHAnsi" w:cstheme="minorHAnsi"/>
                <w:lang w:val="fr-FR"/>
              </w:rPr>
            </w:pPr>
            <w:r w:rsidRPr="00BE69CB">
              <w:rPr>
                <w:rFonts w:asciiTheme="minorHAnsi" w:hAnsiTheme="minorHAnsi" w:cstheme="minorHAnsi"/>
                <w:lang w:val="fr-FR"/>
              </w:rPr>
              <w:t>ABIVAX renforce son équipe de direction avec la nomination du Dr. Alexandra Pearce en tant que Vice-Présidente des affaires réglementaires</w:t>
            </w:r>
          </w:p>
        </w:tc>
      </w:tr>
    </w:tbl>
    <w:p w:rsidR="00BE69CB" w:rsidRDefault="00BE69CB" w:rsidP="003D46DA">
      <w:pPr>
        <w:rPr>
          <w:rFonts w:asciiTheme="minorHAnsi" w:hAnsiTheme="minorHAnsi" w:cstheme="minorHAnsi"/>
          <w:lang w:val="fr-FR"/>
        </w:rPr>
      </w:pPr>
    </w:p>
    <w:p w:rsidR="003D46DA" w:rsidRPr="00C73365" w:rsidRDefault="003D46DA" w:rsidP="003D46DA">
      <w:pPr>
        <w:rPr>
          <w:rFonts w:asciiTheme="minorHAnsi" w:hAnsiTheme="minorHAnsi" w:cstheme="minorHAnsi"/>
          <w:lang w:val="fr-FR"/>
        </w:rPr>
      </w:pPr>
      <w:r w:rsidRPr="00C73365">
        <w:rPr>
          <w:rFonts w:asciiTheme="minorHAnsi" w:hAnsiTheme="minorHAnsi" w:cstheme="minorHAnsi"/>
          <w:lang w:val="fr-FR"/>
        </w:rPr>
        <w:t xml:space="preserve">Depuis le début de l’exercice, la société n’a enregistré </w:t>
      </w:r>
      <w:r w:rsidR="004834A9" w:rsidRPr="00C73365">
        <w:rPr>
          <w:rFonts w:asciiTheme="minorHAnsi" w:hAnsiTheme="minorHAnsi" w:cstheme="minorHAnsi"/>
          <w:lang w:val="fr-FR"/>
        </w:rPr>
        <w:t>aucun résultat clinique ou pré-clinique</w:t>
      </w:r>
      <w:r w:rsidR="00BE69CB">
        <w:rPr>
          <w:rFonts w:asciiTheme="minorHAnsi" w:hAnsiTheme="minorHAnsi" w:cstheme="minorHAnsi"/>
          <w:lang w:val="fr-FR"/>
        </w:rPr>
        <w:t xml:space="preserve"> </w:t>
      </w:r>
      <w:r w:rsidRPr="00C73365">
        <w:rPr>
          <w:rFonts w:asciiTheme="minorHAnsi" w:hAnsiTheme="minorHAnsi" w:cstheme="minorHAnsi"/>
          <w:lang w:val="fr-FR"/>
        </w:rPr>
        <w:t>majeure. L’intégralité des programmes est en cours d’exécution et devant livrer leurs premiers résultats au cours de l’été 2018.</w:t>
      </w:r>
    </w:p>
    <w:p w:rsidR="00876FB5" w:rsidRPr="00C73365" w:rsidRDefault="00876FB5" w:rsidP="004B0B5C">
      <w:pPr>
        <w:spacing w:after="0"/>
        <w:rPr>
          <w:rFonts w:asciiTheme="minorHAnsi" w:hAnsiTheme="minorHAnsi" w:cstheme="minorHAnsi"/>
          <w:highlight w:val="lightGray"/>
          <w:lang w:val="fr-FR"/>
        </w:rPr>
      </w:pPr>
    </w:p>
    <w:p w:rsidR="003D46DA" w:rsidRPr="00C73365" w:rsidRDefault="00F46C7B" w:rsidP="003D46DA">
      <w:pPr>
        <w:pStyle w:val="ConmainL2"/>
        <w:numPr>
          <w:ilvl w:val="1"/>
          <w:numId w:val="9"/>
        </w:numPr>
        <w:spacing w:after="120"/>
        <w:rPr>
          <w:rFonts w:asciiTheme="minorHAnsi" w:hAnsiTheme="minorHAnsi" w:cstheme="minorHAnsi"/>
          <w:sz w:val="22"/>
          <w:szCs w:val="22"/>
          <w:lang w:val="fr-FR"/>
        </w:rPr>
      </w:pPr>
      <w:bookmarkStart w:id="745" w:name="_Toc462673264"/>
      <w:bookmarkStart w:id="746" w:name="_Toc467835613"/>
      <w:bookmarkStart w:id="747" w:name="_Toc512863926"/>
      <w:r w:rsidRPr="00C73365">
        <w:rPr>
          <w:rFonts w:asciiTheme="minorHAnsi" w:hAnsiTheme="minorHAnsi" w:cstheme="minorHAnsi"/>
          <w:sz w:val="22"/>
          <w:szCs w:val="22"/>
          <w:lang w:val="fr-FR"/>
        </w:rPr>
        <w:t>Tendance connue, incertitude, demande d’engagement ou évènement raisonnablement susceptible d’influer sur les perspectives de la Société</w:t>
      </w:r>
      <w:bookmarkEnd w:id="745"/>
      <w:bookmarkEnd w:id="746"/>
      <w:bookmarkEnd w:id="747"/>
    </w:p>
    <w:p w:rsidR="00876FB5" w:rsidRPr="00C73365" w:rsidRDefault="00876FB5" w:rsidP="004572A0">
      <w:pPr>
        <w:pStyle w:val="BodyText"/>
        <w:rPr>
          <w:rFonts w:asciiTheme="minorHAnsi" w:hAnsiTheme="minorHAnsi" w:cstheme="minorHAnsi"/>
          <w:lang w:val="fr-FR"/>
        </w:rPr>
      </w:pPr>
      <w:r w:rsidRPr="00C73365">
        <w:rPr>
          <w:rFonts w:asciiTheme="minorHAnsi" w:hAnsiTheme="minorHAnsi" w:cstheme="minorHAnsi"/>
          <w:lang w:val="fr-FR"/>
        </w:rPr>
        <w:t>En 2018, la société prévoit d’atteindre les objectifs suivants :</w:t>
      </w:r>
    </w:p>
    <w:p w:rsidR="00876FB5" w:rsidRPr="00C73365" w:rsidRDefault="00876FB5" w:rsidP="004572A0">
      <w:pPr>
        <w:pStyle w:val="BodyText"/>
        <w:rPr>
          <w:rFonts w:asciiTheme="minorHAnsi" w:hAnsiTheme="minorHAnsi" w:cstheme="minorHAnsi"/>
          <w:lang w:val="fr-FR"/>
        </w:rPr>
      </w:pPr>
      <w:r w:rsidRPr="00C73365">
        <w:rPr>
          <w:rFonts w:asciiTheme="minorHAnsi" w:hAnsiTheme="minorHAnsi" w:cstheme="minorHAnsi"/>
          <w:lang w:val="fr-FR"/>
        </w:rPr>
        <w:t>Plateforme « Antivirale » :</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Publication des premiers résultats de la 2</w:t>
      </w:r>
      <w:r w:rsidRPr="00C73365">
        <w:rPr>
          <w:rFonts w:asciiTheme="minorHAnsi" w:hAnsiTheme="minorHAnsi" w:cstheme="minorHAnsi"/>
          <w:vertAlign w:val="superscript"/>
          <w:lang w:val="fr-FR"/>
        </w:rPr>
        <w:t>ème</w:t>
      </w:r>
      <w:r w:rsidRPr="00C73365">
        <w:rPr>
          <w:rFonts w:asciiTheme="minorHAnsi" w:hAnsiTheme="minorHAnsi" w:cstheme="minorHAnsi"/>
          <w:lang w:val="fr-FR"/>
        </w:rPr>
        <w:t xml:space="preserve"> cohorte de l’étude ABX464-005 mi-2018</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Dépôt d’une demande de nouveau médicament expérimental auprès de la Food and Drug</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Administration américaine pour la molécule ABX464 pour le VIH d’ici la fin du premier semestre 2018</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Inclusion du premier patient dans l’étude de phase IIb pour l’ABX464 dans le traitement du VIH au cours en fin d’année</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 xml:space="preserve">Publication des premiers résultats de l’étude de phase IIa de preuve de concept pour la </w:t>
      </w:r>
      <w:r w:rsidR="00357A37" w:rsidRPr="00C73365">
        <w:rPr>
          <w:rFonts w:asciiTheme="minorHAnsi" w:hAnsiTheme="minorHAnsi" w:cstheme="minorHAnsi"/>
          <w:lang w:val="fr-FR"/>
        </w:rPr>
        <w:t>rectocolite hémorragique</w:t>
      </w:r>
      <w:r w:rsidRPr="00C73365">
        <w:rPr>
          <w:rFonts w:asciiTheme="minorHAnsi" w:hAnsiTheme="minorHAnsi" w:cstheme="minorHAnsi"/>
          <w:lang w:val="fr-FR"/>
        </w:rPr>
        <w:t xml:space="preserve"> au second semestre 2018</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 xml:space="preserve">Début d’une étude clinique de phase IIb portant sur l’ABX464 dans le traitement de la </w:t>
      </w:r>
      <w:r w:rsidR="00357A37" w:rsidRPr="00C73365">
        <w:rPr>
          <w:rFonts w:asciiTheme="minorHAnsi" w:hAnsiTheme="minorHAnsi" w:cstheme="minorHAnsi"/>
          <w:lang w:val="fr-FR"/>
        </w:rPr>
        <w:t>rectocolite hémorragique</w:t>
      </w:r>
      <w:r w:rsidRPr="00C73365">
        <w:rPr>
          <w:rFonts w:asciiTheme="minorHAnsi" w:hAnsiTheme="minorHAnsi" w:cstheme="minorHAnsi"/>
          <w:lang w:val="fr-FR"/>
        </w:rPr>
        <w:t xml:space="preserve"> en fin d’année</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Début de la phase finale d’identification pour la molécule ciblant le VRS d’ici la fin du second semestre 2018</w:t>
      </w:r>
    </w:p>
    <w:p w:rsidR="00876FB5" w:rsidRPr="00C73365" w:rsidRDefault="00876FB5" w:rsidP="00876FB5">
      <w:pPr>
        <w:spacing w:after="0"/>
        <w:rPr>
          <w:rFonts w:asciiTheme="minorHAnsi" w:hAnsiTheme="minorHAnsi" w:cstheme="minorHAnsi"/>
          <w:lang w:val="fr-FR"/>
        </w:rPr>
      </w:pPr>
    </w:p>
    <w:p w:rsidR="00876FB5" w:rsidRPr="00C73365" w:rsidRDefault="00876FB5" w:rsidP="004572A0">
      <w:pPr>
        <w:pStyle w:val="BodyText"/>
        <w:rPr>
          <w:rFonts w:asciiTheme="minorHAnsi" w:hAnsiTheme="minorHAnsi" w:cstheme="minorHAnsi"/>
          <w:lang w:val="fr-FR"/>
        </w:rPr>
      </w:pPr>
      <w:r w:rsidRPr="00C73365">
        <w:rPr>
          <w:rFonts w:asciiTheme="minorHAnsi" w:hAnsiTheme="minorHAnsi" w:cstheme="minorHAnsi"/>
          <w:lang w:val="fr-FR"/>
        </w:rPr>
        <w:t>Plateforme « Stimulation Immunitaire » :</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Dépôt d’une demande de nouveau médicament expérimental auprès de la Food and Drug Administration américaine pour l’ABX196 d’ici le milieu de l’année 2018</w:t>
      </w:r>
    </w:p>
    <w:p w:rsidR="00876FB5" w:rsidRPr="00C73365" w:rsidRDefault="00876FB5" w:rsidP="00434C49">
      <w:pPr>
        <w:pStyle w:val="ListParagraph"/>
        <w:numPr>
          <w:ilvl w:val="0"/>
          <w:numId w:val="100"/>
        </w:numPr>
        <w:spacing w:after="0"/>
        <w:rPr>
          <w:rFonts w:asciiTheme="minorHAnsi" w:hAnsiTheme="minorHAnsi" w:cstheme="minorHAnsi"/>
          <w:lang w:val="fr-FR"/>
        </w:rPr>
      </w:pPr>
      <w:r w:rsidRPr="00C73365">
        <w:rPr>
          <w:rFonts w:asciiTheme="minorHAnsi" w:hAnsiTheme="minorHAnsi" w:cstheme="minorHAnsi"/>
          <w:lang w:val="fr-FR"/>
        </w:rPr>
        <w:t>Début d’une étude clinique de phase I/II de preuve de concept portant sur l’ABX196 dans le traitement du CHC au deuxième semestre 2018</w:t>
      </w:r>
    </w:p>
    <w:p w:rsidR="00876FB5" w:rsidRPr="00C73365" w:rsidRDefault="00876FB5" w:rsidP="00876FB5">
      <w:pPr>
        <w:spacing w:after="0"/>
        <w:rPr>
          <w:rFonts w:asciiTheme="minorHAnsi" w:hAnsiTheme="minorHAnsi" w:cstheme="minorHAnsi"/>
          <w:highlight w:val="lightGray"/>
          <w:lang w:val="fr-FR"/>
        </w:rPr>
      </w:pPr>
    </w:p>
    <w:p w:rsidR="00F46C7B" w:rsidRPr="00C73365" w:rsidRDefault="00F46C7B" w:rsidP="00B31080">
      <w:pPr>
        <w:pStyle w:val="ConmainL1"/>
        <w:numPr>
          <w:ilvl w:val="0"/>
          <w:numId w:val="9"/>
        </w:numPr>
        <w:spacing w:after="120"/>
        <w:rPr>
          <w:rFonts w:asciiTheme="minorHAnsi" w:hAnsiTheme="minorHAnsi" w:cstheme="minorHAnsi"/>
          <w:lang w:val="fr-FR"/>
        </w:rPr>
      </w:pPr>
      <w:bookmarkStart w:id="748" w:name="_Toc462673265"/>
      <w:bookmarkStart w:id="749" w:name="_Toc512863927"/>
      <w:r w:rsidRPr="00C73365">
        <w:rPr>
          <w:rFonts w:asciiTheme="minorHAnsi" w:hAnsiTheme="minorHAnsi" w:cstheme="minorHAnsi"/>
          <w:lang w:val="fr-FR"/>
        </w:rPr>
        <w:lastRenderedPageBreak/>
        <w:t>PREVISIONS OU ESTIMATIONS DU BENEFICE</w:t>
      </w:r>
      <w:bookmarkEnd w:id="748"/>
      <w:bookmarkEnd w:id="749"/>
    </w:p>
    <w:p w:rsidR="00F46C7B" w:rsidRPr="00C73365" w:rsidRDefault="00F46C7B" w:rsidP="004572A0">
      <w:pPr>
        <w:pStyle w:val="ListContinue"/>
        <w:rPr>
          <w:rFonts w:asciiTheme="minorHAnsi" w:hAnsiTheme="minorHAnsi" w:cstheme="minorHAnsi"/>
          <w:lang w:val="fr-FR"/>
        </w:rPr>
      </w:pPr>
      <w:r w:rsidRPr="00C73365">
        <w:rPr>
          <w:rFonts w:asciiTheme="minorHAnsi" w:hAnsiTheme="minorHAnsi" w:cstheme="minorHAnsi"/>
          <w:lang w:val="fr-FR"/>
        </w:rPr>
        <w:t>La Société n’entend pas faire de prévisions ou d’estimations de bénéfices.</w:t>
      </w:r>
    </w:p>
    <w:p w:rsidR="00B740A8" w:rsidRPr="00C73365" w:rsidRDefault="00B740A8" w:rsidP="00B740A8">
      <w:pPr>
        <w:pStyle w:val="ConmainL1"/>
        <w:numPr>
          <w:ilvl w:val="0"/>
          <w:numId w:val="9"/>
        </w:numPr>
        <w:rPr>
          <w:rFonts w:asciiTheme="minorHAnsi" w:hAnsiTheme="minorHAnsi" w:cstheme="minorHAnsi"/>
          <w:sz w:val="22"/>
          <w:lang w:val="fr-FR"/>
        </w:rPr>
      </w:pPr>
      <w:bookmarkStart w:id="750" w:name="_Toc512863928"/>
      <w:r w:rsidRPr="00C73365">
        <w:rPr>
          <w:rFonts w:asciiTheme="minorHAnsi" w:hAnsiTheme="minorHAnsi" w:cstheme="minorHAnsi"/>
          <w:sz w:val="22"/>
          <w:lang w:val="fr-FR"/>
        </w:rPr>
        <w:lastRenderedPageBreak/>
        <w:t>ORGANES D’ADMINISTRATION, DE DIRECTION, DE SURVEILLANCE ET DE DIRECTION GENERALE</w:t>
      </w:r>
      <w:bookmarkEnd w:id="750"/>
    </w:p>
    <w:p w:rsidR="00B740A8" w:rsidRPr="00C73365" w:rsidRDefault="00B740A8" w:rsidP="00B740A8">
      <w:pPr>
        <w:pStyle w:val="ConmainL2"/>
        <w:numPr>
          <w:ilvl w:val="1"/>
          <w:numId w:val="9"/>
        </w:numPr>
        <w:spacing w:after="0"/>
        <w:rPr>
          <w:rFonts w:asciiTheme="minorHAnsi" w:hAnsiTheme="minorHAnsi" w:cstheme="minorHAnsi"/>
          <w:sz w:val="22"/>
          <w:szCs w:val="22"/>
          <w:lang w:val="fr-FR"/>
        </w:rPr>
      </w:pPr>
      <w:bookmarkStart w:id="751" w:name="_DV_M4584"/>
      <w:bookmarkStart w:id="752" w:name="_DV_M4585"/>
      <w:bookmarkStart w:id="753" w:name="_Toc124859251"/>
      <w:bookmarkStart w:id="754" w:name="_Toc148342671"/>
      <w:bookmarkStart w:id="755" w:name="_Toc401594105"/>
      <w:bookmarkStart w:id="756" w:name="_Toc462673267"/>
      <w:bookmarkStart w:id="757" w:name="_Toc467835616"/>
      <w:bookmarkStart w:id="758" w:name="_Toc482695287"/>
      <w:bookmarkStart w:id="759" w:name="_Toc512863929"/>
      <w:bookmarkEnd w:id="751"/>
      <w:bookmarkEnd w:id="752"/>
      <w:r w:rsidRPr="00C73365">
        <w:rPr>
          <w:rFonts w:asciiTheme="minorHAnsi" w:hAnsiTheme="minorHAnsi" w:cstheme="minorHAnsi"/>
          <w:sz w:val="22"/>
          <w:szCs w:val="22"/>
          <w:lang w:val="fr-FR"/>
        </w:rPr>
        <w:t>Dirigeants, administrateurs</w:t>
      </w:r>
      <w:bookmarkEnd w:id="753"/>
      <w:bookmarkEnd w:id="754"/>
      <w:bookmarkEnd w:id="755"/>
      <w:r w:rsidRPr="00C73365">
        <w:rPr>
          <w:rFonts w:asciiTheme="minorHAnsi" w:hAnsiTheme="minorHAnsi" w:cstheme="minorHAnsi"/>
          <w:sz w:val="22"/>
          <w:szCs w:val="22"/>
          <w:lang w:val="fr-FR"/>
        </w:rPr>
        <w:t xml:space="preserve"> et censeurs</w:t>
      </w:r>
      <w:bookmarkEnd w:id="756"/>
      <w:bookmarkEnd w:id="757"/>
      <w:bookmarkEnd w:id="758"/>
      <w:bookmarkEnd w:id="759"/>
    </w:p>
    <w:p w:rsidR="00B740A8" w:rsidRPr="00C73365" w:rsidRDefault="00B740A8" w:rsidP="00B740A8">
      <w:pPr>
        <w:pStyle w:val="ConmainL2"/>
        <w:numPr>
          <w:ilvl w:val="0"/>
          <w:numId w:val="0"/>
        </w:numPr>
        <w:spacing w:after="0"/>
        <w:outlineLvl w:val="9"/>
        <w:rPr>
          <w:rFonts w:asciiTheme="minorHAnsi" w:hAnsiTheme="minorHAnsi" w:cstheme="minorHAnsi"/>
          <w:sz w:val="22"/>
          <w:szCs w:val="22"/>
          <w:lang w:val="fr-FR"/>
        </w:rPr>
      </w:pPr>
    </w:p>
    <w:p w:rsidR="003D46DA" w:rsidRPr="00C73365" w:rsidRDefault="00B740A8" w:rsidP="003D46DA">
      <w:pPr>
        <w:pStyle w:val="ListContinue2"/>
        <w:ind w:left="0"/>
        <w:rPr>
          <w:rFonts w:asciiTheme="minorHAnsi" w:hAnsiTheme="minorHAnsi" w:cstheme="minorHAnsi"/>
          <w:lang w:val="fr-FR"/>
        </w:rPr>
      </w:pPr>
      <w:r w:rsidRPr="00C73365">
        <w:rPr>
          <w:rFonts w:asciiTheme="minorHAnsi" w:hAnsiTheme="minorHAnsi" w:cstheme="minorHAnsi"/>
          <w:lang w:val="fr-FR"/>
        </w:rPr>
        <w:t>Depuis sa création le 4 décembre 2013, la Société est organisée sous forme d’une société anonyme à conseil d’administration.</w:t>
      </w:r>
      <w:r w:rsidR="005C36A7">
        <w:rPr>
          <w:rFonts w:asciiTheme="minorHAnsi" w:hAnsiTheme="minorHAnsi" w:cstheme="minorHAnsi"/>
          <w:lang w:val="fr-FR"/>
        </w:rPr>
        <w:t xml:space="preserve"> </w:t>
      </w:r>
      <w:r w:rsidRPr="00C73365">
        <w:rPr>
          <w:rFonts w:asciiTheme="minorHAnsi" w:hAnsiTheme="minorHAnsi" w:cstheme="minorHAnsi"/>
          <w:lang w:val="fr-FR"/>
        </w:rPr>
        <w:t>Un résumé des principales stipulations des statuts de la Société et du règlement intérieur du conseil d’administration, lequel inclut des dispositions relatives aux comités spécialisés, figure respectivement à la section 21.2 « Acte constitutif et statuts » et à la section 16.3 « Comités spécialisés – Gouvernement d’entreprise » du présent document de référence.</w:t>
      </w:r>
    </w:p>
    <w:p w:rsidR="00B740A8" w:rsidRPr="00C73365" w:rsidRDefault="00B740A8" w:rsidP="00B740A8">
      <w:pPr>
        <w:pStyle w:val="ConmainL3"/>
        <w:keepLines/>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Composition du conseil d’administration</w:t>
      </w:r>
    </w:p>
    <w:p w:rsidR="00B740A8" w:rsidRPr="00C73365" w:rsidRDefault="00B740A8" w:rsidP="00B740A8">
      <w:pPr>
        <w:spacing w:line="264" w:lineRule="auto"/>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A la date du présent document de référence, le conseil d’administration de la Société est composé des neuf membres suivants : </w:t>
      </w:r>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8"/>
        <w:gridCol w:w="1843"/>
        <w:gridCol w:w="1229"/>
        <w:gridCol w:w="3732"/>
        <w:gridCol w:w="1701"/>
      </w:tblGrid>
      <w:tr w:rsidR="00B740A8" w:rsidRPr="00C73365" w:rsidTr="00D1541A">
        <w:trPr>
          <w:trHeight w:val="741"/>
          <w:jc w:val="center"/>
        </w:trPr>
        <w:tc>
          <w:tcPr>
            <w:tcW w:w="1768" w:type="dxa"/>
            <w:shd w:val="clear" w:color="auto" w:fill="auto"/>
            <w:hideMark/>
          </w:tcPr>
          <w:p w:rsidR="00B740A8" w:rsidRPr="00C73365" w:rsidRDefault="00B740A8" w:rsidP="00D1541A">
            <w:pPr>
              <w:jc w:val="center"/>
              <w:rPr>
                <w:rFonts w:asciiTheme="minorHAnsi" w:hAnsiTheme="minorHAnsi" w:cstheme="minorHAnsi"/>
                <w:b/>
                <w:bCs/>
                <w:color w:val="000000"/>
                <w:sz w:val="18"/>
                <w:szCs w:val="20"/>
                <w:lang w:val="fr-FR" w:eastAsia="fr-FR"/>
              </w:rPr>
            </w:pPr>
            <w:r w:rsidRPr="00C73365">
              <w:rPr>
                <w:rFonts w:asciiTheme="minorHAnsi" w:hAnsiTheme="minorHAnsi" w:cstheme="minorHAnsi"/>
                <w:b/>
                <w:bCs/>
                <w:color w:val="000000"/>
                <w:sz w:val="18"/>
                <w:szCs w:val="20"/>
                <w:lang w:val="fr-FR" w:eastAsia="fr-FR"/>
              </w:rPr>
              <w:t>Nom</w:t>
            </w:r>
          </w:p>
        </w:tc>
        <w:tc>
          <w:tcPr>
            <w:tcW w:w="1843" w:type="dxa"/>
            <w:shd w:val="clear" w:color="auto" w:fill="auto"/>
            <w:hideMark/>
          </w:tcPr>
          <w:p w:rsidR="00B740A8" w:rsidRPr="00C73365" w:rsidRDefault="00B740A8" w:rsidP="00D1541A">
            <w:pPr>
              <w:jc w:val="center"/>
              <w:rPr>
                <w:rFonts w:asciiTheme="minorHAnsi" w:hAnsiTheme="minorHAnsi" w:cstheme="minorHAnsi"/>
                <w:b/>
                <w:bCs/>
                <w:color w:val="000000"/>
                <w:sz w:val="18"/>
                <w:szCs w:val="20"/>
                <w:lang w:val="fr-FR" w:eastAsia="fr-FR"/>
              </w:rPr>
            </w:pPr>
            <w:r w:rsidRPr="00C73365">
              <w:rPr>
                <w:rFonts w:asciiTheme="minorHAnsi" w:hAnsiTheme="minorHAnsi" w:cstheme="minorHAnsi"/>
                <w:b/>
                <w:bCs/>
                <w:color w:val="000000"/>
                <w:sz w:val="18"/>
                <w:szCs w:val="20"/>
                <w:lang w:val="fr-FR" w:eastAsia="fr-FR"/>
              </w:rPr>
              <w:t>Mandat</w:t>
            </w:r>
          </w:p>
        </w:tc>
        <w:tc>
          <w:tcPr>
            <w:tcW w:w="1229" w:type="dxa"/>
            <w:shd w:val="clear" w:color="auto" w:fill="auto"/>
            <w:hideMark/>
          </w:tcPr>
          <w:p w:rsidR="00B740A8" w:rsidRPr="00C73365" w:rsidRDefault="00B740A8" w:rsidP="00D1541A">
            <w:pPr>
              <w:jc w:val="center"/>
              <w:rPr>
                <w:rFonts w:asciiTheme="minorHAnsi" w:hAnsiTheme="minorHAnsi" w:cstheme="minorHAnsi"/>
                <w:b/>
                <w:bCs/>
                <w:color w:val="000000"/>
                <w:sz w:val="18"/>
                <w:szCs w:val="20"/>
                <w:lang w:val="fr-FR" w:eastAsia="fr-FR"/>
              </w:rPr>
            </w:pPr>
            <w:r w:rsidRPr="00C73365">
              <w:rPr>
                <w:rFonts w:asciiTheme="minorHAnsi" w:hAnsiTheme="minorHAnsi" w:cstheme="minorHAnsi"/>
                <w:b/>
                <w:bCs/>
                <w:color w:val="000000"/>
                <w:sz w:val="18"/>
                <w:szCs w:val="20"/>
                <w:lang w:val="fr-FR" w:eastAsia="fr-FR"/>
              </w:rPr>
              <w:t>Indépendant</w:t>
            </w:r>
          </w:p>
        </w:tc>
        <w:tc>
          <w:tcPr>
            <w:tcW w:w="3732" w:type="dxa"/>
            <w:shd w:val="clear" w:color="auto" w:fill="auto"/>
            <w:hideMark/>
          </w:tcPr>
          <w:p w:rsidR="00B740A8" w:rsidRPr="00C73365" w:rsidRDefault="00B740A8" w:rsidP="00D1541A">
            <w:pPr>
              <w:jc w:val="center"/>
              <w:rPr>
                <w:rFonts w:asciiTheme="minorHAnsi" w:hAnsiTheme="minorHAnsi" w:cstheme="minorHAnsi"/>
                <w:b/>
                <w:bCs/>
                <w:color w:val="000000"/>
                <w:sz w:val="18"/>
                <w:szCs w:val="20"/>
                <w:lang w:val="fr-FR" w:eastAsia="fr-FR"/>
              </w:rPr>
            </w:pPr>
            <w:r w:rsidRPr="00C73365">
              <w:rPr>
                <w:rFonts w:asciiTheme="minorHAnsi" w:hAnsiTheme="minorHAnsi" w:cstheme="minorHAnsi"/>
                <w:b/>
                <w:bCs/>
                <w:color w:val="000000"/>
                <w:sz w:val="18"/>
                <w:szCs w:val="20"/>
                <w:lang w:val="fr-FR" w:eastAsia="fr-FR"/>
              </w:rPr>
              <w:t>Date de début et de fin de mandat</w:t>
            </w:r>
          </w:p>
        </w:tc>
        <w:tc>
          <w:tcPr>
            <w:tcW w:w="1701" w:type="dxa"/>
          </w:tcPr>
          <w:p w:rsidR="00B740A8" w:rsidRPr="00C73365" w:rsidRDefault="00B740A8" w:rsidP="00D1541A">
            <w:pPr>
              <w:jc w:val="center"/>
              <w:rPr>
                <w:rFonts w:asciiTheme="minorHAnsi" w:hAnsiTheme="minorHAnsi" w:cstheme="minorHAnsi"/>
                <w:lang w:val="fr-FR"/>
              </w:rPr>
            </w:pPr>
          </w:p>
          <w:p w:rsidR="00B740A8" w:rsidRPr="00C73365" w:rsidRDefault="00B740A8" w:rsidP="00D1541A">
            <w:pPr>
              <w:jc w:val="center"/>
              <w:rPr>
                <w:rFonts w:asciiTheme="minorHAnsi" w:hAnsiTheme="minorHAnsi" w:cstheme="minorHAnsi"/>
                <w:b/>
                <w:bCs/>
                <w:color w:val="000000"/>
                <w:sz w:val="18"/>
                <w:szCs w:val="20"/>
                <w:lang w:val="fr-FR" w:eastAsia="fr-FR"/>
              </w:rPr>
            </w:pPr>
            <w:r w:rsidRPr="00C73365">
              <w:rPr>
                <w:rFonts w:asciiTheme="minorHAnsi" w:hAnsiTheme="minorHAnsi" w:cstheme="minorHAnsi"/>
                <w:b/>
                <w:bCs/>
                <w:color w:val="000000"/>
                <w:sz w:val="18"/>
                <w:szCs w:val="20"/>
                <w:lang w:val="fr-FR" w:eastAsia="fr-FR"/>
              </w:rPr>
              <w:t>Comités</w:t>
            </w:r>
          </w:p>
        </w:tc>
      </w:tr>
      <w:tr w:rsidR="00B740A8" w:rsidRPr="00F06F79" w:rsidTr="00D1541A">
        <w:trPr>
          <w:trHeight w:val="3246"/>
          <w:jc w:val="center"/>
        </w:trPr>
        <w:tc>
          <w:tcPr>
            <w:tcW w:w="1768"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Philippe Pouletty</w:t>
            </w:r>
          </w:p>
          <w:p w:rsidR="00B740A8" w:rsidRPr="00C73365" w:rsidRDefault="00B740A8" w:rsidP="00D1541A">
            <w:pPr>
              <w:rPr>
                <w:rFonts w:asciiTheme="minorHAnsi" w:hAnsiTheme="minorHAnsi" w:cstheme="minorHAnsi"/>
                <w:color w:val="000000"/>
                <w:szCs w:val="20"/>
                <w:lang w:val="fr-FR" w:eastAsia="fr-FR"/>
              </w:rPr>
            </w:pPr>
          </w:p>
        </w:tc>
        <w:tc>
          <w:tcPr>
            <w:tcW w:w="1843"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d’administration</w:t>
            </w:r>
          </w:p>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br/>
            </w:r>
          </w:p>
        </w:tc>
        <w:tc>
          <w:tcPr>
            <w:tcW w:w="1229" w:type="dxa"/>
            <w:shd w:val="clear" w:color="auto" w:fill="auto"/>
            <w:noWrap/>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p w:rsidR="00B740A8" w:rsidRPr="00C73365" w:rsidRDefault="00B740A8" w:rsidP="00D1541A">
            <w:pPr>
              <w:jc w:val="center"/>
              <w:rPr>
                <w:rFonts w:asciiTheme="minorHAnsi" w:hAnsiTheme="minorHAnsi" w:cstheme="minorHAnsi"/>
                <w:color w:val="000000"/>
                <w:szCs w:val="20"/>
                <w:lang w:val="fr-FR" w:eastAsia="fr-FR"/>
              </w:rPr>
            </w:pPr>
          </w:p>
        </w:tc>
        <w:tc>
          <w:tcPr>
            <w:tcW w:w="3732"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Nommé administrateur aux termes de l’acte constitutif de la Société. </w:t>
            </w: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Renouvelé par l’assemblée générale mixte en date du 23 juin 2017 pour une durée de 4 années expirant à l’issue de l’assemblée générale devant statuer sur les comptes de l’exercice clos le 31 décembre 2020. </w:t>
            </w:r>
          </w:p>
          <w:p w:rsidR="00B740A8" w:rsidRPr="00C73365" w:rsidRDefault="00B740A8" w:rsidP="00D1541A">
            <w:pPr>
              <w:rPr>
                <w:rFonts w:asciiTheme="minorHAnsi" w:hAnsiTheme="minorHAnsi" w:cstheme="minorHAnsi"/>
                <w:color w:val="000000"/>
                <w:szCs w:val="20"/>
                <w:lang w:val="fr-FR" w:eastAsia="fr-FR"/>
              </w:rPr>
            </w:pP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Nommé président du conseil d’administration par le conseil d’administration en date du 4 décembre 2014 et renouvelé le 13 juillet 2017 pour la durée de son mandat d’administrateur.</w:t>
            </w:r>
          </w:p>
          <w:p w:rsidR="00B740A8" w:rsidRPr="00C73365" w:rsidRDefault="00B740A8" w:rsidP="00D1541A">
            <w:pPr>
              <w:rPr>
                <w:rFonts w:asciiTheme="minorHAnsi" w:hAnsiTheme="minorHAnsi" w:cstheme="minorHAnsi"/>
                <w:color w:val="000000"/>
                <w:szCs w:val="20"/>
                <w:lang w:val="fr-FR" w:eastAsia="fr-FR"/>
              </w:rPr>
            </w:pPr>
          </w:p>
        </w:tc>
        <w:tc>
          <w:tcPr>
            <w:tcW w:w="1701" w:type="dxa"/>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Président du </w:t>
            </w:r>
            <w:r w:rsidR="00AC15E8">
              <w:rPr>
                <w:rFonts w:asciiTheme="minorHAnsi" w:hAnsiTheme="minorHAnsi" w:cstheme="minorHAnsi"/>
                <w:color w:val="000000"/>
                <w:szCs w:val="20"/>
                <w:lang w:val="fr-FR" w:eastAsia="fr-FR"/>
              </w:rPr>
              <w:t>comité des recrutements et des rémunérations</w:t>
            </w:r>
          </w:p>
        </w:tc>
      </w:tr>
      <w:tr w:rsidR="00B740A8" w:rsidRPr="00C73365" w:rsidTr="00D1541A">
        <w:trPr>
          <w:trHeight w:val="1758"/>
          <w:jc w:val="center"/>
        </w:trPr>
        <w:tc>
          <w:tcPr>
            <w:tcW w:w="1768"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 Joy Amundson</w:t>
            </w:r>
          </w:p>
        </w:tc>
        <w:tc>
          <w:tcPr>
            <w:tcW w:w="1843"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bookmarkStart w:id="760" w:name="RANGE!D5"/>
            <w:r w:rsidRPr="00C73365">
              <w:rPr>
                <w:rFonts w:asciiTheme="minorHAnsi" w:hAnsiTheme="minorHAnsi" w:cstheme="minorHAnsi"/>
                <w:color w:val="000000"/>
                <w:szCs w:val="20"/>
                <w:lang w:val="fr-FR" w:eastAsia="fr-FR"/>
              </w:rPr>
              <w:t xml:space="preserve">Administrateur </w:t>
            </w:r>
            <w:r w:rsidRPr="00C73365">
              <w:rPr>
                <w:rFonts w:asciiTheme="minorHAnsi" w:hAnsiTheme="minorHAnsi" w:cstheme="minorHAnsi"/>
                <w:color w:val="7030A0"/>
                <w:szCs w:val="20"/>
                <w:lang w:val="fr-FR" w:eastAsia="fr-FR"/>
              </w:rPr>
              <w:br/>
            </w:r>
            <w:r w:rsidRPr="00C73365">
              <w:rPr>
                <w:rFonts w:asciiTheme="minorHAnsi" w:hAnsiTheme="minorHAnsi" w:cstheme="minorHAnsi"/>
                <w:szCs w:val="20"/>
                <w:lang w:val="fr-FR" w:eastAsia="fr-FR"/>
              </w:rPr>
              <w:br/>
            </w:r>
            <w:bookmarkEnd w:id="760"/>
          </w:p>
        </w:tc>
        <w:tc>
          <w:tcPr>
            <w:tcW w:w="1229"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3732" w:type="dxa"/>
            <w:shd w:val="clear" w:color="auto" w:fill="auto"/>
            <w:hideMark/>
          </w:tcPr>
          <w:p w:rsidR="00B740A8" w:rsidRPr="00C73365" w:rsidRDefault="00B740A8" w:rsidP="00D1541A">
            <w:pPr>
              <w:ind w:left="18"/>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Cooptée administrateur en remplacement de la société Amundson Partners Ltd., démissionnaire, par le conseil d’administration du 23 janvier 2017 jusqu’à l’expiration du mandat initial de la société Amundson Partners Ltd., soit à l’issue de l’assemblée générale devant statuer sur les comptes de l’exercice clos le 31 décembre 2017. </w:t>
            </w:r>
          </w:p>
        </w:tc>
        <w:tc>
          <w:tcPr>
            <w:tcW w:w="1701" w:type="dxa"/>
          </w:tcPr>
          <w:p w:rsidR="00B740A8" w:rsidRPr="00C73365" w:rsidRDefault="00B740A8" w:rsidP="00D1541A">
            <w:pPr>
              <w:ind w:left="18"/>
              <w:jc w:val="center"/>
              <w:rPr>
                <w:rFonts w:asciiTheme="minorHAnsi" w:hAnsiTheme="minorHAnsi" w:cstheme="minorHAnsi"/>
                <w:color w:val="000000"/>
                <w:szCs w:val="20"/>
                <w:lang w:val="fr-FR" w:eastAsia="fr-FR"/>
              </w:rPr>
            </w:pPr>
          </w:p>
          <w:p w:rsidR="00B740A8" w:rsidRPr="00C73365" w:rsidRDefault="00B740A8" w:rsidP="00D1541A">
            <w:pPr>
              <w:ind w:left="18"/>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 comité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audit</w:t>
            </w:r>
          </w:p>
          <w:p w:rsidR="00B740A8" w:rsidRPr="00C73365" w:rsidRDefault="00B740A8" w:rsidP="00D1541A">
            <w:pPr>
              <w:ind w:left="18"/>
              <w:jc w:val="center"/>
              <w:rPr>
                <w:rFonts w:asciiTheme="minorHAnsi" w:hAnsiTheme="minorHAnsi" w:cstheme="minorHAnsi"/>
                <w:color w:val="000000"/>
                <w:szCs w:val="20"/>
                <w:lang w:val="fr-FR" w:eastAsia="fr-FR"/>
              </w:rPr>
            </w:pPr>
          </w:p>
        </w:tc>
      </w:tr>
      <w:tr w:rsidR="00B740A8" w:rsidRPr="00C73365" w:rsidTr="00D1541A">
        <w:trPr>
          <w:trHeight w:val="1423"/>
          <w:jc w:val="center"/>
        </w:trPr>
        <w:tc>
          <w:tcPr>
            <w:tcW w:w="1768" w:type="dxa"/>
            <w:shd w:val="clear" w:color="auto" w:fill="auto"/>
            <w:hideMark/>
          </w:tcPr>
          <w:p w:rsidR="00B740A8" w:rsidRPr="00C73365" w:rsidRDefault="00B740A8" w:rsidP="00D1541A">
            <w:pPr>
              <w:spacing w:after="24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Monsieur </w:t>
            </w:r>
            <w:r w:rsidRPr="00C73365">
              <w:rPr>
                <w:rFonts w:asciiTheme="minorHAnsi" w:hAnsiTheme="minorHAnsi" w:cstheme="minorHAnsi"/>
                <w:color w:val="000000"/>
                <w:szCs w:val="20"/>
                <w:lang w:val="fr-FR" w:eastAsia="fr-FR"/>
              </w:rPr>
              <w:br/>
              <w:t>Claude Bertrand</w:t>
            </w:r>
          </w:p>
        </w:tc>
        <w:tc>
          <w:tcPr>
            <w:tcW w:w="1843"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p w:rsidR="00B740A8" w:rsidRPr="00C73365" w:rsidRDefault="00B740A8" w:rsidP="00D1541A">
            <w:pPr>
              <w:jc w:val="center"/>
              <w:rPr>
                <w:rFonts w:asciiTheme="minorHAnsi" w:hAnsiTheme="minorHAnsi" w:cstheme="minorHAnsi"/>
                <w:color w:val="000000"/>
                <w:szCs w:val="20"/>
                <w:lang w:val="fr-FR" w:eastAsia="fr-FR"/>
              </w:rPr>
            </w:pPr>
          </w:p>
        </w:tc>
        <w:tc>
          <w:tcPr>
            <w:tcW w:w="1229"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3732"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Nommé administrateur par l’assemblée générale en date du 11 mars 2014 pour une durée de 4 années expirant à l’issue de l’assemblée générale devant statuer sur les comptes de l’exercice clos le 31 décembre 2017.</w:t>
            </w:r>
          </w:p>
        </w:tc>
        <w:tc>
          <w:tcPr>
            <w:tcW w:w="1701" w:type="dxa"/>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Membre du comité d’audit </w:t>
            </w:r>
          </w:p>
        </w:tc>
      </w:tr>
      <w:tr w:rsidR="00B740A8" w:rsidRPr="00F06F79" w:rsidTr="00D1541A">
        <w:trPr>
          <w:trHeight w:val="1518"/>
          <w:jc w:val="center"/>
        </w:trPr>
        <w:tc>
          <w:tcPr>
            <w:tcW w:w="1768"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Monsieur </w:t>
            </w:r>
            <w:r w:rsidRPr="00C73365">
              <w:rPr>
                <w:rFonts w:asciiTheme="minorHAnsi" w:hAnsiTheme="minorHAnsi" w:cstheme="minorHAnsi"/>
                <w:color w:val="000000"/>
                <w:szCs w:val="20"/>
                <w:lang w:val="fr-FR" w:eastAsia="fr-FR"/>
              </w:rPr>
              <w:br/>
              <w:t>Jean-Jacques Bertrand</w:t>
            </w:r>
          </w:p>
        </w:tc>
        <w:tc>
          <w:tcPr>
            <w:tcW w:w="1843"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r w:rsidRPr="00C73365">
              <w:rPr>
                <w:rFonts w:asciiTheme="minorHAnsi" w:hAnsiTheme="minorHAnsi" w:cstheme="minorHAnsi"/>
                <w:color w:val="000000"/>
                <w:szCs w:val="20"/>
                <w:lang w:val="fr-FR" w:eastAsia="fr-FR"/>
              </w:rPr>
              <w:br/>
            </w:r>
            <w:r w:rsidRPr="00C73365">
              <w:rPr>
                <w:rFonts w:asciiTheme="minorHAnsi" w:hAnsiTheme="minorHAnsi" w:cstheme="minorHAnsi"/>
                <w:color w:val="000000"/>
                <w:szCs w:val="20"/>
                <w:lang w:val="fr-FR" w:eastAsia="fr-FR"/>
              </w:rPr>
              <w:br/>
            </w:r>
          </w:p>
        </w:tc>
        <w:tc>
          <w:tcPr>
            <w:tcW w:w="1229"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p w:rsidR="00B740A8" w:rsidRPr="00C73365" w:rsidRDefault="00B740A8" w:rsidP="00D1541A">
            <w:pPr>
              <w:jc w:val="center"/>
              <w:rPr>
                <w:rFonts w:asciiTheme="minorHAnsi" w:hAnsiTheme="minorHAnsi" w:cstheme="minorHAnsi"/>
                <w:color w:val="000000"/>
                <w:szCs w:val="20"/>
                <w:lang w:val="fr-FR" w:eastAsia="fr-FR"/>
              </w:rPr>
            </w:pPr>
          </w:p>
        </w:tc>
        <w:tc>
          <w:tcPr>
            <w:tcW w:w="3732"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Nommé administrateur par l’assemblée générale en date du 11 mars 2014 pour une durée de 4 années expirant à l’issue de l’assemblée générale devant statuer sur les comptes de l’exercice clos le 31 décembre 2017.</w:t>
            </w:r>
          </w:p>
        </w:tc>
        <w:tc>
          <w:tcPr>
            <w:tcW w:w="1701" w:type="dxa"/>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Membre du </w:t>
            </w:r>
            <w:r w:rsidR="00AC15E8">
              <w:rPr>
                <w:rFonts w:asciiTheme="minorHAnsi" w:hAnsiTheme="minorHAnsi" w:cstheme="minorHAnsi"/>
                <w:color w:val="000000"/>
                <w:szCs w:val="20"/>
                <w:lang w:val="fr-FR" w:eastAsia="fr-FR"/>
              </w:rPr>
              <w:t>comité des recrutements et des rémunérations</w:t>
            </w:r>
          </w:p>
        </w:tc>
      </w:tr>
      <w:tr w:rsidR="00B740A8" w:rsidRPr="008C1A4A" w:rsidTr="00D1541A">
        <w:trPr>
          <w:trHeight w:val="2197"/>
          <w:jc w:val="center"/>
        </w:trPr>
        <w:tc>
          <w:tcPr>
            <w:tcW w:w="1768"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lastRenderedPageBreak/>
              <w:t>Santé Holding SRL</w:t>
            </w:r>
            <w:r w:rsidRPr="00C73365">
              <w:rPr>
                <w:rFonts w:asciiTheme="minorHAnsi" w:hAnsiTheme="minorHAnsi" w:cstheme="minorHAnsi"/>
                <w:color w:val="000000"/>
                <w:szCs w:val="20"/>
                <w:lang w:val="fr-FR" w:eastAsia="fr-FR"/>
              </w:rPr>
              <w:br/>
              <w:t>(représentant permanent au conseil : Antonino Ligresti)</w:t>
            </w:r>
          </w:p>
        </w:tc>
        <w:tc>
          <w:tcPr>
            <w:tcW w:w="1843" w:type="dxa"/>
            <w:shd w:val="clear" w:color="auto" w:fill="auto"/>
            <w:hideMark/>
          </w:tcPr>
          <w:p w:rsidR="00B740A8" w:rsidRPr="00C73365" w:rsidRDefault="00B740A8" w:rsidP="00D1541A">
            <w:pPr>
              <w:spacing w:after="24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229"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p w:rsidR="00B740A8" w:rsidRPr="00C73365" w:rsidRDefault="00B740A8" w:rsidP="00D1541A">
            <w:pPr>
              <w:jc w:val="center"/>
              <w:rPr>
                <w:rFonts w:asciiTheme="minorHAnsi" w:hAnsiTheme="minorHAnsi" w:cstheme="minorHAnsi"/>
                <w:color w:val="000000"/>
                <w:szCs w:val="20"/>
                <w:lang w:val="fr-FR" w:eastAsia="fr-FR"/>
              </w:rPr>
            </w:pPr>
          </w:p>
        </w:tc>
        <w:tc>
          <w:tcPr>
            <w:tcW w:w="3732"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Coopté administrateur en remplacement de Monsieur Jérôme Gallot par le conseil d’administration en date du 6 juillet 2015 et confirmé lors du conseil d’administration du 14 </w:t>
            </w:r>
            <w:r w:rsidR="00E73A7C">
              <w:rPr>
                <w:rFonts w:asciiTheme="minorHAnsi" w:hAnsiTheme="minorHAnsi" w:cstheme="minorHAnsi"/>
                <w:color w:val="000000"/>
                <w:szCs w:val="20"/>
                <w:lang w:val="fr-FR" w:eastAsia="fr-FR"/>
              </w:rPr>
              <w:t>septembre</w:t>
            </w:r>
            <w:r w:rsidRPr="00C73365">
              <w:rPr>
                <w:rFonts w:asciiTheme="minorHAnsi" w:hAnsiTheme="minorHAnsi" w:cstheme="minorHAnsi"/>
                <w:color w:val="000000"/>
                <w:szCs w:val="20"/>
                <w:lang w:val="fr-FR" w:eastAsia="fr-FR"/>
              </w:rPr>
              <w:t xml:space="preserve"> 2015. </w:t>
            </w: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Renouvelé lors de l’assemblée générale mixte en date du 23 juin 2017 pour une durée de 4 ans expirant à l’issue de l’assemblée générale devant statuer sur les comptes de l’exercice clos le 31 décembre 2020.</w:t>
            </w:r>
          </w:p>
        </w:tc>
        <w:tc>
          <w:tcPr>
            <w:tcW w:w="1701" w:type="dxa"/>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8C1A4A" w:rsidTr="00D1541A">
        <w:trPr>
          <w:trHeight w:val="2197"/>
          <w:jc w:val="center"/>
        </w:trPr>
        <w:tc>
          <w:tcPr>
            <w:tcW w:w="1768"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Truffle Capital </w:t>
            </w:r>
            <w:r w:rsidRPr="00C73365">
              <w:rPr>
                <w:rFonts w:asciiTheme="minorHAnsi" w:hAnsiTheme="minorHAnsi" w:cstheme="minorHAnsi"/>
                <w:color w:val="000000"/>
                <w:szCs w:val="20"/>
                <w:lang w:val="fr-FR" w:eastAsia="fr-FR"/>
              </w:rPr>
              <w:br/>
              <w:t>(représentant permanent au conseil : Antoine Pau jusqu’au 22 janvier 2018, Christian Pierret à partir du 22 janvier 2018)</w:t>
            </w:r>
          </w:p>
          <w:p w:rsidR="00B740A8" w:rsidRPr="00C73365" w:rsidRDefault="00B740A8" w:rsidP="00D1541A">
            <w:pPr>
              <w:rPr>
                <w:rFonts w:asciiTheme="minorHAnsi" w:hAnsiTheme="minorHAnsi" w:cstheme="minorHAnsi"/>
                <w:color w:val="000000"/>
                <w:szCs w:val="20"/>
                <w:lang w:val="fr-FR" w:eastAsia="fr-FR"/>
              </w:rPr>
            </w:pPr>
          </w:p>
          <w:p w:rsidR="00B740A8" w:rsidRPr="00C73365" w:rsidRDefault="00B740A8" w:rsidP="00D1541A">
            <w:pPr>
              <w:rPr>
                <w:rFonts w:asciiTheme="minorHAnsi" w:hAnsiTheme="minorHAnsi" w:cstheme="minorHAnsi"/>
                <w:color w:val="000000"/>
                <w:szCs w:val="20"/>
                <w:lang w:val="fr-FR" w:eastAsia="fr-FR"/>
              </w:rPr>
            </w:pPr>
          </w:p>
        </w:tc>
        <w:tc>
          <w:tcPr>
            <w:tcW w:w="1843" w:type="dxa"/>
            <w:shd w:val="clear" w:color="auto" w:fill="auto"/>
            <w:hideMark/>
          </w:tcPr>
          <w:p w:rsidR="00B740A8" w:rsidRPr="00C73365" w:rsidRDefault="00B740A8" w:rsidP="00D1541A">
            <w:pPr>
              <w:spacing w:after="24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r w:rsidRPr="00C73365">
              <w:rPr>
                <w:rFonts w:asciiTheme="minorHAnsi" w:hAnsiTheme="minorHAnsi" w:cstheme="minorHAnsi"/>
                <w:color w:val="000000"/>
                <w:szCs w:val="20"/>
                <w:lang w:val="fr-FR" w:eastAsia="fr-FR"/>
              </w:rPr>
              <w:br/>
            </w:r>
          </w:p>
        </w:tc>
        <w:tc>
          <w:tcPr>
            <w:tcW w:w="1229"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w:t>
            </w:r>
          </w:p>
        </w:tc>
        <w:tc>
          <w:tcPr>
            <w:tcW w:w="3732"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Nommé administrateur aux termes de l’acte constitutif de la Société. </w:t>
            </w: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Renouvelé lors de l’assemblée générale mixte en date du 23 juin 2017 pour une durée de 4 ans expirant à l’issue de l’assemblée générale devant statuer sur les comptes de l’exercice clos le 31 décembre 2020.</w:t>
            </w:r>
          </w:p>
        </w:tc>
        <w:tc>
          <w:tcPr>
            <w:tcW w:w="1701" w:type="dxa"/>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8C1A4A" w:rsidTr="00D1541A">
        <w:trPr>
          <w:trHeight w:val="288"/>
          <w:jc w:val="center"/>
        </w:trPr>
        <w:tc>
          <w:tcPr>
            <w:tcW w:w="1768" w:type="dxa"/>
            <w:shd w:val="clear" w:color="auto" w:fill="auto"/>
          </w:tcPr>
          <w:p w:rsidR="00B740A8" w:rsidRPr="00C73365" w:rsidRDefault="00B740A8" w:rsidP="00D1541A">
            <w:pPr>
              <w:spacing w:after="240"/>
              <w:rPr>
                <w:rFonts w:asciiTheme="minorHAnsi" w:hAnsiTheme="minorHAnsi" w:cstheme="minorHAnsi"/>
                <w:color w:val="000000"/>
                <w:szCs w:val="20"/>
                <w:lang w:eastAsia="fr-FR"/>
              </w:rPr>
            </w:pPr>
            <w:r w:rsidRPr="00C73365">
              <w:rPr>
                <w:rFonts w:asciiTheme="minorHAnsi" w:hAnsiTheme="minorHAnsi" w:cstheme="minorHAnsi"/>
                <w:color w:val="000000"/>
                <w:szCs w:val="20"/>
                <w:lang w:eastAsia="fr-FR"/>
              </w:rPr>
              <w:t>Madame Corinna zur Bonsen-Thomas</w:t>
            </w:r>
          </w:p>
        </w:tc>
        <w:tc>
          <w:tcPr>
            <w:tcW w:w="1843" w:type="dxa"/>
            <w:shd w:val="clear" w:color="auto" w:fill="auto"/>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Administrateur </w:t>
            </w:r>
            <w:r w:rsidRPr="00C73365">
              <w:rPr>
                <w:rFonts w:asciiTheme="minorHAnsi" w:hAnsiTheme="minorHAnsi" w:cstheme="minorHAnsi"/>
                <w:color w:val="000000"/>
                <w:szCs w:val="20"/>
                <w:lang w:val="fr-FR" w:eastAsia="fr-FR"/>
              </w:rPr>
              <w:br/>
            </w:r>
          </w:p>
        </w:tc>
        <w:tc>
          <w:tcPr>
            <w:tcW w:w="1229" w:type="dxa"/>
            <w:shd w:val="clear" w:color="auto" w:fill="auto"/>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3732" w:type="dxa"/>
            <w:shd w:val="clear" w:color="auto" w:fill="auto"/>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Nommée administrateur par l’assemblée générale en date du 23 juin 2017 pour une durée de 4 années expirant à l’issue de l’assemblée générale devant statuer sur les comptes de l’exercice clos le 31 décembre 2020.</w:t>
            </w:r>
          </w:p>
        </w:tc>
        <w:tc>
          <w:tcPr>
            <w:tcW w:w="1701" w:type="dxa"/>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w:t>
            </w:r>
          </w:p>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comité d’audit</w:t>
            </w:r>
          </w:p>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(jusqu’au 22 janvier 2018), Présidente du comité d’audit (à partir du 22 janvier 2018)</w:t>
            </w:r>
          </w:p>
        </w:tc>
      </w:tr>
      <w:tr w:rsidR="00B740A8" w:rsidRPr="008C1A4A" w:rsidTr="00D1541A">
        <w:trPr>
          <w:trHeight w:val="1795"/>
          <w:jc w:val="center"/>
        </w:trPr>
        <w:tc>
          <w:tcPr>
            <w:tcW w:w="1768" w:type="dxa"/>
            <w:shd w:val="clear" w:color="auto" w:fill="auto"/>
            <w:hideMark/>
          </w:tcPr>
          <w:p w:rsidR="00B740A8" w:rsidRPr="00C73365" w:rsidRDefault="00B740A8" w:rsidP="00D1541A">
            <w:pPr>
              <w:spacing w:after="24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w:t>
            </w:r>
            <w:r w:rsidRPr="00C73365">
              <w:rPr>
                <w:rFonts w:asciiTheme="minorHAnsi" w:hAnsiTheme="minorHAnsi" w:cstheme="minorHAnsi"/>
                <w:color w:val="000000"/>
                <w:szCs w:val="20"/>
                <w:lang w:val="fr-FR" w:eastAsia="fr-FR"/>
              </w:rPr>
              <w:br/>
              <w:t>Dominique Costantini</w:t>
            </w:r>
            <w:r w:rsidRPr="00C73365">
              <w:rPr>
                <w:rFonts w:asciiTheme="minorHAnsi" w:hAnsiTheme="minorHAnsi" w:cstheme="minorHAnsi"/>
                <w:color w:val="000000"/>
                <w:szCs w:val="20"/>
                <w:lang w:val="fr-FR" w:eastAsia="fr-FR"/>
              </w:rPr>
              <w:br/>
            </w:r>
          </w:p>
        </w:tc>
        <w:tc>
          <w:tcPr>
            <w:tcW w:w="1843"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229" w:type="dxa"/>
            <w:shd w:val="clear" w:color="auto" w:fill="auto"/>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p w:rsidR="00B740A8" w:rsidRPr="00C73365" w:rsidRDefault="00B740A8" w:rsidP="00D1541A">
            <w:pPr>
              <w:jc w:val="center"/>
              <w:rPr>
                <w:rFonts w:asciiTheme="minorHAnsi" w:hAnsiTheme="minorHAnsi" w:cstheme="minorHAnsi"/>
                <w:color w:val="000000"/>
                <w:szCs w:val="20"/>
                <w:lang w:val="fr-FR" w:eastAsia="fr-FR"/>
              </w:rPr>
            </w:pPr>
          </w:p>
        </w:tc>
        <w:tc>
          <w:tcPr>
            <w:tcW w:w="3732" w:type="dxa"/>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Cooptée administrateur en remplacement de Monsieur Miguel Sieler par le conseil d’administration en date du 14 </w:t>
            </w:r>
            <w:r w:rsidR="00E73A7C">
              <w:rPr>
                <w:rFonts w:asciiTheme="minorHAnsi" w:hAnsiTheme="minorHAnsi" w:cstheme="minorHAnsi"/>
                <w:color w:val="000000"/>
                <w:szCs w:val="20"/>
                <w:lang w:val="fr-FR" w:eastAsia="fr-FR"/>
              </w:rPr>
              <w:t>septembre</w:t>
            </w:r>
            <w:r w:rsidRPr="00C73365">
              <w:rPr>
                <w:rFonts w:asciiTheme="minorHAnsi" w:hAnsiTheme="minorHAnsi" w:cstheme="minorHAnsi"/>
                <w:color w:val="000000"/>
                <w:szCs w:val="20"/>
                <w:lang w:val="fr-FR" w:eastAsia="fr-FR"/>
              </w:rPr>
              <w:t xml:space="preserve"> 2015. </w:t>
            </w: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Renouvelée lors de l’assemblée générale mixte en date du 23 juin 2017 pour une durée de 4 ans expirant à l’issue de l’assemblée générale devant statuer sur les comptes de l’exercice clos le 31 décembre 2020.</w:t>
            </w:r>
          </w:p>
        </w:tc>
        <w:tc>
          <w:tcPr>
            <w:tcW w:w="1701" w:type="dxa"/>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8C1A4A" w:rsidTr="00D1541A">
        <w:trPr>
          <w:trHeight w:val="603"/>
          <w:jc w:val="center"/>
        </w:trPr>
        <w:tc>
          <w:tcPr>
            <w:tcW w:w="1768" w:type="dxa"/>
            <w:shd w:val="clear" w:color="auto" w:fill="auto"/>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w:t>
            </w:r>
            <w:r w:rsidRPr="00C73365">
              <w:rPr>
                <w:rFonts w:asciiTheme="minorHAnsi" w:hAnsiTheme="minorHAnsi" w:cstheme="minorHAnsi"/>
                <w:color w:val="000000"/>
                <w:szCs w:val="20"/>
                <w:lang w:val="fr-FR" w:eastAsia="fr-FR"/>
              </w:rPr>
              <w:br/>
              <w:t>Carol L. Brosgart (à partir du 22 janvier 2018)</w:t>
            </w:r>
          </w:p>
        </w:tc>
        <w:tc>
          <w:tcPr>
            <w:tcW w:w="1843" w:type="dxa"/>
            <w:shd w:val="clear" w:color="auto" w:fill="auto"/>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229" w:type="dxa"/>
            <w:shd w:val="clear" w:color="auto" w:fill="auto"/>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Oui</w:t>
            </w:r>
          </w:p>
        </w:tc>
        <w:tc>
          <w:tcPr>
            <w:tcW w:w="3732" w:type="dxa"/>
            <w:shd w:val="clear" w:color="auto" w:fill="auto"/>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color w:val="000000"/>
                <w:szCs w:val="20"/>
                <w:lang w:val="fr-FR" w:eastAsia="fr-FR"/>
              </w:rPr>
              <w:t>Cooptée administrateur par le conseil d’administration en date du 22 janvier 2018 en remplacement de Monsieur Christian Pierret pour la durée de son mandat soit jusqu’à l’issue de l’assemblée générale devant statuer sur les comptes de l’exercice clos le 31 décembre 2017.</w:t>
            </w:r>
          </w:p>
          <w:p w:rsidR="00B740A8" w:rsidRPr="00C73365" w:rsidRDefault="00B740A8" w:rsidP="00D1541A">
            <w:pPr>
              <w:rPr>
                <w:rFonts w:asciiTheme="minorHAnsi" w:hAnsiTheme="minorHAnsi" w:cstheme="minorHAnsi"/>
                <w:color w:val="000000"/>
                <w:szCs w:val="20"/>
                <w:lang w:val="fr-FR" w:eastAsia="fr-FR"/>
              </w:rPr>
            </w:pPr>
          </w:p>
        </w:tc>
        <w:tc>
          <w:tcPr>
            <w:tcW w:w="1701" w:type="dxa"/>
          </w:tcPr>
          <w:p w:rsidR="00B740A8" w:rsidRPr="00C73365" w:rsidRDefault="00B740A8" w:rsidP="00D1541A">
            <w:pPr>
              <w:rPr>
                <w:rFonts w:asciiTheme="minorHAnsi" w:hAnsiTheme="minorHAnsi" w:cstheme="minorHAnsi"/>
                <w:color w:val="000000"/>
                <w:szCs w:val="20"/>
                <w:lang w:val="fr-FR" w:eastAsia="fr-FR"/>
              </w:rPr>
            </w:pPr>
          </w:p>
        </w:tc>
      </w:tr>
    </w:tbl>
    <w:p w:rsidR="00B740A8" w:rsidRPr="00C73365" w:rsidRDefault="00B740A8" w:rsidP="00B740A8">
      <w:pPr>
        <w:rPr>
          <w:rFonts w:asciiTheme="minorHAnsi" w:hAnsiTheme="minorHAnsi" w:cstheme="minorHAnsi"/>
          <w:color w:val="000000"/>
          <w:szCs w:val="20"/>
          <w:lang w:val="fr-FR" w:eastAsia="fr-FR"/>
        </w:rPr>
      </w:pPr>
    </w:p>
    <w:p w:rsidR="00B740A8" w:rsidRPr="00C73365" w:rsidRDefault="00B740A8" w:rsidP="00B740A8">
      <w:pPr>
        <w:spacing w:line="264" w:lineRule="auto"/>
        <w:rPr>
          <w:rFonts w:asciiTheme="minorHAnsi" w:hAnsiTheme="minorHAnsi" w:cstheme="minorHAnsi"/>
          <w:szCs w:val="22"/>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 xml:space="preserve">Lors du conseil d’administration du 23 janvier 2017, un nouveau membre du conseil d’administration, Madame Joy Amundson, a été cooptée en remplacement de la société Amundson Partners Ltd. représentée par Madame Joy Amundson, démissionnaire.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Lors de l’assemblée générale du 23 juin 2017, Madame Corinna zur Bonsen-Thomas a été nommée administrateur jusqu’à l’issue de l’assemblée générale appelée à statuer sur les comptes de l’exercice clos le 31 décembre 2020. La cooptation de Madame Joy Amundson, en remplacement de la société Amundson Partners Ltd., démissionnaire, jusqu’à l’issue de l’assemblée générale appelée à statuer sur les comptes de l’exercice clos le 31 décembre 2017, a été ratifiée.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Lors de la réunion du conseil d’administration du 13 juillet 2017, le conseil a pris acte de la démission de Monsieur Jean-Paul Prieels de ses fonctions d’administrateur de la Société. Le conseil du 13 juillet 2017 a également renouvelé le mandat de Président du conseil d’administration de Monsieur Philippe Pouletty pour la durée de son mandat d’administrateur.</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Lors de la réunion du conseil d’administration du 22 janvier 2018, le conseil a pris acte de la démission de Monsieur Christian Pierret de ses fonctions d’administrateur de la Société. Le conseil a coopté en qualité de nouvel administrateur Madame Carol L. Brosgart, en remplacement de Christian Pierret, pour la durée de son mandat restant à courir, soit jusqu’à l’issue de l’Assemblée générale qui sera appelée à statuer sur les comptes de l’exercice clos le 31 décembre 2017.</w:t>
      </w:r>
      <w:r w:rsidRPr="00C73365">
        <w:rPr>
          <w:rFonts w:asciiTheme="minorHAnsi" w:hAnsiTheme="minorHAnsi" w:cstheme="minorHAnsi"/>
          <w:sz w:val="21"/>
          <w:szCs w:val="21"/>
          <w:lang w:val="fr-FR"/>
        </w:rPr>
        <w:t xml:space="preserve"> </w:t>
      </w:r>
      <w:r w:rsidRPr="00C73365">
        <w:rPr>
          <w:rFonts w:asciiTheme="minorHAnsi" w:hAnsiTheme="minorHAnsi" w:cstheme="minorHAnsi"/>
          <w:lang w:val="fr-FR"/>
        </w:rPr>
        <w:t xml:space="preserve">Par ailleurs, le conseil du 22 janvier 2018 a pris acte du changement de représentant permanent de Truffle Capital, Monsieur Antoine Pau étant remplacé par Monsieur Christian Pierret.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durée des fonctions des administrateurs est de quatre années et expire à l’issue de la réunion de l’Assemblée générale ordinaire des actionnaires ayant statué sur les comptes de l’exercice écoulé et tenue dans l’année au cours de laquelle expire le mandat dudit administrateur. Les administrateurs son rééligibles. Ils peuvent être révoqués à tout moment.</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mandats de certains administrateurs arrivent à expiration à l’issue de l’assemblée générale </w:t>
      </w:r>
      <w:r w:rsidRPr="00C73365">
        <w:rPr>
          <w:rFonts w:asciiTheme="minorHAnsi" w:hAnsiTheme="minorHAnsi" w:cstheme="minorHAnsi"/>
          <w:szCs w:val="22"/>
          <w:lang w:val="fr-FR"/>
        </w:rPr>
        <w:t>devant statuer sur les comptes de l’exercice clos le 31 décembre 2017.</w:t>
      </w:r>
      <w:r w:rsidRPr="00C73365">
        <w:rPr>
          <w:rFonts w:asciiTheme="minorHAnsi" w:hAnsiTheme="minorHAnsi" w:cstheme="minorHAnsi"/>
          <w:lang w:val="fr-FR"/>
        </w:rPr>
        <w:t xml:space="preserve"> Il sera proposé aux actionnaires de les renouveler.</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A la date du présent document de référence, le conseil d’administration compte 9 membres dont 4 femmes. La Société veille particulièrement à l’application du principe de représentation équilibrée des femmes et des hommes au sein du conseil d’administration. Notamment, le conseil d’administration du 13 juillet 2017, lors de sa prise d’acte de la démission de Monsieur Jean-Paul Prieels, s’est engagé à proposer la nomination d’une nouvelle administratrice afin de se conformer aux dispositions de l’article L.225-18-1 du Code de commerce. Lors de sa séance du 22 janvier 2018, le conseil d’administration a coopté Madame Carol L. Brosgart en qualité d’administrateur.</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adresses professionnelles des administrateurs sont les suivantes :</w:t>
      </w:r>
    </w:p>
    <w:p w:rsidR="00B740A8" w:rsidRPr="00C93577" w:rsidRDefault="00B740A8" w:rsidP="004572A0">
      <w:pPr>
        <w:pStyle w:val="ListBullet2"/>
        <w:numPr>
          <w:ilvl w:val="0"/>
          <w:numId w:val="47"/>
        </w:numPr>
        <w:rPr>
          <w:rFonts w:asciiTheme="minorHAnsi" w:hAnsiTheme="minorHAnsi" w:cstheme="minorHAnsi"/>
          <w:lang w:val="fr-FR"/>
        </w:rPr>
      </w:pPr>
      <w:r w:rsidRPr="00C93577">
        <w:rPr>
          <w:rFonts w:asciiTheme="minorHAnsi" w:hAnsiTheme="minorHAnsi" w:cstheme="minorHAnsi"/>
          <w:lang w:val="fr-FR"/>
        </w:rPr>
        <w:t>Messieurs Philippe Pouletty, Christian Pierret (Truffle Capital) : 5, rue de la Baume – 75008 Paris ;</w:t>
      </w:r>
    </w:p>
    <w:p w:rsidR="00B740A8" w:rsidRPr="00C73365" w:rsidRDefault="00B740A8" w:rsidP="004572A0">
      <w:pPr>
        <w:pStyle w:val="ListBullet2"/>
        <w:numPr>
          <w:ilvl w:val="0"/>
          <w:numId w:val="47"/>
        </w:numPr>
        <w:rPr>
          <w:rFonts w:asciiTheme="minorHAnsi" w:hAnsiTheme="minorHAnsi" w:cstheme="minorHAnsi"/>
          <w:lang w:val="fr-FR"/>
        </w:rPr>
      </w:pPr>
      <w:r w:rsidRPr="00C73365">
        <w:rPr>
          <w:rFonts w:asciiTheme="minorHAnsi" w:hAnsiTheme="minorHAnsi" w:cstheme="minorHAnsi"/>
        </w:rPr>
        <w:t xml:space="preserve">Madame Joy Amundson: 1744 Gulf Shore Blvd. </w:t>
      </w:r>
      <w:r w:rsidRPr="00C73365">
        <w:rPr>
          <w:rFonts w:asciiTheme="minorHAnsi" w:hAnsiTheme="minorHAnsi" w:cstheme="minorHAnsi"/>
          <w:lang w:val="fr-FR"/>
        </w:rPr>
        <w:t>North. Naples FL. 34102, Etats-Unis ;</w:t>
      </w:r>
    </w:p>
    <w:p w:rsidR="00B740A8" w:rsidRPr="00C93577" w:rsidRDefault="00B740A8" w:rsidP="004572A0">
      <w:pPr>
        <w:pStyle w:val="ListBullet2"/>
        <w:numPr>
          <w:ilvl w:val="0"/>
          <w:numId w:val="47"/>
        </w:numPr>
        <w:rPr>
          <w:rFonts w:asciiTheme="minorHAnsi" w:hAnsiTheme="minorHAnsi" w:cstheme="minorHAnsi"/>
          <w:lang w:val="fr-FR"/>
        </w:rPr>
      </w:pPr>
      <w:r w:rsidRPr="00C93577">
        <w:rPr>
          <w:rFonts w:asciiTheme="minorHAnsi" w:hAnsiTheme="minorHAnsi" w:cstheme="minorHAnsi"/>
          <w:lang w:val="fr-FR"/>
        </w:rPr>
        <w:t>Monsieur Claude Bertrand : Servier, 50 rue Carnot - 92284 Suresnes Cedex ;</w:t>
      </w:r>
    </w:p>
    <w:p w:rsidR="00B740A8" w:rsidRPr="00C93577" w:rsidRDefault="00B740A8" w:rsidP="004572A0">
      <w:pPr>
        <w:pStyle w:val="ListBullet2"/>
        <w:numPr>
          <w:ilvl w:val="0"/>
          <w:numId w:val="47"/>
        </w:numPr>
        <w:rPr>
          <w:rFonts w:asciiTheme="minorHAnsi" w:hAnsiTheme="minorHAnsi" w:cstheme="minorHAnsi"/>
          <w:lang w:val="fr-FR"/>
        </w:rPr>
      </w:pPr>
      <w:r w:rsidRPr="00C93577">
        <w:rPr>
          <w:rFonts w:asciiTheme="minorHAnsi" w:hAnsiTheme="minorHAnsi" w:cstheme="minorHAnsi"/>
          <w:lang w:val="fr-FR"/>
        </w:rPr>
        <w:t>Monsieur Jean-Jacques Bertrand : Pierre Fabre, 12 avenue Hoche, 75008 Paris ;</w:t>
      </w:r>
    </w:p>
    <w:p w:rsidR="00B740A8" w:rsidRPr="00C93577" w:rsidRDefault="00B740A8" w:rsidP="004572A0">
      <w:pPr>
        <w:pStyle w:val="ListBullet2"/>
        <w:numPr>
          <w:ilvl w:val="0"/>
          <w:numId w:val="47"/>
        </w:numPr>
        <w:rPr>
          <w:rFonts w:asciiTheme="minorHAnsi" w:hAnsiTheme="minorHAnsi" w:cstheme="minorHAnsi"/>
          <w:lang w:val="fr-FR"/>
        </w:rPr>
      </w:pPr>
      <w:r w:rsidRPr="00C93577">
        <w:rPr>
          <w:rFonts w:asciiTheme="minorHAnsi" w:hAnsiTheme="minorHAnsi" w:cstheme="minorHAnsi"/>
          <w:lang w:val="fr-FR"/>
        </w:rPr>
        <w:t>Monsieur Antonino Ligresti (Santé Holding SRL) : Viale Doria Andres 7 Cp 20124 Milan (Italie) ;</w:t>
      </w:r>
    </w:p>
    <w:p w:rsidR="00B740A8" w:rsidRPr="00C93577" w:rsidRDefault="00B740A8" w:rsidP="004572A0">
      <w:pPr>
        <w:pStyle w:val="ListBullet2"/>
        <w:numPr>
          <w:ilvl w:val="0"/>
          <w:numId w:val="47"/>
        </w:numPr>
        <w:rPr>
          <w:rFonts w:asciiTheme="minorHAnsi" w:hAnsiTheme="minorHAnsi" w:cstheme="minorHAnsi"/>
          <w:lang w:val="fr-FR"/>
        </w:rPr>
      </w:pPr>
      <w:r w:rsidRPr="00C93577">
        <w:rPr>
          <w:rFonts w:asciiTheme="minorHAnsi" w:hAnsiTheme="minorHAnsi" w:cstheme="minorHAnsi"/>
          <w:lang w:val="fr-FR"/>
        </w:rPr>
        <w:t>Madame Dominique Costantini : 286 boulevard Raspail, 75014 Paris ;</w:t>
      </w:r>
    </w:p>
    <w:p w:rsidR="00B740A8" w:rsidRPr="00C73365" w:rsidRDefault="00B740A8" w:rsidP="004572A0">
      <w:pPr>
        <w:pStyle w:val="ListBullet2"/>
        <w:numPr>
          <w:ilvl w:val="0"/>
          <w:numId w:val="47"/>
        </w:numPr>
        <w:rPr>
          <w:rFonts w:asciiTheme="minorHAnsi" w:hAnsiTheme="minorHAnsi" w:cstheme="minorHAnsi"/>
        </w:rPr>
      </w:pPr>
      <w:r w:rsidRPr="00C73365">
        <w:rPr>
          <w:rFonts w:asciiTheme="minorHAnsi" w:hAnsiTheme="minorHAnsi" w:cstheme="minorHAnsi"/>
        </w:rPr>
        <w:t xml:space="preserve">Madame Corinna zur Bonsen-Thomas : Clemensstr. 34, 80803 Muenchen, Allemagne ; et </w:t>
      </w:r>
    </w:p>
    <w:p w:rsidR="00B740A8" w:rsidRPr="00C73365" w:rsidRDefault="00B740A8" w:rsidP="004572A0">
      <w:pPr>
        <w:pStyle w:val="ListBullet2"/>
        <w:numPr>
          <w:ilvl w:val="0"/>
          <w:numId w:val="47"/>
        </w:numPr>
        <w:rPr>
          <w:rFonts w:asciiTheme="minorHAnsi" w:hAnsiTheme="minorHAnsi" w:cstheme="minorHAnsi"/>
        </w:rPr>
      </w:pPr>
      <w:r w:rsidRPr="00C73365">
        <w:rPr>
          <w:rFonts w:asciiTheme="minorHAnsi" w:hAnsiTheme="minorHAnsi" w:cstheme="minorHAnsi"/>
        </w:rPr>
        <w:t>Madame Carol L. Brosgart : 3133 Lewiston Avenue, Berkeley, California, USA, 94705.</w:t>
      </w:r>
    </w:p>
    <w:p w:rsidR="00B740A8" w:rsidRPr="00C73365" w:rsidRDefault="00B740A8" w:rsidP="00B740A8">
      <w:pPr>
        <w:tabs>
          <w:tab w:val="left" w:pos="600"/>
          <w:tab w:val="left" w:pos="993"/>
        </w:tabs>
        <w:spacing w:line="264" w:lineRule="auto"/>
        <w:rPr>
          <w:rFonts w:asciiTheme="minorHAnsi" w:hAnsiTheme="minorHAnsi" w:cstheme="minorHAnsi"/>
          <w:szCs w:val="22"/>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L’expertise et l’expérience en matière de gestion de ces personnes résultent de différentes fonctions salariées et de direction qu’elles ont précédemment exercées (se reporter au paragraphe 14.1.5 « Biographies des administrateurs et du directeur général »).</w:t>
      </w:r>
    </w:p>
    <w:p w:rsidR="00B740A8" w:rsidRPr="00C73365" w:rsidRDefault="00B740A8" w:rsidP="00B740A8">
      <w:pPr>
        <w:pStyle w:val="ConmainL3"/>
        <w:keepLines/>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Directeur général</w:t>
      </w:r>
    </w:p>
    <w:p w:rsidR="00B740A8" w:rsidRPr="00C73365" w:rsidRDefault="00B740A8" w:rsidP="00B740A8">
      <w:pPr>
        <w:pStyle w:val="ConmainL3"/>
        <w:keepLines/>
        <w:tabs>
          <w:tab w:val="clear" w:pos="360"/>
        </w:tabs>
        <w:spacing w:after="0"/>
        <w:outlineLvl w:val="9"/>
        <w:rPr>
          <w:rFonts w:asciiTheme="minorHAnsi" w:hAnsiTheme="minorHAnsi" w:cstheme="minorHAnsi"/>
          <w:b/>
          <w:color w:val="7030A0"/>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Monsieur Hartmut Ehrlich a été nommé directeur général de la Société par le conseil d’administration en date du 4 décembre 2013. Son mandat a été renouvelé le 13 juillet 2017 jusqu’à l’issue de l’assemblée générale devant statuer sur les comptes de l’exercice clos le 31 décembre 2020. Il n’est titulaire d’aucun autre mandat dans aucune autre société.</w:t>
      </w:r>
    </w:p>
    <w:p w:rsidR="00B740A8" w:rsidRPr="00C73365" w:rsidRDefault="00B740A8" w:rsidP="00B740A8">
      <w:pPr>
        <w:pStyle w:val="ConmainL3"/>
        <w:keepLines/>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Déclaration concernant les membres du conseil d’administration et le directeur général</w:t>
      </w:r>
    </w:p>
    <w:p w:rsidR="00B740A8" w:rsidRPr="00C73365" w:rsidRDefault="00B740A8" w:rsidP="00B740A8">
      <w:pPr>
        <w:tabs>
          <w:tab w:val="left" w:pos="600"/>
          <w:tab w:val="left" w:pos="993"/>
        </w:tabs>
        <w:spacing w:line="264" w:lineRule="auto"/>
        <w:rPr>
          <w:rFonts w:asciiTheme="minorHAnsi" w:hAnsiTheme="minorHAnsi" w:cstheme="minorHAnsi"/>
          <w:szCs w:val="20"/>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Il n’existe aucun lien familial entre les personnes listées ci-dessus.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A la connaissance de la Société et au jour de l’enregistrement du document de référence, aucune de ces personnes, au cours des 5 dernières années :</w:t>
      </w:r>
    </w:p>
    <w:p w:rsidR="00B740A8" w:rsidRPr="00C73365" w:rsidRDefault="00B740A8" w:rsidP="00B740A8">
      <w:pPr>
        <w:pStyle w:val="ListParagraph"/>
        <w:numPr>
          <w:ilvl w:val="0"/>
          <w:numId w:val="48"/>
        </w:numPr>
        <w:spacing w:after="0"/>
        <w:rPr>
          <w:rFonts w:asciiTheme="minorHAnsi" w:hAnsiTheme="minorHAnsi" w:cstheme="minorHAnsi"/>
          <w:szCs w:val="22"/>
          <w:lang w:val="fr-FR"/>
        </w:rPr>
      </w:pPr>
      <w:r w:rsidRPr="00C73365">
        <w:rPr>
          <w:rFonts w:asciiTheme="minorHAnsi" w:hAnsiTheme="minorHAnsi" w:cstheme="minorHAnsi"/>
          <w:szCs w:val="22"/>
          <w:lang w:val="fr-FR"/>
        </w:rPr>
        <w:t>n’a fait l’objet de condamnation pour fraude ;</w:t>
      </w:r>
    </w:p>
    <w:p w:rsidR="00B740A8" w:rsidRPr="00C73365" w:rsidRDefault="00B740A8" w:rsidP="00B740A8">
      <w:pPr>
        <w:pStyle w:val="ListParagraph"/>
        <w:numPr>
          <w:ilvl w:val="0"/>
          <w:numId w:val="48"/>
        </w:numPr>
        <w:spacing w:after="0"/>
        <w:rPr>
          <w:rFonts w:asciiTheme="minorHAnsi" w:hAnsiTheme="minorHAnsi" w:cstheme="minorHAnsi"/>
          <w:szCs w:val="22"/>
          <w:lang w:val="fr-FR"/>
        </w:rPr>
      </w:pPr>
      <w:r w:rsidRPr="00C73365">
        <w:rPr>
          <w:rFonts w:asciiTheme="minorHAnsi" w:hAnsiTheme="minorHAnsi" w:cstheme="minorHAnsi"/>
          <w:szCs w:val="22"/>
          <w:lang w:val="fr-FR"/>
        </w:rPr>
        <w:t>n’a été associée en sa qualité de dirigeant ou administrateur à une faillite, mise sous séquestre ou liquidation ;</w:t>
      </w:r>
    </w:p>
    <w:p w:rsidR="00B740A8" w:rsidRPr="00C73365" w:rsidRDefault="00B740A8" w:rsidP="00B740A8">
      <w:pPr>
        <w:pStyle w:val="ListParagraph"/>
        <w:numPr>
          <w:ilvl w:val="0"/>
          <w:numId w:val="48"/>
        </w:numPr>
        <w:spacing w:after="0"/>
        <w:rPr>
          <w:rFonts w:asciiTheme="minorHAnsi" w:hAnsiTheme="minorHAnsi" w:cstheme="minorHAnsi"/>
          <w:szCs w:val="22"/>
          <w:lang w:val="fr-FR"/>
        </w:rPr>
      </w:pPr>
      <w:r w:rsidRPr="00C73365">
        <w:rPr>
          <w:rFonts w:asciiTheme="minorHAnsi" w:hAnsiTheme="minorHAnsi" w:cstheme="minorHAnsi"/>
          <w:szCs w:val="22"/>
          <w:lang w:val="fr-FR"/>
        </w:rPr>
        <w:t>n’a fait l’objet d’une interdiction de gérer ; et</w:t>
      </w:r>
    </w:p>
    <w:p w:rsidR="00B740A8" w:rsidRPr="00C73365" w:rsidRDefault="00B740A8" w:rsidP="00B740A8">
      <w:pPr>
        <w:pStyle w:val="ListParagraph"/>
        <w:numPr>
          <w:ilvl w:val="0"/>
          <w:numId w:val="48"/>
        </w:numPr>
        <w:spacing w:after="0"/>
        <w:rPr>
          <w:rFonts w:asciiTheme="minorHAnsi" w:hAnsiTheme="minorHAnsi" w:cstheme="minorHAnsi"/>
          <w:lang w:val="fr-FR"/>
        </w:rPr>
      </w:pPr>
      <w:r w:rsidRPr="00C73365">
        <w:rPr>
          <w:rFonts w:asciiTheme="minorHAnsi" w:hAnsiTheme="minorHAnsi" w:cstheme="minorHAnsi"/>
          <w:szCs w:val="22"/>
          <w:lang w:val="fr-FR"/>
        </w:rPr>
        <w:t>n’a fait l’objet d’incriminations ou de sanctions publiques officielles prononcées par des autorités statutaires ou réglementaires.</w:t>
      </w:r>
    </w:p>
    <w:p w:rsidR="00B740A8" w:rsidRPr="00C73365" w:rsidRDefault="00B740A8" w:rsidP="004572A0">
      <w:pPr>
        <w:pStyle w:val="BodyTextFirstIndent2"/>
        <w:rPr>
          <w:rFonts w:asciiTheme="minorHAnsi" w:hAnsiTheme="minorHAnsi" w:cstheme="minorHAnsi"/>
          <w:lang w:val="fr-FR"/>
        </w:rPr>
        <w:sectPr w:rsidR="00B740A8" w:rsidRPr="00C73365" w:rsidSect="006A05A6">
          <w:footerReference w:type="default" r:id="rId77"/>
          <w:pgSz w:w="11907" w:h="16840" w:code="9"/>
          <w:pgMar w:top="1134" w:right="1134" w:bottom="1134" w:left="1134" w:header="709" w:footer="709" w:gutter="0"/>
          <w:cols w:space="708"/>
          <w:docGrid w:linePitch="360"/>
        </w:sectPr>
      </w:pPr>
    </w:p>
    <w:p w:rsidR="00B740A8" w:rsidRPr="00C73365" w:rsidRDefault="00B740A8" w:rsidP="00B740A8">
      <w:pPr>
        <w:pStyle w:val="ConmainL3"/>
        <w:keepLines/>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Autres mandats sociaux en cours et fonctions exercés</w:t>
      </w:r>
    </w:p>
    <w:p w:rsidR="00B740A8" w:rsidRPr="00C73365" w:rsidRDefault="00B740A8" w:rsidP="00B740A8">
      <w:pPr>
        <w:pStyle w:val="ConmainL3"/>
        <w:keepLines/>
        <w:tabs>
          <w:tab w:val="clear" w:pos="360"/>
        </w:tabs>
        <w:spacing w:after="0"/>
        <w:outlineLvl w:val="9"/>
        <w:rPr>
          <w:rFonts w:asciiTheme="minorHAnsi" w:hAnsiTheme="minorHAnsi" w:cstheme="minorHAnsi"/>
          <w:b/>
          <w:color w:val="7030A0"/>
          <w:lang w:val="fr-FR"/>
        </w:rPr>
      </w:pPr>
    </w:p>
    <w:p w:rsidR="00B740A8" w:rsidRPr="00C73365" w:rsidRDefault="00B740A8" w:rsidP="00B740A8">
      <w:pPr>
        <w:pStyle w:val="ConmainL3"/>
        <w:keepLines/>
        <w:tabs>
          <w:tab w:val="clear" w:pos="360"/>
        </w:tabs>
        <w:spacing w:after="0"/>
        <w:ind w:left="0" w:firstLine="0"/>
        <w:outlineLvl w:val="9"/>
        <w:rPr>
          <w:rFonts w:asciiTheme="minorHAnsi" w:hAnsiTheme="minorHAnsi" w:cstheme="minorHAnsi"/>
          <w:lang w:val="fr-FR"/>
        </w:rPr>
      </w:pPr>
      <w:r w:rsidRPr="00C73365">
        <w:rPr>
          <w:rFonts w:asciiTheme="minorHAnsi" w:hAnsiTheme="minorHAnsi" w:cstheme="minorHAnsi"/>
          <w:lang w:val="fr-FR"/>
        </w:rPr>
        <w:t>A la date du présent document de référence, les autres mandats en cours et fonctions exercés par les administrateurs sont :</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Autres mandats en cours des administrateurs</w:t>
      </w:r>
    </w:p>
    <w:tbl>
      <w:tblPr>
        <w:tblW w:w="9851" w:type="dxa"/>
        <w:tblCellMar>
          <w:left w:w="70" w:type="dxa"/>
          <w:right w:w="70" w:type="dxa"/>
        </w:tblCellMar>
        <w:tblLook w:val="04A0" w:firstRow="1" w:lastRow="0" w:firstColumn="1" w:lastColumn="0" w:noHBand="0" w:noVBand="1"/>
      </w:tblPr>
      <w:tblGrid>
        <w:gridCol w:w="1129"/>
        <w:gridCol w:w="73"/>
        <w:gridCol w:w="69"/>
        <w:gridCol w:w="372"/>
        <w:gridCol w:w="4657"/>
        <w:gridCol w:w="983"/>
        <w:gridCol w:w="14"/>
        <w:gridCol w:w="163"/>
        <w:gridCol w:w="2280"/>
        <w:gridCol w:w="111"/>
      </w:tblGrid>
      <w:tr w:rsidR="00B740A8" w:rsidRPr="00C73365" w:rsidTr="00D1541A">
        <w:trPr>
          <w:trHeight w:val="439"/>
        </w:trPr>
        <w:tc>
          <w:tcPr>
            <w:tcW w:w="1202" w:type="dxa"/>
            <w:gridSpan w:val="2"/>
            <w:tcBorders>
              <w:top w:val="single" w:sz="4" w:space="0" w:color="7030A0"/>
              <w:bottom w:val="single" w:sz="4" w:space="0" w:color="7030A0"/>
            </w:tcBorders>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Nom</w:t>
            </w:r>
          </w:p>
        </w:tc>
        <w:tc>
          <w:tcPr>
            <w:tcW w:w="441" w:type="dxa"/>
            <w:gridSpan w:val="2"/>
            <w:shd w:val="clear" w:color="auto" w:fill="auto"/>
            <w:vAlign w:val="center"/>
          </w:tcPr>
          <w:p w:rsidR="00B740A8" w:rsidRPr="00C73365" w:rsidRDefault="00B740A8" w:rsidP="00D1541A">
            <w:pPr>
              <w:rPr>
                <w:rFonts w:asciiTheme="minorHAnsi" w:hAnsiTheme="minorHAnsi" w:cstheme="minorHAnsi"/>
                <w:b/>
                <w:bCs/>
                <w:color w:val="000000"/>
                <w:szCs w:val="20"/>
                <w:lang w:val="fr-FR" w:eastAsia="fr-FR"/>
              </w:rPr>
            </w:pPr>
          </w:p>
        </w:tc>
        <w:tc>
          <w:tcPr>
            <w:tcW w:w="5654" w:type="dxa"/>
            <w:gridSpan w:val="3"/>
            <w:tcBorders>
              <w:top w:val="single" w:sz="4" w:space="0" w:color="7030A0"/>
              <w:bottom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Nature du mandat</w:t>
            </w:r>
          </w:p>
        </w:tc>
        <w:tc>
          <w:tcPr>
            <w:tcW w:w="163" w:type="dxa"/>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p>
        </w:tc>
        <w:tc>
          <w:tcPr>
            <w:tcW w:w="2391" w:type="dxa"/>
            <w:gridSpan w:val="2"/>
            <w:tcBorders>
              <w:top w:val="single" w:sz="4" w:space="0" w:color="7030A0"/>
              <w:bottom w:val="single" w:sz="4" w:space="0" w:color="7030A0"/>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Société</w:t>
            </w:r>
          </w:p>
        </w:tc>
      </w:tr>
      <w:tr w:rsidR="00B740A8" w:rsidRPr="00C73365" w:rsidTr="00292868">
        <w:trPr>
          <w:trHeight w:val="264"/>
        </w:trPr>
        <w:tc>
          <w:tcPr>
            <w:tcW w:w="1202" w:type="dxa"/>
            <w:gridSpan w:val="2"/>
            <w:tcBorders>
              <w:top w:val="single" w:sz="4" w:space="0" w:color="7030A0"/>
            </w:tcBorders>
            <w:shd w:val="clear" w:color="auto" w:fill="auto"/>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Philippe Pouletty</w:t>
            </w:r>
          </w:p>
        </w:tc>
        <w:tc>
          <w:tcPr>
            <w:tcW w:w="441" w:type="dxa"/>
            <w:gridSpan w:val="2"/>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p>
        </w:tc>
        <w:tc>
          <w:tcPr>
            <w:tcW w:w="5654" w:type="dxa"/>
            <w:gridSpan w:val="3"/>
            <w:tcBorders>
              <w:top w:val="single" w:sz="4" w:space="0" w:color="7030A0"/>
            </w:tcBorders>
            <w:shd w:val="clear" w:color="auto" w:fill="auto"/>
            <w:vAlign w:val="center"/>
            <w:hideMark/>
          </w:tcPr>
          <w:p w:rsidR="00B740A8" w:rsidRPr="00C73365" w:rsidRDefault="00B740A8" w:rsidP="00DD6A0C">
            <w:pPr>
              <w:rPr>
                <w:rFonts w:asciiTheme="minorHAnsi" w:hAnsiTheme="minorHAnsi" w:cstheme="minorHAnsi"/>
                <w:szCs w:val="20"/>
                <w:lang w:val="fr-FR" w:eastAsia="fr-FR"/>
              </w:rPr>
            </w:pPr>
          </w:p>
        </w:tc>
        <w:tc>
          <w:tcPr>
            <w:tcW w:w="163" w:type="dxa"/>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c>
          <w:tcPr>
            <w:tcW w:w="2391" w:type="dxa"/>
            <w:gridSpan w:val="2"/>
            <w:tcBorders>
              <w:top w:val="single" w:sz="4" w:space="0" w:color="7030A0"/>
            </w:tcBorders>
            <w:shd w:val="clear" w:color="auto" w:fill="auto"/>
            <w:vAlign w:val="center"/>
            <w:hideMark/>
          </w:tcPr>
          <w:p w:rsidR="00B740A8" w:rsidRPr="00C73365" w:rsidRDefault="00B740A8" w:rsidP="00D1541A">
            <w:pPr>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SOCIETES FRANCAISES</w:t>
            </w:r>
          </w:p>
        </w:tc>
      </w:tr>
      <w:tr w:rsidR="00B740A8" w:rsidRPr="00C73365" w:rsidTr="00292868">
        <w:trPr>
          <w:trHeight w:val="264"/>
        </w:trPr>
        <w:tc>
          <w:tcPr>
            <w:tcW w:w="1202" w:type="dxa"/>
            <w:gridSpan w:val="2"/>
            <w:vMerge w:val="restart"/>
            <w:shd w:val="clear" w:color="auto" w:fill="auto"/>
            <w:noWrap/>
            <w:vAlign w:val="center"/>
            <w:hideMark/>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Mandats de direction:</w:t>
            </w:r>
          </w:p>
        </w:tc>
        <w:tc>
          <w:tcPr>
            <w:tcW w:w="163"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391" w:type="dxa"/>
            <w:gridSpan w:val="2"/>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trHeight w:val="264"/>
        </w:trPr>
        <w:tc>
          <w:tcPr>
            <w:tcW w:w="1202" w:type="dxa"/>
            <w:gridSpan w:val="2"/>
            <w:vMerge/>
            <w:vAlign w:val="center"/>
            <w:hideMark/>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p>
        </w:tc>
        <w:tc>
          <w:tcPr>
            <w:tcW w:w="5654" w:type="dxa"/>
            <w:gridSpan w:val="3"/>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Directeur général et administrateur</w:t>
            </w:r>
          </w:p>
        </w:tc>
        <w:tc>
          <w:tcPr>
            <w:tcW w:w="163" w:type="dxa"/>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Truffle Capital SAS</w:t>
            </w:r>
          </w:p>
          <w:p w:rsidR="00B740A8" w:rsidRPr="00C73365" w:rsidRDefault="00B740A8" w:rsidP="00D1541A">
            <w:pPr>
              <w:rPr>
                <w:rFonts w:asciiTheme="minorHAnsi" w:hAnsiTheme="minorHAnsi" w:cstheme="minorHAnsi"/>
                <w:b/>
                <w:bCs/>
                <w:color w:val="000000"/>
                <w:szCs w:val="20"/>
                <w:lang w:val="fr-FR" w:eastAsia="fr-FR"/>
              </w:rPr>
            </w:pPr>
          </w:p>
        </w:tc>
      </w:tr>
      <w:tr w:rsidR="00B740A8" w:rsidRPr="00C73365" w:rsidTr="00292868">
        <w:trPr>
          <w:trHeight w:val="264"/>
        </w:trPr>
        <w:tc>
          <w:tcPr>
            <w:tcW w:w="1202" w:type="dxa"/>
            <w:gridSpan w:val="2"/>
            <w:vMerge/>
            <w:vAlign w:val="center"/>
            <w:hideMark/>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p>
        </w:tc>
        <w:tc>
          <w:tcPr>
            <w:tcW w:w="5654" w:type="dxa"/>
            <w:gridSpan w:val="3"/>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Gérant</w:t>
            </w:r>
          </w:p>
        </w:tc>
        <w:tc>
          <w:tcPr>
            <w:tcW w:w="163" w:type="dxa"/>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Nakostech SARL</w:t>
            </w:r>
          </w:p>
        </w:tc>
      </w:tr>
      <w:tr w:rsidR="00B740A8" w:rsidRPr="00C73365" w:rsidTr="00292868">
        <w:trPr>
          <w:trHeight w:val="264"/>
        </w:trPr>
        <w:tc>
          <w:tcPr>
            <w:tcW w:w="1202" w:type="dxa"/>
            <w:gridSpan w:val="2"/>
            <w:vMerge/>
            <w:vAlign w:val="center"/>
            <w:hideMark/>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p>
        </w:tc>
        <w:tc>
          <w:tcPr>
            <w:tcW w:w="5654" w:type="dxa"/>
            <w:gridSpan w:val="3"/>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c>
          <w:tcPr>
            <w:tcW w:w="163" w:type="dxa"/>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2391" w:type="dxa"/>
            <w:gridSpan w:val="2"/>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trHeight w:val="264"/>
        </w:trPr>
        <w:tc>
          <w:tcPr>
            <w:tcW w:w="1202" w:type="dxa"/>
            <w:gridSpan w:val="2"/>
            <w:vMerge/>
            <w:vAlign w:val="center"/>
            <w:hideMark/>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Mandats d’administrateur:</w:t>
            </w:r>
          </w:p>
        </w:tc>
        <w:tc>
          <w:tcPr>
            <w:tcW w:w="163"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391" w:type="dxa"/>
            <w:gridSpan w:val="2"/>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trHeight w:val="264"/>
        </w:trPr>
        <w:tc>
          <w:tcPr>
            <w:tcW w:w="1202" w:type="dxa"/>
            <w:gridSpan w:val="2"/>
            <w:vMerge/>
            <w:vAlign w:val="center"/>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163" w:type="dxa"/>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p>
        </w:tc>
        <w:tc>
          <w:tcPr>
            <w:tcW w:w="2391" w:type="dxa"/>
            <w:gridSpan w:val="2"/>
            <w:shd w:val="clear" w:color="auto" w:fill="auto"/>
            <w:noWrap/>
            <w:vAlign w:val="center"/>
          </w:tcPr>
          <w:p w:rsidR="00B740A8" w:rsidRPr="00C73365" w:rsidRDefault="00B740A8" w:rsidP="00D1541A">
            <w:pPr>
              <w:rPr>
                <w:rFonts w:asciiTheme="minorHAnsi" w:hAnsiTheme="minorHAnsi" w:cstheme="minorHAnsi"/>
                <w:b/>
                <w:szCs w:val="20"/>
                <w:lang w:val="fr-FR" w:eastAsia="fr-FR"/>
              </w:rPr>
            </w:pPr>
            <w:r w:rsidRPr="00C73365">
              <w:rPr>
                <w:rFonts w:asciiTheme="minorHAnsi" w:hAnsiTheme="minorHAnsi" w:cstheme="minorHAnsi"/>
                <w:b/>
                <w:szCs w:val="20"/>
                <w:lang w:val="fr-FR" w:eastAsia="fr-FR"/>
              </w:rPr>
              <w:t>Deinove SA</w:t>
            </w:r>
          </w:p>
        </w:tc>
      </w:tr>
      <w:tr w:rsidR="00B740A8" w:rsidRPr="00C73365" w:rsidTr="00292868">
        <w:trPr>
          <w:trHeight w:val="507"/>
        </w:trPr>
        <w:tc>
          <w:tcPr>
            <w:tcW w:w="1202" w:type="dxa"/>
            <w:gridSpan w:val="2"/>
            <w:vMerge/>
            <w:vAlign w:val="center"/>
            <w:hideMark/>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3" w:type="dxa"/>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Carmat SA</w:t>
            </w:r>
          </w:p>
        </w:tc>
      </w:tr>
      <w:tr w:rsidR="00B740A8" w:rsidRPr="00C73365" w:rsidTr="00292868">
        <w:trPr>
          <w:trHeight w:val="507"/>
        </w:trPr>
        <w:tc>
          <w:tcPr>
            <w:tcW w:w="1202" w:type="dxa"/>
            <w:gridSpan w:val="2"/>
            <w:vMerge/>
            <w:vAlign w:val="center"/>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3" w:type="dxa"/>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Pharnext SAS</w:t>
            </w:r>
          </w:p>
          <w:p w:rsidR="00B740A8" w:rsidRPr="00C73365" w:rsidRDefault="00B740A8" w:rsidP="00D1541A">
            <w:pPr>
              <w:rPr>
                <w:rFonts w:asciiTheme="minorHAnsi" w:hAnsiTheme="minorHAnsi" w:cstheme="minorHAnsi"/>
                <w:b/>
                <w:bCs/>
                <w:color w:val="000000"/>
                <w:szCs w:val="20"/>
                <w:lang w:val="fr-FR" w:eastAsia="fr-FR"/>
              </w:rPr>
            </w:pPr>
          </w:p>
        </w:tc>
      </w:tr>
      <w:tr w:rsidR="00B740A8" w:rsidRPr="00C73365" w:rsidTr="00292868">
        <w:trPr>
          <w:trHeight w:val="507"/>
        </w:trPr>
        <w:tc>
          <w:tcPr>
            <w:tcW w:w="1202" w:type="dxa"/>
            <w:gridSpan w:val="2"/>
            <w:vMerge/>
            <w:vAlign w:val="center"/>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3" w:type="dxa"/>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Kephalios</w:t>
            </w:r>
          </w:p>
        </w:tc>
      </w:tr>
      <w:tr w:rsidR="00B740A8" w:rsidRPr="00C73365" w:rsidTr="00292868">
        <w:trPr>
          <w:trHeight w:val="507"/>
        </w:trPr>
        <w:tc>
          <w:tcPr>
            <w:tcW w:w="1202" w:type="dxa"/>
            <w:gridSpan w:val="2"/>
            <w:vMerge/>
            <w:vAlign w:val="center"/>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3" w:type="dxa"/>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Epygon</w:t>
            </w:r>
          </w:p>
          <w:p w:rsidR="00B740A8" w:rsidRPr="00C73365" w:rsidRDefault="00B740A8" w:rsidP="00D1541A">
            <w:pPr>
              <w:rPr>
                <w:rFonts w:asciiTheme="minorHAnsi" w:hAnsiTheme="minorHAnsi" w:cstheme="minorHAnsi"/>
                <w:b/>
                <w:bCs/>
                <w:color w:val="000000"/>
                <w:szCs w:val="20"/>
                <w:lang w:val="fr-FR" w:eastAsia="fr-FR"/>
              </w:rPr>
            </w:pPr>
          </w:p>
        </w:tc>
      </w:tr>
      <w:tr w:rsidR="00B740A8" w:rsidRPr="00C73365" w:rsidTr="00292868">
        <w:trPr>
          <w:trHeight w:val="507"/>
        </w:trPr>
        <w:tc>
          <w:tcPr>
            <w:tcW w:w="1202" w:type="dxa"/>
            <w:gridSpan w:val="2"/>
            <w:vMerge/>
            <w:vAlign w:val="center"/>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3" w:type="dxa"/>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Myopowers</w:t>
            </w:r>
          </w:p>
        </w:tc>
      </w:tr>
      <w:tr w:rsidR="00B740A8" w:rsidRPr="00C73365" w:rsidTr="00292868">
        <w:trPr>
          <w:trHeight w:val="608"/>
        </w:trPr>
        <w:tc>
          <w:tcPr>
            <w:tcW w:w="1202" w:type="dxa"/>
            <w:gridSpan w:val="2"/>
            <w:vMerge/>
            <w:vAlign w:val="center"/>
          </w:tcPr>
          <w:p w:rsidR="00B740A8" w:rsidRPr="00C73365" w:rsidRDefault="00B740A8" w:rsidP="00292868">
            <w:pPr>
              <w:jc w:val="left"/>
              <w:rPr>
                <w:rFonts w:asciiTheme="minorHAnsi" w:hAnsiTheme="minorHAnsi" w:cstheme="minorHAnsi"/>
                <w:color w:val="7030A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5654" w:type="dxa"/>
            <w:gridSpan w:val="3"/>
            <w:shd w:val="clear" w:color="auto" w:fill="auto"/>
            <w:vAlign w:val="center"/>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3" w:type="dxa"/>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Kardiozis</w:t>
            </w:r>
          </w:p>
        </w:tc>
      </w:tr>
      <w:tr w:rsidR="00B740A8" w:rsidRPr="00C73365" w:rsidTr="00292868">
        <w:trPr>
          <w:trHeight w:val="60"/>
        </w:trPr>
        <w:tc>
          <w:tcPr>
            <w:tcW w:w="1271" w:type="dxa"/>
            <w:gridSpan w:val="3"/>
            <w:tcBorders>
              <w:bottom w:val="single" w:sz="4" w:space="0" w:color="7030A0"/>
            </w:tcBorders>
            <w:shd w:val="clear" w:color="auto" w:fill="auto"/>
            <w:noWrap/>
            <w:vAlign w:val="center"/>
            <w:hideMark/>
          </w:tcPr>
          <w:p w:rsidR="00B740A8" w:rsidRPr="00C73365" w:rsidRDefault="00B740A8" w:rsidP="00292868">
            <w:pPr>
              <w:pStyle w:val="ListParagraph"/>
              <w:ind w:left="198"/>
              <w:jc w:val="left"/>
              <w:rPr>
                <w:rFonts w:asciiTheme="minorHAnsi" w:hAnsiTheme="minorHAnsi" w:cstheme="minorHAnsi"/>
                <w:szCs w:val="20"/>
                <w:lang w:val="fr-FR" w:eastAsia="fr-FR"/>
              </w:rPr>
            </w:pPr>
            <w:r w:rsidRPr="00C73365">
              <w:rPr>
                <w:rFonts w:asciiTheme="minorHAnsi" w:hAnsiTheme="minorHAnsi" w:cstheme="minorHAnsi"/>
                <w:color w:val="000000"/>
                <w:szCs w:val="20"/>
                <w:lang w:val="fr-FR" w:eastAsia="fr-FR"/>
              </w:rPr>
              <w:t xml:space="preserve"> </w:t>
            </w:r>
          </w:p>
        </w:tc>
        <w:tc>
          <w:tcPr>
            <w:tcW w:w="372" w:type="dxa"/>
            <w:shd w:val="clear" w:color="auto" w:fill="auto"/>
            <w:noWrap/>
            <w:vAlign w:val="center"/>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5640" w:type="dxa"/>
            <w:gridSpan w:val="2"/>
            <w:tcBorders>
              <w:bottom w:val="single" w:sz="4" w:space="0" w:color="7030A0"/>
            </w:tcBorders>
            <w:shd w:val="clear" w:color="auto" w:fill="auto"/>
            <w:vAlign w:val="center"/>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177" w:type="dxa"/>
            <w:gridSpan w:val="2"/>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2391" w:type="dxa"/>
            <w:gridSpan w:val="2"/>
            <w:tcBorders>
              <w:bottom w:val="single" w:sz="4" w:space="0" w:color="7030A0"/>
            </w:tcBorders>
            <w:shd w:val="clear" w:color="auto" w:fill="auto"/>
            <w:noWrap/>
            <w:vAlign w:val="center"/>
          </w:tcPr>
          <w:p w:rsidR="00B740A8" w:rsidRPr="00C73365" w:rsidRDefault="00B740A8" w:rsidP="00D1541A">
            <w:pPr>
              <w:rPr>
                <w:rFonts w:asciiTheme="minorHAnsi" w:hAnsiTheme="minorHAnsi" w:cstheme="minorHAnsi"/>
                <w:color w:val="7030A0"/>
                <w:szCs w:val="20"/>
                <w:lang w:val="fr-FR" w:eastAsia="fr-FR"/>
              </w:rPr>
            </w:pPr>
          </w:p>
        </w:tc>
      </w:tr>
      <w:tr w:rsidR="00B740A8" w:rsidRPr="00C73365" w:rsidTr="00292868">
        <w:trPr>
          <w:trHeight w:val="251"/>
        </w:trPr>
        <w:tc>
          <w:tcPr>
            <w:tcW w:w="1271" w:type="dxa"/>
            <w:gridSpan w:val="3"/>
            <w:tcBorders>
              <w:top w:val="single" w:sz="4" w:space="0" w:color="7030A0"/>
              <w:bottom w:val="single" w:sz="4" w:space="0" w:color="7030A0"/>
            </w:tcBorders>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lastRenderedPageBreak/>
              <w:t xml:space="preserve">Madame Joy Amundson </w:t>
            </w:r>
          </w:p>
          <w:p w:rsidR="00B740A8" w:rsidRPr="00C73365" w:rsidRDefault="00B740A8" w:rsidP="00292868">
            <w:pPr>
              <w:jc w:val="left"/>
              <w:rPr>
                <w:rFonts w:asciiTheme="minorHAnsi" w:hAnsiTheme="minorHAnsi" w:cstheme="minorHAnsi"/>
                <w:color w:val="000000"/>
                <w:szCs w:val="20"/>
                <w:lang w:val="fr-FR" w:eastAsia="fr-FR"/>
              </w:rPr>
            </w:pPr>
          </w:p>
        </w:tc>
        <w:tc>
          <w:tcPr>
            <w:tcW w:w="372" w:type="dxa"/>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5640" w:type="dxa"/>
            <w:gridSpan w:val="2"/>
            <w:tcBorders>
              <w:top w:val="single" w:sz="4" w:space="0" w:color="7030A0"/>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77" w:type="dxa"/>
            <w:gridSpan w:val="2"/>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tcBorders>
              <w:top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292868">
        <w:trPr>
          <w:gridAfter w:val="1"/>
          <w:wAfter w:w="111" w:type="dxa"/>
          <w:trHeight w:val="203"/>
        </w:trPr>
        <w:tc>
          <w:tcPr>
            <w:tcW w:w="1271" w:type="dxa"/>
            <w:gridSpan w:val="3"/>
            <w:vMerge w:val="restart"/>
            <w:tcBorders>
              <w:top w:val="single" w:sz="4" w:space="0" w:color="7030A0"/>
            </w:tcBorders>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Claude Bertrand</w:t>
            </w:r>
          </w:p>
        </w:tc>
        <w:tc>
          <w:tcPr>
            <w:tcW w:w="372" w:type="dxa"/>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4657" w:type="dxa"/>
            <w:tcBorders>
              <w:top w:val="single" w:sz="4" w:space="0" w:color="7030A0"/>
            </w:tcBorders>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Mandats de direction:</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280" w:type="dxa"/>
            <w:tcBorders>
              <w:top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gridAfter w:val="1"/>
          <w:wAfter w:w="111" w:type="dxa"/>
          <w:trHeight w:val="251"/>
        </w:trPr>
        <w:tc>
          <w:tcPr>
            <w:tcW w:w="1271" w:type="dxa"/>
            <w:gridSpan w:val="3"/>
            <w:vMerge/>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372" w:type="dxa"/>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vAlign w:val="center"/>
          </w:tcPr>
          <w:p w:rsidR="00B740A8" w:rsidRPr="00C73365" w:rsidRDefault="00B740A8" w:rsidP="00D1541A">
            <w:pPr>
              <w:pStyle w:val="ListParagraph"/>
              <w:ind w:left="198"/>
              <w:rPr>
                <w:rFonts w:asciiTheme="minorHAnsi" w:hAnsiTheme="minorHAnsi" w:cstheme="minorHAnsi"/>
                <w:color w:val="000000"/>
                <w:szCs w:val="20"/>
                <w:highlight w:val="yellow"/>
                <w:lang w:val="fr-FR" w:eastAsia="fr-FR"/>
              </w:rPr>
            </w:pP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highlight w:val="yellow"/>
                <w:lang w:val="fr-FR" w:eastAsia="fr-FR"/>
              </w:rPr>
            </w:pPr>
          </w:p>
        </w:tc>
        <w:tc>
          <w:tcPr>
            <w:tcW w:w="2280" w:type="dxa"/>
            <w:shd w:val="clear" w:color="auto" w:fill="auto"/>
            <w:noWrap/>
            <w:vAlign w:val="center"/>
          </w:tcPr>
          <w:p w:rsidR="00B740A8" w:rsidRPr="00C73365" w:rsidRDefault="00B740A8" w:rsidP="00D1541A">
            <w:pPr>
              <w:rPr>
                <w:rFonts w:asciiTheme="minorHAnsi" w:hAnsiTheme="minorHAnsi" w:cstheme="minorHAnsi"/>
                <w:b/>
                <w:bCs/>
                <w:color w:val="000000"/>
                <w:szCs w:val="20"/>
                <w:highlight w:val="yellow"/>
                <w:lang w:val="fr-FR" w:eastAsia="fr-FR"/>
              </w:rPr>
            </w:pPr>
          </w:p>
        </w:tc>
      </w:tr>
      <w:tr w:rsidR="00B740A8" w:rsidRPr="008C1A4A" w:rsidTr="00292868">
        <w:trPr>
          <w:gridAfter w:val="1"/>
          <w:wAfter w:w="111" w:type="dxa"/>
          <w:trHeight w:val="755"/>
        </w:trPr>
        <w:tc>
          <w:tcPr>
            <w:tcW w:w="1271" w:type="dxa"/>
            <w:gridSpan w:val="3"/>
            <w:shd w:val="clear" w:color="auto" w:fill="auto"/>
            <w:noWrap/>
            <w:vAlign w:val="center"/>
            <w:hideMark/>
          </w:tcPr>
          <w:p w:rsidR="00B740A8" w:rsidRPr="00C73365" w:rsidRDefault="00B740A8" w:rsidP="00292868">
            <w:pPr>
              <w:jc w:val="left"/>
              <w:rPr>
                <w:rFonts w:asciiTheme="minorHAnsi" w:hAnsiTheme="minorHAnsi" w:cstheme="minorHAnsi"/>
                <w:b/>
                <w:bCs/>
                <w:color w:val="000000"/>
                <w:szCs w:val="20"/>
                <w:lang w:val="fr-FR" w:eastAsia="fr-FR"/>
              </w:rPr>
            </w:pPr>
          </w:p>
        </w:tc>
        <w:tc>
          <w:tcPr>
            <w:tcW w:w="372" w:type="dxa"/>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hideMark/>
          </w:tcPr>
          <w:p w:rsidR="00B740A8" w:rsidRPr="00C73365" w:rsidRDefault="00B740A8" w:rsidP="00292868">
            <w:pPr>
              <w:pStyle w:val="ListParagraph"/>
              <w:numPr>
                <w:ilvl w:val="0"/>
                <w:numId w:val="95"/>
              </w:numPr>
              <w:spacing w:after="0"/>
              <w:ind w:left="198" w:hanging="142"/>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w:t>
            </w:r>
          </w:p>
        </w:tc>
        <w:tc>
          <w:tcPr>
            <w:tcW w:w="1160" w:type="dxa"/>
            <w:gridSpan w:val="3"/>
            <w:shd w:val="clear" w:color="auto" w:fill="auto"/>
            <w:noWrap/>
            <w:hideMark/>
          </w:tcPr>
          <w:p w:rsidR="00B740A8" w:rsidRPr="00C73365" w:rsidRDefault="00B740A8" w:rsidP="00292868">
            <w:pPr>
              <w:jc w:val="left"/>
              <w:rPr>
                <w:rFonts w:asciiTheme="minorHAnsi" w:hAnsiTheme="minorHAnsi" w:cstheme="minorHAnsi"/>
                <w:color w:val="000000"/>
                <w:szCs w:val="20"/>
                <w:lang w:val="fr-FR" w:eastAsia="fr-FR"/>
              </w:rPr>
            </w:pPr>
          </w:p>
        </w:tc>
        <w:tc>
          <w:tcPr>
            <w:tcW w:w="2280" w:type="dxa"/>
            <w:shd w:val="clear" w:color="auto" w:fill="auto"/>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 xml:space="preserve">ARIIS </w:t>
            </w:r>
            <w:r w:rsidRPr="00C73365">
              <w:rPr>
                <w:rFonts w:asciiTheme="minorHAnsi" w:hAnsiTheme="minorHAnsi" w:cstheme="minorHAnsi"/>
                <w:color w:val="000000"/>
                <w:szCs w:val="20"/>
                <w:lang w:val="fr-FR" w:eastAsia="fr-FR"/>
              </w:rPr>
              <w:t>(Alliance pour la Recherche et l’Innovation des Industries de Santé) (association loi 1901)</w:t>
            </w:r>
          </w:p>
          <w:p w:rsidR="00B740A8" w:rsidRPr="00C73365" w:rsidRDefault="00B740A8" w:rsidP="00292868">
            <w:pPr>
              <w:jc w:val="left"/>
              <w:rPr>
                <w:rFonts w:asciiTheme="minorHAnsi" w:hAnsiTheme="minorHAnsi" w:cstheme="minorHAnsi"/>
                <w:b/>
                <w:bCs/>
                <w:color w:val="000000"/>
                <w:szCs w:val="20"/>
                <w:lang w:val="fr-FR" w:eastAsia="fr-FR"/>
              </w:rPr>
            </w:pPr>
          </w:p>
        </w:tc>
      </w:tr>
      <w:tr w:rsidR="00B740A8" w:rsidRPr="00C73365" w:rsidTr="00292868">
        <w:trPr>
          <w:gridAfter w:val="1"/>
          <w:wAfter w:w="111" w:type="dxa"/>
          <w:trHeight w:val="755"/>
        </w:trPr>
        <w:tc>
          <w:tcPr>
            <w:tcW w:w="1271" w:type="dxa"/>
            <w:gridSpan w:val="3"/>
            <w:shd w:val="clear" w:color="auto" w:fill="auto"/>
            <w:noWrap/>
            <w:vAlign w:val="center"/>
          </w:tcPr>
          <w:p w:rsidR="00B740A8" w:rsidRPr="00C73365" w:rsidRDefault="00B740A8" w:rsidP="00292868">
            <w:pPr>
              <w:jc w:val="left"/>
              <w:rPr>
                <w:rFonts w:asciiTheme="minorHAnsi" w:hAnsiTheme="minorHAnsi" w:cstheme="minorHAnsi"/>
                <w:b/>
                <w:bCs/>
                <w:color w:val="000000"/>
                <w:szCs w:val="20"/>
                <w:lang w:val="fr-FR" w:eastAsia="fr-FR"/>
              </w:rPr>
            </w:pPr>
          </w:p>
        </w:tc>
        <w:tc>
          <w:tcPr>
            <w:tcW w:w="372" w:type="dxa"/>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tcPr>
          <w:p w:rsidR="00B740A8" w:rsidRPr="00C73365" w:rsidRDefault="00B740A8" w:rsidP="00292868">
            <w:pPr>
              <w:pStyle w:val="ListParagraph"/>
              <w:numPr>
                <w:ilvl w:val="0"/>
                <w:numId w:val="95"/>
              </w:numPr>
              <w:spacing w:after="0"/>
              <w:ind w:left="198" w:hanging="142"/>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Directeur exécutif recherche et développement et directeur scientifique</w:t>
            </w:r>
          </w:p>
        </w:tc>
        <w:tc>
          <w:tcPr>
            <w:tcW w:w="1160" w:type="dxa"/>
            <w:gridSpan w:val="3"/>
            <w:shd w:val="clear" w:color="auto" w:fill="auto"/>
            <w:noWrap/>
          </w:tcPr>
          <w:p w:rsidR="00B740A8" w:rsidRPr="00C73365" w:rsidRDefault="00B740A8" w:rsidP="00292868">
            <w:pPr>
              <w:jc w:val="left"/>
              <w:rPr>
                <w:rFonts w:asciiTheme="minorHAnsi" w:hAnsiTheme="minorHAnsi" w:cstheme="minorHAnsi"/>
                <w:color w:val="000000"/>
                <w:szCs w:val="20"/>
                <w:lang w:val="fr-FR" w:eastAsia="fr-FR"/>
              </w:rPr>
            </w:pPr>
          </w:p>
        </w:tc>
        <w:tc>
          <w:tcPr>
            <w:tcW w:w="2280" w:type="dxa"/>
            <w:shd w:val="clear" w:color="auto" w:fill="auto"/>
          </w:tcPr>
          <w:p w:rsidR="00B740A8" w:rsidRPr="00C73365" w:rsidRDefault="00B740A8" w:rsidP="00292868">
            <w:pPr>
              <w:jc w:val="lef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Servier</w:t>
            </w:r>
          </w:p>
        </w:tc>
      </w:tr>
      <w:tr w:rsidR="00B740A8" w:rsidRPr="00C73365" w:rsidTr="00292868">
        <w:trPr>
          <w:gridAfter w:val="1"/>
          <w:wAfter w:w="111" w:type="dxa"/>
          <w:trHeight w:val="251"/>
        </w:trPr>
        <w:tc>
          <w:tcPr>
            <w:tcW w:w="1271" w:type="dxa"/>
            <w:gridSpan w:val="3"/>
            <w:shd w:val="clear" w:color="auto" w:fill="auto"/>
            <w:noWrap/>
            <w:vAlign w:val="center"/>
            <w:hideMark/>
          </w:tcPr>
          <w:p w:rsidR="00B740A8" w:rsidRPr="00C73365" w:rsidRDefault="00B740A8" w:rsidP="00292868">
            <w:pPr>
              <w:jc w:val="left"/>
              <w:rPr>
                <w:rFonts w:asciiTheme="minorHAnsi" w:hAnsiTheme="minorHAnsi" w:cstheme="minorHAnsi"/>
                <w:b/>
                <w:bCs/>
                <w:color w:val="000000"/>
                <w:szCs w:val="20"/>
                <w:lang w:val="fr-FR" w:eastAsia="fr-FR"/>
              </w:rPr>
            </w:pPr>
          </w:p>
        </w:tc>
        <w:tc>
          <w:tcPr>
            <w:tcW w:w="372" w:type="dxa"/>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szCs w:val="20"/>
                <w:highlight w:val="yellow"/>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szCs w:val="20"/>
                <w:highlight w:val="yellow"/>
                <w:lang w:val="fr-FR" w:eastAsia="fr-FR"/>
              </w:rPr>
            </w:pPr>
          </w:p>
        </w:tc>
      </w:tr>
      <w:tr w:rsidR="00B740A8" w:rsidRPr="00C73365" w:rsidTr="00292868">
        <w:trPr>
          <w:gridAfter w:val="1"/>
          <w:wAfter w:w="111" w:type="dxa"/>
          <w:trHeight w:val="251"/>
        </w:trPr>
        <w:tc>
          <w:tcPr>
            <w:tcW w:w="1271" w:type="dxa"/>
            <w:gridSpan w:val="3"/>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372" w:type="dxa"/>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Mandats </w:t>
            </w:r>
            <w:r w:rsidR="00292868" w:rsidRPr="00C73365">
              <w:rPr>
                <w:rFonts w:asciiTheme="minorHAnsi" w:hAnsiTheme="minorHAnsi" w:cstheme="minorHAnsi"/>
                <w:b/>
                <w:bCs/>
                <w:color w:val="000000"/>
                <w:szCs w:val="20"/>
                <w:lang w:val="fr-FR" w:eastAsia="fr-FR"/>
              </w:rPr>
              <w:t>d’administrateur :</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b/>
                <w:bCs/>
                <w:color w:val="000000"/>
                <w:szCs w:val="20"/>
                <w:highlight w:val="yellow"/>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szCs w:val="20"/>
                <w:highlight w:val="yellow"/>
                <w:lang w:val="fr-FR" w:eastAsia="fr-FR"/>
              </w:rPr>
            </w:pPr>
          </w:p>
        </w:tc>
      </w:tr>
      <w:tr w:rsidR="00B740A8" w:rsidRPr="00C73365" w:rsidTr="00292868">
        <w:trPr>
          <w:gridAfter w:val="1"/>
          <w:wAfter w:w="111" w:type="dxa"/>
          <w:trHeight w:val="251"/>
        </w:trPr>
        <w:tc>
          <w:tcPr>
            <w:tcW w:w="1271" w:type="dxa"/>
            <w:gridSpan w:val="3"/>
            <w:shd w:val="clear" w:color="auto" w:fill="auto"/>
            <w:noWrap/>
            <w:vAlign w:val="center"/>
          </w:tcPr>
          <w:p w:rsidR="00B740A8" w:rsidRPr="00C73365" w:rsidRDefault="00B740A8" w:rsidP="00292868">
            <w:pPr>
              <w:jc w:val="left"/>
              <w:rPr>
                <w:rFonts w:asciiTheme="minorHAnsi" w:hAnsiTheme="minorHAnsi" w:cstheme="minorHAnsi"/>
                <w:szCs w:val="20"/>
                <w:lang w:val="fr-FR" w:eastAsia="fr-FR"/>
              </w:rPr>
            </w:pPr>
          </w:p>
        </w:tc>
        <w:tc>
          <w:tcPr>
            <w:tcW w:w="372" w:type="dxa"/>
            <w:shd w:val="clear" w:color="auto" w:fill="auto"/>
            <w:noWrap/>
            <w:vAlign w:val="center"/>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vAlign w:val="center"/>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HCERES</w:t>
            </w:r>
          </w:p>
        </w:tc>
      </w:tr>
      <w:tr w:rsidR="00B740A8" w:rsidRPr="00C73365" w:rsidTr="00292868">
        <w:trPr>
          <w:gridAfter w:val="1"/>
          <w:wAfter w:w="111" w:type="dxa"/>
          <w:trHeight w:val="251"/>
        </w:trPr>
        <w:tc>
          <w:tcPr>
            <w:tcW w:w="1271" w:type="dxa"/>
            <w:gridSpan w:val="3"/>
            <w:tcBorders>
              <w:bottom w:val="single" w:sz="4" w:space="0" w:color="7030A0"/>
            </w:tcBorders>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372" w:type="dxa"/>
            <w:tcBorders>
              <w:bottom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4657" w:type="dxa"/>
            <w:tcBorders>
              <w:bottom w:val="single" w:sz="4" w:space="0" w:color="7030A0"/>
            </w:tcBorders>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tcBorders>
              <w:bottom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Eclosion 2</w:t>
            </w:r>
          </w:p>
        </w:tc>
      </w:tr>
      <w:tr w:rsidR="00B740A8" w:rsidRPr="00C73365" w:rsidTr="00292868">
        <w:trPr>
          <w:gridAfter w:val="1"/>
          <w:wAfter w:w="111" w:type="dxa"/>
          <w:trHeight w:val="251"/>
        </w:trPr>
        <w:tc>
          <w:tcPr>
            <w:tcW w:w="1643" w:type="dxa"/>
            <w:gridSpan w:val="4"/>
            <w:vMerge w:val="restart"/>
            <w:tcBorders>
              <w:top w:val="single" w:sz="4" w:space="0" w:color="7030A0"/>
            </w:tcBorders>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Monsieur </w:t>
            </w:r>
          </w:p>
          <w:p w:rsidR="00B740A8" w:rsidRPr="00C73365" w:rsidRDefault="00B740A8" w:rsidP="00292868">
            <w:pPr>
              <w:jc w:val="left"/>
              <w:rPr>
                <w:rFonts w:asciiTheme="minorHAnsi" w:hAnsiTheme="minorHAnsi" w:cstheme="minorHAnsi"/>
                <w:b/>
                <w:color w:val="000000"/>
                <w:szCs w:val="20"/>
                <w:lang w:val="fr-FR" w:eastAsia="fr-FR"/>
              </w:rPr>
            </w:pPr>
            <w:r w:rsidRPr="00C73365">
              <w:rPr>
                <w:rFonts w:asciiTheme="minorHAnsi" w:hAnsiTheme="minorHAnsi" w:cstheme="minorHAnsi"/>
                <w:color w:val="000000"/>
                <w:szCs w:val="20"/>
                <w:lang w:val="fr-FR" w:eastAsia="fr-FR"/>
              </w:rPr>
              <w:t>Jean-Jacques Bertrand</w:t>
            </w:r>
          </w:p>
        </w:tc>
        <w:tc>
          <w:tcPr>
            <w:tcW w:w="4657" w:type="dxa"/>
            <w:tcBorders>
              <w:top w:val="single" w:sz="4" w:space="0" w:color="7030A0"/>
            </w:tcBorders>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Mandats de </w:t>
            </w:r>
            <w:r w:rsidR="00292868" w:rsidRPr="00C73365">
              <w:rPr>
                <w:rFonts w:asciiTheme="minorHAnsi" w:hAnsiTheme="minorHAnsi" w:cstheme="minorHAnsi"/>
                <w:b/>
                <w:bCs/>
                <w:color w:val="000000"/>
                <w:szCs w:val="20"/>
                <w:lang w:val="fr-FR" w:eastAsia="fr-FR"/>
              </w:rPr>
              <w:t>direction :</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280" w:type="dxa"/>
            <w:tcBorders>
              <w:top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gridAfter w:val="1"/>
          <w:wAfter w:w="111" w:type="dxa"/>
          <w:trHeight w:val="251"/>
        </w:trPr>
        <w:tc>
          <w:tcPr>
            <w:tcW w:w="1643" w:type="dxa"/>
            <w:gridSpan w:val="4"/>
            <w:vMerge/>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d’administration</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Neovacs SA</w:t>
            </w:r>
          </w:p>
        </w:tc>
      </w:tr>
      <w:tr w:rsidR="00B740A8" w:rsidRPr="00C73365" w:rsidTr="00292868">
        <w:trPr>
          <w:gridAfter w:val="1"/>
          <w:wAfter w:w="111" w:type="dxa"/>
          <w:trHeight w:val="251"/>
        </w:trPr>
        <w:tc>
          <w:tcPr>
            <w:tcW w:w="1643" w:type="dxa"/>
            <w:gridSpan w:val="4"/>
            <w:vMerge/>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d’administration</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Pierre Fabre SA</w:t>
            </w:r>
          </w:p>
        </w:tc>
      </w:tr>
      <w:tr w:rsidR="00B740A8" w:rsidRPr="00C73365" w:rsidTr="00292868">
        <w:trPr>
          <w:gridAfter w:val="1"/>
          <w:wAfter w:w="111" w:type="dxa"/>
          <w:trHeight w:val="251"/>
        </w:trPr>
        <w:tc>
          <w:tcPr>
            <w:tcW w:w="1129" w:type="dxa"/>
            <w:shd w:val="clear" w:color="auto" w:fill="auto"/>
            <w:noWrap/>
            <w:vAlign w:val="center"/>
            <w:hideMark/>
          </w:tcPr>
          <w:p w:rsidR="00B740A8" w:rsidRPr="00C73365" w:rsidRDefault="00B740A8" w:rsidP="00292868">
            <w:pPr>
              <w:jc w:val="left"/>
              <w:rPr>
                <w:rFonts w:asciiTheme="minorHAnsi" w:hAnsiTheme="minorHAnsi" w:cstheme="minorHAnsi"/>
                <w:b/>
                <w:bCs/>
                <w:color w:val="000000"/>
                <w:szCs w:val="20"/>
                <w:lang w:val="fr-FR" w:eastAsia="fr-FR"/>
              </w:rPr>
            </w:pPr>
          </w:p>
        </w:tc>
        <w:tc>
          <w:tcPr>
            <w:tcW w:w="514" w:type="dxa"/>
            <w:gridSpan w:val="3"/>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conseil d’administration</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Viroxis SAS</w:t>
            </w:r>
          </w:p>
        </w:tc>
      </w:tr>
      <w:tr w:rsidR="00B740A8" w:rsidRPr="00C73365" w:rsidTr="00292868">
        <w:trPr>
          <w:gridAfter w:val="1"/>
          <w:wAfter w:w="111" w:type="dxa"/>
          <w:trHeight w:val="251"/>
        </w:trPr>
        <w:tc>
          <w:tcPr>
            <w:tcW w:w="1129" w:type="dxa"/>
            <w:shd w:val="clear" w:color="auto" w:fill="auto"/>
            <w:noWrap/>
            <w:vAlign w:val="center"/>
            <w:hideMark/>
          </w:tcPr>
          <w:p w:rsidR="00B740A8" w:rsidRPr="00C73365" w:rsidRDefault="00B740A8" w:rsidP="00292868">
            <w:pPr>
              <w:jc w:val="left"/>
              <w:rPr>
                <w:rFonts w:asciiTheme="minorHAnsi" w:hAnsiTheme="minorHAnsi" w:cstheme="minorHAnsi"/>
                <w:b/>
                <w:bCs/>
                <w:color w:val="000000"/>
                <w:szCs w:val="20"/>
                <w:lang w:val="fr-FR" w:eastAsia="fr-FR"/>
              </w:rPr>
            </w:pPr>
          </w:p>
        </w:tc>
        <w:tc>
          <w:tcPr>
            <w:tcW w:w="514" w:type="dxa"/>
            <w:gridSpan w:val="3"/>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Vice-Président</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Brive Rugby SAS</w:t>
            </w:r>
          </w:p>
        </w:tc>
      </w:tr>
      <w:tr w:rsidR="00B740A8" w:rsidRPr="00C73365" w:rsidTr="00292868">
        <w:trPr>
          <w:gridAfter w:val="1"/>
          <w:wAfter w:w="111" w:type="dxa"/>
          <w:trHeight w:val="251"/>
        </w:trPr>
        <w:tc>
          <w:tcPr>
            <w:tcW w:w="1129" w:type="dxa"/>
            <w:shd w:val="clear" w:color="auto" w:fill="auto"/>
            <w:noWrap/>
            <w:vAlign w:val="center"/>
            <w:hideMark/>
          </w:tcPr>
          <w:p w:rsidR="00B740A8" w:rsidRPr="00C73365" w:rsidRDefault="00B740A8" w:rsidP="00292868">
            <w:pPr>
              <w:jc w:val="left"/>
              <w:rPr>
                <w:rFonts w:asciiTheme="minorHAnsi" w:hAnsiTheme="minorHAnsi" w:cstheme="minorHAnsi"/>
                <w:b/>
                <w:bCs/>
                <w:color w:val="000000"/>
                <w:szCs w:val="20"/>
                <w:lang w:val="fr-FR" w:eastAsia="fr-FR"/>
              </w:rPr>
            </w:pPr>
          </w:p>
        </w:tc>
        <w:tc>
          <w:tcPr>
            <w:tcW w:w="514" w:type="dxa"/>
            <w:gridSpan w:val="3"/>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gridAfter w:val="1"/>
          <w:wAfter w:w="111" w:type="dxa"/>
          <w:trHeight w:val="251"/>
        </w:trPr>
        <w:tc>
          <w:tcPr>
            <w:tcW w:w="1129" w:type="dxa"/>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514" w:type="dxa"/>
            <w:gridSpan w:val="3"/>
            <w:shd w:val="clear" w:color="auto" w:fill="auto"/>
            <w:noWrap/>
            <w:vAlign w:val="center"/>
            <w:hideMark/>
          </w:tcPr>
          <w:p w:rsidR="00B740A8" w:rsidRPr="00C73365" w:rsidRDefault="00B740A8" w:rsidP="00292868">
            <w:pPr>
              <w:jc w:val="left"/>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Mandats </w:t>
            </w:r>
            <w:r w:rsidR="00292868" w:rsidRPr="00C73365">
              <w:rPr>
                <w:rFonts w:asciiTheme="minorHAnsi" w:hAnsiTheme="minorHAnsi" w:cstheme="minorHAnsi"/>
                <w:b/>
                <w:bCs/>
                <w:color w:val="000000"/>
                <w:szCs w:val="20"/>
                <w:lang w:val="fr-FR" w:eastAsia="fr-FR"/>
              </w:rPr>
              <w:t>d’administrateur :</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gridAfter w:val="1"/>
          <w:wAfter w:w="111" w:type="dxa"/>
          <w:trHeight w:val="251"/>
        </w:trPr>
        <w:tc>
          <w:tcPr>
            <w:tcW w:w="1129" w:type="dxa"/>
            <w:tcBorders>
              <w:bottom w:val="single" w:sz="4" w:space="0" w:color="7030A0"/>
            </w:tcBorders>
            <w:shd w:val="clear" w:color="auto" w:fill="auto"/>
            <w:noWrap/>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514" w:type="dxa"/>
            <w:gridSpan w:val="3"/>
            <w:tcBorders>
              <w:bottom w:val="single" w:sz="4" w:space="0" w:color="7030A0"/>
            </w:tcBorders>
            <w:shd w:val="clear" w:color="auto" w:fill="auto"/>
            <w:noWrap/>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657" w:type="dxa"/>
            <w:tcBorders>
              <w:bottom w:val="single" w:sz="4" w:space="0" w:color="7030A0"/>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Administrateur</w:t>
            </w: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280" w:type="dxa"/>
            <w:tcBorders>
              <w:bottom w:val="single" w:sz="4" w:space="0" w:color="7030A0"/>
            </w:tcBorders>
            <w:shd w:val="clear" w:color="auto" w:fill="auto"/>
            <w:noWrap/>
            <w:vAlign w:val="center"/>
          </w:tcPr>
          <w:p w:rsidR="00B740A8" w:rsidRPr="00C73365" w:rsidRDefault="00B740A8" w:rsidP="00D1541A">
            <w:pP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Pierre Fabre SA</w:t>
            </w:r>
          </w:p>
        </w:tc>
      </w:tr>
      <w:tr w:rsidR="00B740A8" w:rsidRPr="00C73365" w:rsidTr="00292868">
        <w:trPr>
          <w:gridAfter w:val="1"/>
          <w:wAfter w:w="111" w:type="dxa"/>
          <w:trHeight w:val="251"/>
        </w:trPr>
        <w:tc>
          <w:tcPr>
            <w:tcW w:w="1643" w:type="dxa"/>
            <w:gridSpan w:val="4"/>
            <w:vMerge w:val="restart"/>
            <w:tcBorders>
              <w:top w:val="single" w:sz="4" w:space="0" w:color="7030A0"/>
            </w:tcBorders>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Antonino Ligresti (représentant permanent de Santé Holding SRL)</w:t>
            </w:r>
          </w:p>
          <w:p w:rsidR="00B740A8" w:rsidRPr="00C73365" w:rsidRDefault="00B740A8" w:rsidP="00292868">
            <w:pPr>
              <w:jc w:val="left"/>
              <w:rPr>
                <w:rFonts w:asciiTheme="minorHAnsi" w:hAnsiTheme="minorHAnsi" w:cstheme="minorHAnsi"/>
                <w:color w:val="000000"/>
                <w:szCs w:val="20"/>
                <w:lang w:val="fr-FR" w:eastAsia="fr-FR"/>
              </w:rPr>
            </w:pPr>
          </w:p>
        </w:tc>
        <w:tc>
          <w:tcPr>
            <w:tcW w:w="4657" w:type="dxa"/>
            <w:tcBorders>
              <w:top w:val="single" w:sz="4" w:space="0" w:color="7030A0"/>
            </w:tcBorders>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Mandats de direction / </w:t>
            </w:r>
            <w:r w:rsidR="00292868" w:rsidRPr="00C73365">
              <w:rPr>
                <w:rFonts w:asciiTheme="minorHAnsi" w:hAnsiTheme="minorHAnsi" w:cstheme="minorHAnsi"/>
                <w:b/>
                <w:bCs/>
                <w:color w:val="000000"/>
                <w:szCs w:val="20"/>
                <w:lang w:val="fr-FR" w:eastAsia="fr-FR"/>
              </w:rPr>
              <w:t>d’administrateur :</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280" w:type="dxa"/>
            <w:tcBorders>
              <w:top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gridAfter w:val="1"/>
          <w:wAfter w:w="111" w:type="dxa"/>
          <w:trHeight w:val="458"/>
        </w:trPr>
        <w:tc>
          <w:tcPr>
            <w:tcW w:w="1643" w:type="dxa"/>
            <w:gridSpan w:val="4"/>
            <w:vMerge/>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val="fr-FR" w:eastAsia="fr-FR"/>
              </w:rPr>
            </w:pPr>
          </w:p>
        </w:tc>
        <w:tc>
          <w:tcPr>
            <w:tcW w:w="4657" w:type="dxa"/>
            <w:tcBorders>
              <w:bottom w:val="single" w:sz="4" w:space="0" w:color="7030A0"/>
            </w:tcBorders>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 unique</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tcBorders>
              <w:bottom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Santé Holding SRL</w:t>
            </w:r>
          </w:p>
        </w:tc>
      </w:tr>
      <w:tr w:rsidR="00B740A8" w:rsidRPr="00C73365" w:rsidTr="00292868">
        <w:trPr>
          <w:gridAfter w:val="1"/>
          <w:wAfter w:w="111" w:type="dxa"/>
          <w:trHeight w:val="264"/>
        </w:trPr>
        <w:tc>
          <w:tcPr>
            <w:tcW w:w="1202" w:type="dxa"/>
            <w:gridSpan w:val="2"/>
            <w:vMerge w:val="restart"/>
            <w:tcBorders>
              <w:top w:val="single" w:sz="4" w:space="0" w:color="7030A0"/>
            </w:tcBorders>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Monsieur Christian </w:t>
            </w:r>
          </w:p>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Pierret en tant que représentant de Truffle Capital </w:t>
            </w:r>
          </w:p>
        </w:tc>
        <w:tc>
          <w:tcPr>
            <w:tcW w:w="441" w:type="dxa"/>
            <w:gridSpan w:val="2"/>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4657" w:type="dxa"/>
            <w:tcBorders>
              <w:top w:val="single" w:sz="4" w:space="0" w:color="7030A0"/>
            </w:tcBorders>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tcBorders>
              <w:top w:val="single" w:sz="4" w:space="0" w:color="7030A0"/>
            </w:tcBorders>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GrDF SA</w:t>
            </w:r>
          </w:p>
        </w:tc>
      </w:tr>
      <w:tr w:rsidR="00B740A8" w:rsidRPr="00C73365" w:rsidTr="00292868">
        <w:trPr>
          <w:gridAfter w:val="1"/>
          <w:wAfter w:w="111" w:type="dxa"/>
          <w:trHeight w:val="529"/>
        </w:trPr>
        <w:tc>
          <w:tcPr>
            <w:tcW w:w="1202" w:type="dxa"/>
            <w:gridSpan w:val="2"/>
            <w:vMerge/>
            <w:shd w:val="clear" w:color="auto" w:fill="auto"/>
            <w:noWrap/>
            <w:vAlign w:val="center"/>
            <w:hideMark/>
          </w:tcPr>
          <w:p w:rsidR="00B740A8" w:rsidRPr="00C73365" w:rsidRDefault="00B740A8" w:rsidP="00292868">
            <w:pPr>
              <w:jc w:val="left"/>
              <w:rPr>
                <w:rFonts w:asciiTheme="minorHAnsi" w:hAnsiTheme="minorHAnsi" w:cstheme="minorHAnsi"/>
                <w:b/>
                <w:bCs/>
                <w:color w:val="000000"/>
                <w:szCs w:val="20"/>
                <w:lang w:val="fr-FR" w:eastAsia="fr-FR"/>
              </w:rPr>
            </w:pPr>
          </w:p>
        </w:tc>
        <w:tc>
          <w:tcPr>
            <w:tcW w:w="441" w:type="dxa"/>
            <w:gridSpan w:val="2"/>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vAlign w:val="center"/>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Deinove SA</w:t>
            </w:r>
          </w:p>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Pharnext SA</w:t>
            </w:r>
          </w:p>
        </w:tc>
      </w:tr>
      <w:tr w:rsidR="00B740A8" w:rsidRPr="00C73365" w:rsidTr="00292868">
        <w:trPr>
          <w:gridAfter w:val="1"/>
          <w:wAfter w:w="111" w:type="dxa"/>
          <w:trHeight w:val="264"/>
        </w:trPr>
        <w:tc>
          <w:tcPr>
            <w:tcW w:w="1202" w:type="dxa"/>
            <w:gridSpan w:val="2"/>
            <w:tcBorders>
              <w:bottom w:val="single" w:sz="4" w:space="0" w:color="7030A0"/>
            </w:tcBorders>
            <w:shd w:val="clear" w:color="auto" w:fill="auto"/>
            <w:noWrap/>
            <w:vAlign w:val="center"/>
            <w:hideMark/>
          </w:tcPr>
          <w:p w:rsidR="00B740A8" w:rsidRPr="00C73365" w:rsidRDefault="00B740A8" w:rsidP="00292868">
            <w:pPr>
              <w:jc w:val="left"/>
              <w:rPr>
                <w:rFonts w:asciiTheme="minorHAnsi" w:hAnsiTheme="minorHAnsi" w:cstheme="minorHAnsi"/>
                <w:color w:val="000000"/>
                <w:szCs w:val="20"/>
                <w:lang w:eastAsia="fr-FR"/>
              </w:rPr>
            </w:pPr>
            <w:r w:rsidRPr="00C73365">
              <w:rPr>
                <w:rFonts w:asciiTheme="minorHAnsi" w:hAnsiTheme="minorHAnsi" w:cstheme="minorHAnsi"/>
                <w:color w:val="000000"/>
                <w:szCs w:val="20"/>
                <w:lang w:eastAsia="fr-FR"/>
              </w:rPr>
              <w:t> </w:t>
            </w:r>
          </w:p>
        </w:tc>
        <w:tc>
          <w:tcPr>
            <w:tcW w:w="441" w:type="dxa"/>
            <w:gridSpan w:val="2"/>
            <w:shd w:val="clear" w:color="auto" w:fill="auto"/>
            <w:noWrap/>
            <w:vAlign w:val="center"/>
            <w:hideMark/>
          </w:tcPr>
          <w:p w:rsidR="00B740A8" w:rsidRPr="00C73365" w:rsidRDefault="00B740A8" w:rsidP="00D1541A">
            <w:pPr>
              <w:rPr>
                <w:rFonts w:asciiTheme="minorHAnsi" w:hAnsiTheme="minorHAnsi" w:cstheme="minorHAnsi"/>
                <w:color w:val="000000"/>
                <w:szCs w:val="20"/>
                <w:lang w:eastAsia="fr-FR"/>
              </w:rPr>
            </w:pPr>
          </w:p>
        </w:tc>
        <w:tc>
          <w:tcPr>
            <w:tcW w:w="4657" w:type="dxa"/>
            <w:tcBorders>
              <w:bottom w:val="single" w:sz="4" w:space="0" w:color="7030A0"/>
            </w:tcBorders>
            <w:shd w:val="clear" w:color="auto" w:fill="auto"/>
            <w:vAlign w:val="center"/>
            <w:hideMark/>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280" w:type="dxa"/>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r>
      <w:tr w:rsidR="00B740A8" w:rsidRPr="00C73365" w:rsidTr="00292868">
        <w:trPr>
          <w:trHeight w:val="273"/>
        </w:trPr>
        <w:tc>
          <w:tcPr>
            <w:tcW w:w="1202" w:type="dxa"/>
            <w:gridSpan w:val="2"/>
            <w:vMerge w:val="restart"/>
            <w:tcBorders>
              <w:top w:val="single" w:sz="4" w:space="0" w:color="7030A0"/>
            </w:tcBorders>
            <w:shd w:val="clear" w:color="auto" w:fill="auto"/>
            <w:vAlign w:val="center"/>
            <w:hideMark/>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 Dominique Costantini</w:t>
            </w:r>
          </w:p>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441" w:type="dxa"/>
            <w:gridSpan w:val="2"/>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4657" w:type="dxa"/>
            <w:tcBorders>
              <w:top w:val="single" w:sz="4" w:space="0" w:color="7030A0"/>
            </w:tcBorders>
            <w:shd w:val="clear" w:color="auto" w:fill="auto"/>
            <w:vAlign w:val="center"/>
            <w:hideMark/>
          </w:tcPr>
          <w:p w:rsidR="00B740A8" w:rsidRDefault="00B740A8" w:rsidP="00D1541A">
            <w:pPr>
              <w:ind w:right="-1629"/>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Mandats de direction / </w:t>
            </w:r>
            <w:r w:rsidR="00292868" w:rsidRPr="00C73365">
              <w:rPr>
                <w:rFonts w:asciiTheme="minorHAnsi" w:hAnsiTheme="minorHAnsi" w:cstheme="minorHAnsi"/>
                <w:b/>
                <w:bCs/>
                <w:color w:val="000000"/>
                <w:szCs w:val="20"/>
                <w:lang w:val="fr-FR" w:eastAsia="fr-FR"/>
              </w:rPr>
              <w:t>d’administrateur :</w:t>
            </w:r>
          </w:p>
          <w:p w:rsidR="00292C15" w:rsidRPr="00C73365" w:rsidRDefault="00292C15" w:rsidP="00D1541A">
            <w:pPr>
              <w:ind w:right="-1629"/>
              <w:rPr>
                <w:rFonts w:asciiTheme="minorHAnsi" w:hAnsiTheme="minorHAnsi" w:cstheme="minorHAnsi"/>
                <w:b/>
                <w:bCs/>
                <w:color w:val="000000"/>
                <w:szCs w:val="20"/>
                <w:lang w:val="fr-FR" w:eastAsia="fr-FR"/>
              </w:rPr>
            </w:pP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391" w:type="dxa"/>
            <w:gridSpan w:val="2"/>
            <w:tcBorders>
              <w:top w:val="single" w:sz="4" w:space="0" w:color="7030A0"/>
            </w:tcBorders>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r>
      <w:tr w:rsidR="00B740A8" w:rsidRPr="00C73365" w:rsidTr="00292868">
        <w:trPr>
          <w:trHeight w:val="281"/>
        </w:trPr>
        <w:tc>
          <w:tcPr>
            <w:tcW w:w="1202" w:type="dxa"/>
            <w:gridSpan w:val="2"/>
            <w:vMerge/>
            <w:shd w:val="clear" w:color="auto" w:fill="auto"/>
            <w:vAlign w:val="center"/>
            <w:hideMark/>
          </w:tcPr>
          <w:p w:rsidR="00B740A8" w:rsidRPr="00C73365" w:rsidRDefault="00B740A8" w:rsidP="00292868">
            <w:pPr>
              <w:jc w:val="left"/>
              <w:rPr>
                <w:rFonts w:asciiTheme="minorHAnsi" w:hAnsiTheme="minorHAnsi" w:cstheme="minorHAnsi"/>
                <w:szCs w:val="20"/>
                <w:lang w:val="fr-FR" w:eastAsia="fr-FR"/>
              </w:rPr>
            </w:pPr>
          </w:p>
        </w:tc>
        <w:tc>
          <w:tcPr>
            <w:tcW w:w="441" w:type="dxa"/>
            <w:gridSpan w:val="2"/>
            <w:shd w:val="clear" w:color="auto" w:fill="auto"/>
            <w:noWrap/>
            <w:vAlign w:val="center"/>
            <w:hideMark/>
          </w:tcPr>
          <w:p w:rsidR="00B740A8" w:rsidRPr="00C73365" w:rsidRDefault="00B740A8" w:rsidP="00D1541A">
            <w:pPr>
              <w:rPr>
                <w:rFonts w:asciiTheme="minorHAnsi" w:hAnsiTheme="minorHAnsi" w:cstheme="minorHAnsi"/>
                <w:szCs w:val="20"/>
                <w:lang w:val="fr-FR" w:eastAsia="fr-FR"/>
              </w:rPr>
            </w:pPr>
          </w:p>
        </w:tc>
        <w:tc>
          <w:tcPr>
            <w:tcW w:w="4657" w:type="dxa"/>
            <w:shd w:val="clear" w:color="auto" w:fill="auto"/>
            <w:hideMark/>
          </w:tcPr>
          <w:p w:rsidR="00B740A8" w:rsidRDefault="00B740A8" w:rsidP="00292868">
            <w:pPr>
              <w:pStyle w:val="ListParagraph"/>
              <w:numPr>
                <w:ilvl w:val="0"/>
                <w:numId w:val="95"/>
              </w:numPr>
              <w:spacing w:after="0"/>
              <w:ind w:left="198" w:right="-1629" w:hanging="142"/>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non exécutif et administrateur</w:t>
            </w:r>
          </w:p>
          <w:p w:rsidR="00670C89" w:rsidRDefault="00670C89" w:rsidP="00292868">
            <w:pPr>
              <w:spacing w:after="0"/>
              <w:ind w:right="-1629"/>
              <w:jc w:val="left"/>
              <w:rPr>
                <w:rFonts w:asciiTheme="minorHAnsi" w:hAnsiTheme="minorHAnsi" w:cstheme="minorHAnsi"/>
                <w:color w:val="000000"/>
                <w:szCs w:val="20"/>
                <w:lang w:val="fr-FR" w:eastAsia="fr-FR"/>
              </w:rPr>
            </w:pPr>
          </w:p>
          <w:p w:rsidR="00670C89" w:rsidRPr="00670C89" w:rsidRDefault="00670C89" w:rsidP="00292868">
            <w:pPr>
              <w:spacing w:after="0"/>
              <w:ind w:right="-1629"/>
              <w:jc w:val="left"/>
              <w:rPr>
                <w:rFonts w:asciiTheme="minorHAnsi" w:hAnsiTheme="minorHAnsi" w:cstheme="minorHAnsi"/>
                <w:color w:val="000000"/>
                <w:szCs w:val="20"/>
                <w:lang w:val="fr-FR" w:eastAsia="fr-FR"/>
              </w:rPr>
            </w:pPr>
          </w:p>
        </w:tc>
        <w:tc>
          <w:tcPr>
            <w:tcW w:w="1160" w:type="dxa"/>
            <w:gridSpan w:val="3"/>
            <w:shd w:val="clear" w:color="auto" w:fill="auto"/>
            <w:noWrap/>
            <w:hideMark/>
          </w:tcPr>
          <w:p w:rsidR="00B740A8" w:rsidRPr="00C73365" w:rsidRDefault="00B740A8" w:rsidP="00292868">
            <w:pPr>
              <w:jc w:val="left"/>
              <w:rPr>
                <w:rFonts w:asciiTheme="minorHAnsi" w:hAnsiTheme="minorHAnsi" w:cstheme="minorHAnsi"/>
                <w:color w:val="000000"/>
                <w:szCs w:val="20"/>
                <w:lang w:val="fr-FR" w:eastAsia="fr-FR"/>
              </w:rPr>
            </w:pPr>
          </w:p>
        </w:tc>
        <w:tc>
          <w:tcPr>
            <w:tcW w:w="2391" w:type="dxa"/>
            <w:gridSpan w:val="2"/>
            <w:shd w:val="clear" w:color="auto" w:fill="auto"/>
            <w:hideMark/>
          </w:tcPr>
          <w:p w:rsidR="00B740A8" w:rsidRPr="00C73365" w:rsidRDefault="00B740A8" w:rsidP="00292868">
            <w:pPr>
              <w:jc w:val="lef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Carthera SAS ICM Paris </w:t>
            </w:r>
          </w:p>
        </w:tc>
      </w:tr>
      <w:tr w:rsidR="00B740A8" w:rsidRPr="00670C89" w:rsidTr="00292868">
        <w:trPr>
          <w:trHeight w:val="281"/>
        </w:trPr>
        <w:tc>
          <w:tcPr>
            <w:tcW w:w="1202" w:type="dxa"/>
            <w:gridSpan w:val="2"/>
            <w:vMerge/>
            <w:shd w:val="clear" w:color="auto" w:fill="auto"/>
            <w:vAlign w:val="center"/>
            <w:hideMark/>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4657" w:type="dxa"/>
            <w:shd w:val="clear" w:color="auto" w:fill="auto"/>
            <w:vAlign w:val="center"/>
            <w:hideMark/>
          </w:tcPr>
          <w:p w:rsidR="00B740A8" w:rsidRDefault="00B740A8" w:rsidP="00434C49">
            <w:pPr>
              <w:pStyle w:val="ListParagraph"/>
              <w:numPr>
                <w:ilvl w:val="0"/>
                <w:numId w:val="95"/>
              </w:numPr>
              <w:spacing w:after="0"/>
              <w:ind w:left="198" w:right="-1629"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p w:rsidR="00670C89" w:rsidRPr="00C73365" w:rsidRDefault="00670C89" w:rsidP="00670C89">
            <w:pPr>
              <w:pStyle w:val="ListParagraph"/>
              <w:spacing w:after="0"/>
              <w:ind w:left="198" w:right="-1629"/>
              <w:rPr>
                <w:rFonts w:asciiTheme="minorHAnsi" w:hAnsiTheme="minorHAnsi" w:cstheme="minorHAnsi"/>
                <w:color w:val="000000"/>
                <w:szCs w:val="20"/>
                <w:lang w:val="fr-FR" w:eastAsia="fr-FR"/>
              </w:rPr>
            </w:pPr>
          </w:p>
          <w:p w:rsidR="00670C89" w:rsidRDefault="00670C89" w:rsidP="00670C89">
            <w:pPr>
              <w:pStyle w:val="ListParagraph"/>
              <w:spacing w:after="0"/>
              <w:ind w:left="198" w:right="-1629"/>
              <w:rPr>
                <w:rFonts w:asciiTheme="minorHAnsi" w:hAnsiTheme="minorHAnsi" w:cstheme="minorHAnsi"/>
                <w:color w:val="000000"/>
                <w:szCs w:val="20"/>
                <w:lang w:val="fr-FR" w:eastAsia="fr-FR"/>
              </w:rPr>
            </w:pPr>
          </w:p>
          <w:p w:rsidR="00B740A8" w:rsidRPr="00670C89" w:rsidRDefault="00B740A8" w:rsidP="00670C89">
            <w:pPr>
              <w:pStyle w:val="ListParagraph"/>
              <w:spacing w:after="0"/>
              <w:ind w:left="198" w:right="-1629"/>
              <w:rPr>
                <w:rFonts w:asciiTheme="minorHAnsi" w:hAnsiTheme="minorHAnsi" w:cstheme="minorHAnsi"/>
                <w:color w:val="000000"/>
                <w:szCs w:val="20"/>
                <w:lang w:val="fr-FR" w:eastAsia="fr-FR"/>
              </w:rPr>
            </w:pPr>
          </w:p>
        </w:tc>
        <w:tc>
          <w:tcPr>
            <w:tcW w:w="1160" w:type="dxa"/>
            <w:gridSpan w:val="3"/>
            <w:shd w:val="clear" w:color="auto" w:fill="auto"/>
            <w:noWrap/>
            <w:vAlign w:val="center"/>
            <w:hideMark/>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vAlign w:val="center"/>
            <w:hideMark/>
          </w:tcPr>
          <w:p w:rsidR="00670C89"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Th</w:t>
            </w:r>
            <w:r w:rsidR="00670C89">
              <w:rPr>
                <w:rFonts w:asciiTheme="minorHAnsi" w:hAnsiTheme="minorHAnsi" w:cstheme="minorHAnsi"/>
                <w:b/>
                <w:bCs/>
                <w:color w:val="000000"/>
                <w:szCs w:val="20"/>
                <w:lang w:val="fr-FR" w:eastAsia="fr-FR"/>
              </w:rPr>
              <w:t>éranexus SAS Lyon</w:t>
            </w:r>
          </w:p>
          <w:p w:rsidR="00B740A8" w:rsidRPr="00C73365" w:rsidRDefault="00670C89" w:rsidP="00D1541A">
            <w:pPr>
              <w:rPr>
                <w:rFonts w:asciiTheme="minorHAnsi" w:hAnsiTheme="minorHAnsi" w:cstheme="minorHAnsi"/>
                <w:b/>
                <w:bCs/>
                <w:color w:val="000000"/>
                <w:szCs w:val="20"/>
                <w:lang w:val="fr-FR" w:eastAsia="fr-FR"/>
              </w:rPr>
            </w:pPr>
            <w:r>
              <w:rPr>
                <w:rFonts w:asciiTheme="minorHAnsi" w:hAnsiTheme="minorHAnsi" w:cstheme="minorHAnsi"/>
                <w:b/>
                <w:bCs/>
                <w:color w:val="000000"/>
                <w:szCs w:val="20"/>
                <w:lang w:val="fr-FR" w:eastAsia="fr-FR"/>
              </w:rPr>
              <w:lastRenderedPageBreak/>
              <w:t xml:space="preserve"> </w:t>
            </w:r>
          </w:p>
        </w:tc>
      </w:tr>
      <w:tr w:rsidR="00670C89" w:rsidRPr="00670C89" w:rsidTr="00292868">
        <w:trPr>
          <w:trHeight w:val="281"/>
        </w:trPr>
        <w:tc>
          <w:tcPr>
            <w:tcW w:w="1202" w:type="dxa"/>
            <w:gridSpan w:val="2"/>
            <w:shd w:val="clear" w:color="auto" w:fill="auto"/>
            <w:vAlign w:val="center"/>
          </w:tcPr>
          <w:p w:rsidR="00670C89" w:rsidRPr="00C73365" w:rsidRDefault="00670C89" w:rsidP="00292868">
            <w:pPr>
              <w:jc w:val="left"/>
              <w:rPr>
                <w:rFonts w:asciiTheme="minorHAnsi" w:hAnsiTheme="minorHAnsi" w:cstheme="minorHAnsi"/>
                <w:color w:val="000000"/>
                <w:szCs w:val="20"/>
                <w:lang w:val="fr-FR" w:eastAsia="fr-FR"/>
              </w:rPr>
            </w:pPr>
          </w:p>
        </w:tc>
        <w:tc>
          <w:tcPr>
            <w:tcW w:w="441" w:type="dxa"/>
            <w:gridSpan w:val="2"/>
            <w:shd w:val="clear" w:color="auto" w:fill="auto"/>
            <w:noWrap/>
            <w:vAlign w:val="center"/>
          </w:tcPr>
          <w:p w:rsidR="00670C89" w:rsidRPr="00C73365" w:rsidRDefault="00670C89" w:rsidP="00D1541A">
            <w:pPr>
              <w:rPr>
                <w:rFonts w:asciiTheme="minorHAnsi" w:hAnsiTheme="minorHAnsi" w:cstheme="minorHAnsi"/>
                <w:color w:val="000000"/>
                <w:szCs w:val="20"/>
                <w:lang w:val="fr-FR" w:eastAsia="fr-FR"/>
              </w:rPr>
            </w:pPr>
          </w:p>
        </w:tc>
        <w:tc>
          <w:tcPr>
            <w:tcW w:w="4657" w:type="dxa"/>
            <w:shd w:val="clear" w:color="auto" w:fill="auto"/>
            <w:vAlign w:val="center"/>
          </w:tcPr>
          <w:p w:rsidR="00670C89" w:rsidRPr="00670C89" w:rsidRDefault="00670C89" w:rsidP="00434C49">
            <w:pPr>
              <w:pStyle w:val="ListParagraph"/>
              <w:numPr>
                <w:ilvl w:val="0"/>
                <w:numId w:val="95"/>
              </w:numPr>
              <w:spacing w:after="0"/>
              <w:ind w:left="198" w:right="-1629"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Directeur général et administrateur</w:t>
            </w:r>
          </w:p>
        </w:tc>
        <w:tc>
          <w:tcPr>
            <w:tcW w:w="1160" w:type="dxa"/>
            <w:gridSpan w:val="3"/>
            <w:shd w:val="clear" w:color="auto" w:fill="auto"/>
            <w:noWrap/>
            <w:vAlign w:val="center"/>
          </w:tcPr>
          <w:p w:rsidR="00670C89" w:rsidRPr="00C73365" w:rsidRDefault="00670C89" w:rsidP="00D1541A">
            <w:pPr>
              <w:rPr>
                <w:rFonts w:asciiTheme="minorHAnsi" w:hAnsiTheme="minorHAnsi" w:cstheme="minorHAnsi"/>
                <w:color w:val="000000"/>
                <w:szCs w:val="20"/>
                <w:lang w:val="fr-FR" w:eastAsia="fr-FR"/>
              </w:rPr>
            </w:pPr>
          </w:p>
        </w:tc>
        <w:tc>
          <w:tcPr>
            <w:tcW w:w="2391" w:type="dxa"/>
            <w:gridSpan w:val="2"/>
            <w:shd w:val="clear" w:color="auto" w:fill="auto"/>
            <w:vAlign w:val="center"/>
          </w:tcPr>
          <w:p w:rsidR="00670C89" w:rsidRPr="00C73365" w:rsidRDefault="00670C89"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OSE Immunotherapeutics</w:t>
            </w:r>
            <w:r>
              <w:rPr>
                <w:rFonts w:asciiTheme="minorHAnsi" w:hAnsiTheme="minorHAnsi" w:cstheme="minorHAnsi"/>
                <w:b/>
                <w:bCs/>
                <w:color w:val="000000"/>
                <w:szCs w:val="20"/>
                <w:lang w:val="fr-FR" w:eastAsia="fr-FR"/>
              </w:rPr>
              <w:t xml:space="preserve"> </w:t>
            </w:r>
          </w:p>
        </w:tc>
      </w:tr>
      <w:tr w:rsidR="00670C89" w:rsidRPr="00670C89" w:rsidTr="00292868">
        <w:trPr>
          <w:trHeight w:val="281"/>
        </w:trPr>
        <w:tc>
          <w:tcPr>
            <w:tcW w:w="1202" w:type="dxa"/>
            <w:gridSpan w:val="2"/>
            <w:shd w:val="clear" w:color="auto" w:fill="auto"/>
            <w:vAlign w:val="center"/>
          </w:tcPr>
          <w:p w:rsidR="00670C89" w:rsidRPr="00C73365" w:rsidRDefault="00670C89" w:rsidP="00292868">
            <w:pPr>
              <w:jc w:val="left"/>
              <w:rPr>
                <w:rFonts w:asciiTheme="minorHAnsi" w:hAnsiTheme="minorHAnsi" w:cstheme="minorHAnsi"/>
                <w:color w:val="000000"/>
                <w:szCs w:val="20"/>
                <w:lang w:val="fr-FR" w:eastAsia="fr-FR"/>
              </w:rPr>
            </w:pPr>
          </w:p>
        </w:tc>
        <w:tc>
          <w:tcPr>
            <w:tcW w:w="441" w:type="dxa"/>
            <w:gridSpan w:val="2"/>
            <w:shd w:val="clear" w:color="auto" w:fill="auto"/>
            <w:noWrap/>
            <w:vAlign w:val="center"/>
          </w:tcPr>
          <w:p w:rsidR="00670C89" w:rsidRPr="00C73365" w:rsidRDefault="00670C89" w:rsidP="00D1541A">
            <w:pPr>
              <w:rPr>
                <w:rFonts w:asciiTheme="minorHAnsi" w:hAnsiTheme="minorHAnsi" w:cstheme="minorHAnsi"/>
                <w:color w:val="000000"/>
                <w:szCs w:val="20"/>
                <w:lang w:val="fr-FR" w:eastAsia="fr-FR"/>
              </w:rPr>
            </w:pPr>
          </w:p>
        </w:tc>
        <w:tc>
          <w:tcPr>
            <w:tcW w:w="4657" w:type="dxa"/>
            <w:shd w:val="clear" w:color="auto" w:fill="auto"/>
            <w:vAlign w:val="center"/>
          </w:tcPr>
          <w:p w:rsidR="00670C89" w:rsidRPr="00C73365" w:rsidRDefault="00670C89" w:rsidP="00434C49">
            <w:pPr>
              <w:pStyle w:val="ListParagraph"/>
              <w:numPr>
                <w:ilvl w:val="0"/>
                <w:numId w:val="95"/>
              </w:numPr>
              <w:spacing w:after="0"/>
              <w:ind w:left="198" w:right="-1629" w:hanging="142"/>
              <w:rPr>
                <w:rFonts w:asciiTheme="minorHAnsi" w:hAnsiTheme="minorHAnsi" w:cstheme="minorHAnsi"/>
                <w:color w:val="000000"/>
                <w:szCs w:val="20"/>
                <w:lang w:val="fr-FR" w:eastAsia="fr-FR"/>
              </w:rPr>
            </w:pPr>
            <w:r>
              <w:rPr>
                <w:rFonts w:asciiTheme="minorHAnsi" w:hAnsiTheme="minorHAnsi" w:cstheme="minorHAnsi"/>
                <w:color w:val="000000"/>
                <w:szCs w:val="20"/>
                <w:lang w:val="fr-FR" w:eastAsia="fr-FR"/>
              </w:rPr>
              <w:t>Administrateur</w:t>
            </w:r>
          </w:p>
        </w:tc>
        <w:tc>
          <w:tcPr>
            <w:tcW w:w="1160" w:type="dxa"/>
            <w:gridSpan w:val="3"/>
            <w:shd w:val="clear" w:color="auto" w:fill="auto"/>
            <w:noWrap/>
            <w:vAlign w:val="center"/>
          </w:tcPr>
          <w:p w:rsidR="00670C89" w:rsidRPr="00C73365" w:rsidRDefault="00670C89" w:rsidP="00D1541A">
            <w:pPr>
              <w:rPr>
                <w:rFonts w:asciiTheme="minorHAnsi" w:hAnsiTheme="minorHAnsi" w:cstheme="minorHAnsi"/>
                <w:color w:val="000000"/>
                <w:szCs w:val="20"/>
                <w:lang w:val="fr-FR" w:eastAsia="fr-FR"/>
              </w:rPr>
            </w:pPr>
          </w:p>
        </w:tc>
        <w:tc>
          <w:tcPr>
            <w:tcW w:w="2391" w:type="dxa"/>
            <w:gridSpan w:val="2"/>
            <w:shd w:val="clear" w:color="auto" w:fill="auto"/>
            <w:vAlign w:val="center"/>
          </w:tcPr>
          <w:p w:rsidR="00670C89" w:rsidRPr="00C73365" w:rsidRDefault="00670C89" w:rsidP="00670C89">
            <w:pPr>
              <w:rPr>
                <w:rFonts w:asciiTheme="minorHAnsi" w:hAnsiTheme="minorHAnsi" w:cstheme="minorHAnsi"/>
                <w:b/>
                <w:bCs/>
                <w:color w:val="000000"/>
                <w:szCs w:val="20"/>
                <w:lang w:val="fr-FR" w:eastAsia="fr-FR"/>
              </w:rPr>
            </w:pPr>
            <w:r>
              <w:rPr>
                <w:rFonts w:asciiTheme="minorHAnsi" w:hAnsiTheme="minorHAnsi" w:cstheme="minorHAnsi"/>
                <w:b/>
                <w:bCs/>
                <w:color w:val="000000"/>
                <w:szCs w:val="20"/>
                <w:lang w:val="fr-FR" w:eastAsia="fr-FR"/>
              </w:rPr>
              <w:t>Theradiag SA Paris</w:t>
            </w:r>
          </w:p>
        </w:tc>
      </w:tr>
      <w:tr w:rsidR="00670C89" w:rsidRPr="00C73365" w:rsidTr="00292868">
        <w:trPr>
          <w:trHeight w:val="281"/>
        </w:trPr>
        <w:tc>
          <w:tcPr>
            <w:tcW w:w="1202" w:type="dxa"/>
            <w:gridSpan w:val="2"/>
            <w:shd w:val="clear" w:color="auto" w:fill="auto"/>
            <w:vAlign w:val="center"/>
          </w:tcPr>
          <w:p w:rsidR="00670C89" w:rsidRPr="00C73365" w:rsidRDefault="00670C89" w:rsidP="00292868">
            <w:pPr>
              <w:jc w:val="left"/>
              <w:rPr>
                <w:rFonts w:asciiTheme="minorHAnsi" w:hAnsiTheme="minorHAnsi" w:cstheme="minorHAnsi"/>
                <w:color w:val="000000"/>
                <w:szCs w:val="20"/>
                <w:lang w:val="fr-FR" w:eastAsia="fr-FR"/>
              </w:rPr>
            </w:pPr>
          </w:p>
        </w:tc>
        <w:tc>
          <w:tcPr>
            <w:tcW w:w="441" w:type="dxa"/>
            <w:gridSpan w:val="2"/>
            <w:shd w:val="clear" w:color="auto" w:fill="auto"/>
            <w:noWrap/>
            <w:vAlign w:val="center"/>
          </w:tcPr>
          <w:p w:rsidR="00670C89" w:rsidRPr="00C73365" w:rsidRDefault="00670C89" w:rsidP="00D1541A">
            <w:pPr>
              <w:rPr>
                <w:rFonts w:asciiTheme="minorHAnsi" w:hAnsiTheme="minorHAnsi" w:cstheme="minorHAnsi"/>
                <w:color w:val="000000"/>
                <w:szCs w:val="20"/>
                <w:lang w:val="fr-FR" w:eastAsia="fr-FR"/>
              </w:rPr>
            </w:pPr>
          </w:p>
        </w:tc>
        <w:tc>
          <w:tcPr>
            <w:tcW w:w="4657" w:type="dxa"/>
            <w:shd w:val="clear" w:color="auto" w:fill="auto"/>
            <w:vAlign w:val="center"/>
          </w:tcPr>
          <w:p w:rsidR="00670C89" w:rsidRPr="00C73365" w:rsidRDefault="00670C89" w:rsidP="00434C49">
            <w:pPr>
              <w:pStyle w:val="ListParagraph"/>
              <w:numPr>
                <w:ilvl w:val="0"/>
                <w:numId w:val="95"/>
              </w:numPr>
              <w:spacing w:after="0"/>
              <w:ind w:left="198" w:right="-1629"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160" w:type="dxa"/>
            <w:gridSpan w:val="3"/>
            <w:shd w:val="clear" w:color="auto" w:fill="auto"/>
            <w:noWrap/>
            <w:vAlign w:val="center"/>
          </w:tcPr>
          <w:p w:rsidR="00670C89" w:rsidRPr="00C73365" w:rsidRDefault="00670C89" w:rsidP="00D1541A">
            <w:pPr>
              <w:rPr>
                <w:rFonts w:asciiTheme="minorHAnsi" w:hAnsiTheme="minorHAnsi" w:cstheme="minorHAnsi"/>
                <w:color w:val="000000"/>
                <w:szCs w:val="20"/>
                <w:lang w:val="fr-FR" w:eastAsia="fr-FR"/>
              </w:rPr>
            </w:pPr>
          </w:p>
        </w:tc>
        <w:tc>
          <w:tcPr>
            <w:tcW w:w="2391" w:type="dxa"/>
            <w:gridSpan w:val="2"/>
            <w:shd w:val="clear" w:color="auto" w:fill="auto"/>
            <w:vAlign w:val="center"/>
          </w:tcPr>
          <w:p w:rsidR="00670C89" w:rsidRPr="00C73365" w:rsidRDefault="00670C89"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Sensorion SA Montpelier</w:t>
            </w:r>
          </w:p>
        </w:tc>
      </w:tr>
      <w:tr w:rsidR="00B740A8" w:rsidRPr="00C73365" w:rsidTr="00292868">
        <w:trPr>
          <w:trHeight w:val="281"/>
        </w:trPr>
        <w:tc>
          <w:tcPr>
            <w:tcW w:w="1202" w:type="dxa"/>
            <w:gridSpan w:val="2"/>
            <w:tcBorders>
              <w:bottom w:val="single" w:sz="4" w:space="0" w:color="7030A0"/>
            </w:tcBorders>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4657" w:type="dxa"/>
            <w:tcBorders>
              <w:bottom w:val="single" w:sz="4" w:space="0" w:color="7030A0"/>
            </w:tcBorders>
            <w:shd w:val="clear" w:color="auto" w:fill="auto"/>
            <w:vAlign w:val="center"/>
          </w:tcPr>
          <w:p w:rsidR="00B740A8" w:rsidRPr="00292868" w:rsidRDefault="00B740A8" w:rsidP="00292868">
            <w:pPr>
              <w:ind w:right="-1629"/>
              <w:rPr>
                <w:rFonts w:asciiTheme="minorHAnsi" w:hAnsiTheme="minorHAnsi" w:cstheme="minorHAnsi"/>
                <w:color w:val="000000"/>
                <w:szCs w:val="20"/>
                <w:lang w:val="fr-FR" w:eastAsia="fr-FR"/>
              </w:rPr>
            </w:pP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tcBorders>
              <w:bottom w:val="single" w:sz="4" w:space="0" w:color="7030A0"/>
            </w:tcBorders>
            <w:shd w:val="clear" w:color="auto" w:fill="auto"/>
            <w:vAlign w:val="center"/>
          </w:tcPr>
          <w:p w:rsidR="00B740A8" w:rsidRPr="00C73365" w:rsidRDefault="00B740A8" w:rsidP="00D1541A">
            <w:pPr>
              <w:rPr>
                <w:rFonts w:asciiTheme="minorHAnsi" w:hAnsiTheme="minorHAnsi" w:cstheme="minorHAnsi"/>
                <w:b/>
                <w:bCs/>
                <w:color w:val="000000"/>
                <w:szCs w:val="20"/>
                <w:lang w:val="fr-FR" w:eastAsia="fr-FR"/>
              </w:rPr>
            </w:pPr>
          </w:p>
        </w:tc>
      </w:tr>
      <w:tr w:rsidR="00B740A8" w:rsidRPr="00C73365" w:rsidTr="00292868">
        <w:trPr>
          <w:trHeight w:val="281"/>
        </w:trPr>
        <w:tc>
          <w:tcPr>
            <w:tcW w:w="1202" w:type="dxa"/>
            <w:gridSpan w:val="2"/>
            <w:tcBorders>
              <w:top w:val="single" w:sz="4" w:space="0" w:color="7030A0"/>
            </w:tcBorders>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 Carol L. Brosgart</w:t>
            </w:r>
          </w:p>
        </w:tc>
        <w:tc>
          <w:tcPr>
            <w:tcW w:w="441" w:type="dxa"/>
            <w:gridSpan w:val="2"/>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4657" w:type="dxa"/>
            <w:tcBorders>
              <w:top w:val="single" w:sz="4" w:space="0" w:color="7030A0"/>
            </w:tcBorders>
            <w:shd w:val="clear" w:color="auto" w:fill="auto"/>
            <w:vAlign w:val="center"/>
          </w:tcPr>
          <w:p w:rsidR="00B740A8" w:rsidRPr="00C73365" w:rsidRDefault="00B740A8" w:rsidP="00D1541A">
            <w:pPr>
              <w:ind w:right="-1629"/>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 xml:space="preserve">Mandats de direction / </w:t>
            </w:r>
            <w:r w:rsidR="008E1A39" w:rsidRPr="00C73365">
              <w:rPr>
                <w:rFonts w:asciiTheme="minorHAnsi" w:hAnsiTheme="minorHAnsi" w:cstheme="minorHAnsi"/>
                <w:b/>
                <w:bCs/>
                <w:color w:val="000000"/>
                <w:szCs w:val="20"/>
                <w:lang w:val="fr-FR" w:eastAsia="fr-FR"/>
              </w:rPr>
              <w:t>d’administrateur :</w:t>
            </w: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tcBorders>
              <w:top w:val="single" w:sz="4" w:space="0" w:color="7030A0"/>
            </w:tcBorders>
            <w:shd w:val="clear" w:color="auto" w:fill="auto"/>
            <w:vAlign w:val="center"/>
          </w:tcPr>
          <w:p w:rsidR="00B740A8" w:rsidRPr="00C73365" w:rsidRDefault="00B740A8" w:rsidP="00D1541A">
            <w:pPr>
              <w:rPr>
                <w:rFonts w:asciiTheme="minorHAnsi" w:hAnsiTheme="minorHAnsi" w:cstheme="minorHAnsi"/>
                <w:b/>
                <w:bCs/>
                <w:color w:val="000000"/>
                <w:szCs w:val="20"/>
                <w:lang w:val="fr-FR" w:eastAsia="fr-FR"/>
              </w:rPr>
            </w:pPr>
          </w:p>
        </w:tc>
      </w:tr>
      <w:tr w:rsidR="00B740A8" w:rsidRPr="00C73365" w:rsidTr="00292868">
        <w:trPr>
          <w:trHeight w:val="281"/>
        </w:trPr>
        <w:tc>
          <w:tcPr>
            <w:tcW w:w="1202" w:type="dxa"/>
            <w:gridSpan w:val="2"/>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4657" w:type="dxa"/>
            <w:shd w:val="clear" w:color="auto" w:fill="auto"/>
            <w:vAlign w:val="center"/>
          </w:tcPr>
          <w:p w:rsidR="00B740A8" w:rsidRPr="00C73365" w:rsidRDefault="00B740A8" w:rsidP="00D1541A">
            <w:pPr>
              <w:ind w:right="-1629"/>
              <w:rPr>
                <w:rFonts w:asciiTheme="minorHAnsi" w:hAnsiTheme="minorHAnsi" w:cstheme="minorHAnsi"/>
                <w:b/>
                <w:bCs/>
                <w:color w:val="000000"/>
                <w:szCs w:val="20"/>
                <w:lang w:val="fr-FR" w:eastAsia="fr-FR"/>
              </w:rPr>
            </w:pP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vAlign w:val="center"/>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color w:val="7030A0"/>
                <w:szCs w:val="20"/>
                <w:lang w:val="fr-FR" w:eastAsia="fr-FR"/>
              </w:rPr>
              <w:t>SOCIETES ETRANGERES</w:t>
            </w:r>
          </w:p>
        </w:tc>
      </w:tr>
      <w:tr w:rsidR="00B740A8" w:rsidRPr="008C1A4A" w:rsidTr="00292868">
        <w:trPr>
          <w:trHeight w:val="281"/>
        </w:trPr>
        <w:tc>
          <w:tcPr>
            <w:tcW w:w="1202" w:type="dxa"/>
            <w:gridSpan w:val="2"/>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4657" w:type="dxa"/>
            <w:shd w:val="clear" w:color="auto" w:fill="auto"/>
          </w:tcPr>
          <w:p w:rsidR="00B740A8" w:rsidRPr="00C73365" w:rsidRDefault="00B740A8" w:rsidP="008E1A39">
            <w:pPr>
              <w:pStyle w:val="ListParagraph"/>
              <w:numPr>
                <w:ilvl w:val="0"/>
                <w:numId w:val="95"/>
              </w:numPr>
              <w:spacing w:after="0"/>
              <w:ind w:left="198" w:right="-1629" w:hanging="142"/>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 comité directeur</w:t>
            </w:r>
          </w:p>
        </w:tc>
        <w:tc>
          <w:tcPr>
            <w:tcW w:w="1160" w:type="dxa"/>
            <w:gridSpan w:val="3"/>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2391" w:type="dxa"/>
            <w:gridSpan w:val="2"/>
            <w:shd w:val="clear" w:color="auto" w:fill="auto"/>
          </w:tcPr>
          <w:p w:rsidR="00B740A8" w:rsidRPr="00C73365" w:rsidRDefault="00B740A8" w:rsidP="008E1A39">
            <w:pPr>
              <w:jc w:val="left"/>
              <w:rPr>
                <w:rFonts w:asciiTheme="minorHAnsi" w:hAnsiTheme="minorHAnsi" w:cstheme="minorHAnsi"/>
                <w:color w:val="7030A0"/>
                <w:szCs w:val="20"/>
                <w:lang w:val="fr-FR" w:eastAsia="fr-FR"/>
              </w:rPr>
            </w:pPr>
            <w:r w:rsidRPr="00C73365">
              <w:rPr>
                <w:rFonts w:asciiTheme="minorHAnsi" w:hAnsiTheme="minorHAnsi" w:cstheme="minorHAnsi"/>
                <w:b/>
                <w:bCs/>
                <w:color w:val="000000"/>
                <w:szCs w:val="20"/>
                <w:lang w:val="fr-FR" w:eastAsia="fr-FR"/>
              </w:rPr>
              <w:t xml:space="preserve">National Viral Hepatitis Roundtable </w:t>
            </w:r>
            <w:r w:rsidRPr="00C73365">
              <w:rPr>
                <w:rFonts w:asciiTheme="minorHAnsi" w:hAnsiTheme="minorHAnsi" w:cstheme="minorHAnsi"/>
                <w:bCs/>
                <w:color w:val="000000"/>
                <w:szCs w:val="20"/>
                <w:lang w:val="fr-FR" w:eastAsia="fr-FR"/>
              </w:rPr>
              <w:t>(Etats-Unis, Association à but non lucratif)</w:t>
            </w:r>
          </w:p>
        </w:tc>
      </w:tr>
      <w:tr w:rsidR="00B740A8" w:rsidRPr="00C73365" w:rsidTr="00292868">
        <w:trPr>
          <w:trHeight w:val="281"/>
        </w:trPr>
        <w:tc>
          <w:tcPr>
            <w:tcW w:w="1202" w:type="dxa"/>
            <w:gridSpan w:val="2"/>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4657" w:type="dxa"/>
            <w:shd w:val="clear" w:color="auto" w:fill="auto"/>
          </w:tcPr>
          <w:p w:rsidR="008E1A39" w:rsidRDefault="00B740A8" w:rsidP="008E1A39">
            <w:pPr>
              <w:pStyle w:val="ListParagraph"/>
              <w:numPr>
                <w:ilvl w:val="0"/>
                <w:numId w:val="95"/>
              </w:numPr>
              <w:spacing w:after="0"/>
              <w:ind w:left="198" w:right="-1629" w:hanging="142"/>
              <w:jc w:val="left"/>
              <w:rPr>
                <w:rFonts w:asciiTheme="minorHAnsi" w:hAnsiTheme="minorHAnsi" w:cstheme="minorHAnsi"/>
                <w:color w:val="000000"/>
                <w:szCs w:val="20"/>
                <w:lang w:val="fr-FR" w:eastAsia="fr-FR"/>
              </w:rPr>
            </w:pPr>
            <w:r w:rsidRPr="008E1A39">
              <w:rPr>
                <w:rFonts w:asciiTheme="minorHAnsi" w:hAnsiTheme="minorHAnsi" w:cstheme="minorHAnsi"/>
                <w:color w:val="000000"/>
                <w:szCs w:val="20"/>
                <w:lang w:val="fr-FR" w:eastAsia="fr-FR"/>
              </w:rPr>
              <w:t>Membre du comité exécutif du Forum pour la</w:t>
            </w:r>
          </w:p>
          <w:p w:rsidR="008E1A39" w:rsidRDefault="00B740A8" w:rsidP="008E1A39">
            <w:pPr>
              <w:pStyle w:val="ListParagraph"/>
              <w:spacing w:after="0"/>
              <w:ind w:left="198" w:right="-1629"/>
              <w:jc w:val="left"/>
              <w:rPr>
                <w:rFonts w:asciiTheme="minorHAnsi" w:hAnsiTheme="minorHAnsi" w:cstheme="minorHAnsi"/>
                <w:color w:val="000000"/>
                <w:szCs w:val="20"/>
                <w:lang w:val="fr-FR" w:eastAsia="fr-FR"/>
              </w:rPr>
            </w:pPr>
            <w:r w:rsidRPr="008E1A39">
              <w:rPr>
                <w:rFonts w:asciiTheme="minorHAnsi" w:hAnsiTheme="minorHAnsi" w:cstheme="minorHAnsi"/>
                <w:color w:val="000000"/>
                <w:szCs w:val="20"/>
                <w:lang w:val="fr-FR" w:eastAsia="fr-FR"/>
              </w:rPr>
              <w:t>recherche concertée et membre</w:t>
            </w:r>
            <w:r w:rsidR="008E1A39">
              <w:rPr>
                <w:rFonts w:asciiTheme="minorHAnsi" w:hAnsiTheme="minorHAnsi" w:cstheme="minorHAnsi"/>
                <w:color w:val="000000"/>
                <w:szCs w:val="20"/>
                <w:lang w:val="fr-FR" w:eastAsia="fr-FR"/>
              </w:rPr>
              <w:t xml:space="preserve"> </w:t>
            </w:r>
            <w:r w:rsidRPr="008E1A39">
              <w:rPr>
                <w:rFonts w:asciiTheme="minorHAnsi" w:hAnsiTheme="minorHAnsi" w:cstheme="minorHAnsi"/>
                <w:color w:val="000000"/>
                <w:szCs w:val="20"/>
                <w:lang w:val="fr-FR" w:eastAsia="fr-FR"/>
              </w:rPr>
              <w:t>du comité</w:t>
            </w:r>
          </w:p>
          <w:p w:rsidR="008E1A39" w:rsidRDefault="00B740A8" w:rsidP="008E1A39">
            <w:pPr>
              <w:pStyle w:val="ListParagraph"/>
              <w:spacing w:after="0"/>
              <w:ind w:left="198" w:right="-1629"/>
              <w:jc w:val="left"/>
              <w:rPr>
                <w:rFonts w:asciiTheme="minorHAnsi" w:hAnsiTheme="minorHAnsi" w:cstheme="minorHAnsi"/>
                <w:color w:val="000000"/>
                <w:szCs w:val="20"/>
                <w:lang w:val="fr-FR" w:eastAsia="fr-FR"/>
              </w:rPr>
            </w:pPr>
            <w:r w:rsidRPr="008E1A39">
              <w:rPr>
                <w:rFonts w:asciiTheme="minorHAnsi" w:hAnsiTheme="minorHAnsi" w:cstheme="minorHAnsi"/>
                <w:color w:val="000000"/>
                <w:szCs w:val="20"/>
                <w:lang w:val="fr-FR" w:eastAsia="fr-FR"/>
              </w:rPr>
              <w:t>directeur du Forum Hépatite B pour la recherche</w:t>
            </w:r>
          </w:p>
          <w:p w:rsidR="00B740A8" w:rsidRDefault="00B740A8" w:rsidP="008E1A39">
            <w:pPr>
              <w:pStyle w:val="ListParagraph"/>
              <w:spacing w:after="0"/>
              <w:ind w:left="198" w:right="-1629"/>
              <w:jc w:val="left"/>
              <w:rPr>
                <w:rFonts w:asciiTheme="minorHAnsi" w:hAnsiTheme="minorHAnsi" w:cstheme="minorHAnsi"/>
                <w:color w:val="000000"/>
                <w:szCs w:val="20"/>
                <w:lang w:val="fr-FR" w:eastAsia="fr-FR"/>
              </w:rPr>
            </w:pPr>
            <w:r w:rsidRPr="008E1A39">
              <w:rPr>
                <w:rFonts w:asciiTheme="minorHAnsi" w:hAnsiTheme="minorHAnsi" w:cstheme="minorHAnsi"/>
                <w:color w:val="000000"/>
                <w:szCs w:val="20"/>
                <w:lang w:val="fr-FR" w:eastAsia="fr-FR"/>
              </w:rPr>
              <w:t>concertée</w:t>
            </w:r>
          </w:p>
          <w:p w:rsidR="008E1A39" w:rsidRPr="008E1A39" w:rsidRDefault="008E1A39" w:rsidP="008E1A39">
            <w:pPr>
              <w:pStyle w:val="ListParagraph"/>
              <w:spacing w:after="0"/>
              <w:ind w:left="198" w:right="-1629"/>
              <w:jc w:val="left"/>
              <w:rPr>
                <w:rFonts w:asciiTheme="minorHAnsi" w:hAnsiTheme="minorHAnsi" w:cstheme="minorHAnsi"/>
                <w:color w:val="000000"/>
                <w:szCs w:val="20"/>
                <w:lang w:val="fr-FR" w:eastAsia="fr-FR"/>
              </w:rPr>
            </w:pPr>
          </w:p>
        </w:tc>
        <w:tc>
          <w:tcPr>
            <w:tcW w:w="1160" w:type="dxa"/>
            <w:gridSpan w:val="3"/>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2391" w:type="dxa"/>
            <w:gridSpan w:val="2"/>
            <w:shd w:val="clear" w:color="auto" w:fill="auto"/>
          </w:tcPr>
          <w:p w:rsidR="00B740A8" w:rsidRPr="00C73365" w:rsidRDefault="00B740A8" w:rsidP="008E1A39">
            <w:pPr>
              <w:jc w:val="left"/>
              <w:rPr>
                <w:rFonts w:asciiTheme="minorHAnsi" w:hAnsiTheme="minorHAnsi" w:cstheme="minorHAnsi"/>
                <w:color w:val="7030A0"/>
                <w:szCs w:val="20"/>
                <w:lang w:eastAsia="fr-FR"/>
              </w:rPr>
            </w:pPr>
            <w:r w:rsidRPr="00C73365">
              <w:rPr>
                <w:rFonts w:asciiTheme="minorHAnsi" w:hAnsiTheme="minorHAnsi" w:cstheme="minorHAnsi"/>
                <w:b/>
                <w:bCs/>
                <w:color w:val="000000"/>
                <w:szCs w:val="20"/>
                <w:lang w:eastAsia="fr-FR"/>
              </w:rPr>
              <w:t xml:space="preserve">University of California, Berkeley, School of Public Health </w:t>
            </w:r>
            <w:r w:rsidRPr="00C73365">
              <w:rPr>
                <w:rFonts w:asciiTheme="minorHAnsi" w:hAnsiTheme="minorHAnsi" w:cstheme="minorHAnsi"/>
                <w:bCs/>
                <w:color w:val="000000"/>
                <w:szCs w:val="20"/>
                <w:lang w:eastAsia="fr-FR"/>
              </w:rPr>
              <w:t>(Etats-Unis, Université)</w:t>
            </w:r>
          </w:p>
        </w:tc>
      </w:tr>
      <w:tr w:rsidR="00B740A8" w:rsidRPr="008C1A4A" w:rsidTr="00292868">
        <w:trPr>
          <w:trHeight w:val="281"/>
        </w:trPr>
        <w:tc>
          <w:tcPr>
            <w:tcW w:w="1202" w:type="dxa"/>
            <w:gridSpan w:val="2"/>
            <w:shd w:val="clear" w:color="auto" w:fill="auto"/>
            <w:vAlign w:val="center"/>
          </w:tcPr>
          <w:p w:rsidR="00B740A8" w:rsidRPr="00C73365" w:rsidRDefault="00B740A8" w:rsidP="00292868">
            <w:pPr>
              <w:jc w:val="left"/>
              <w:rPr>
                <w:rFonts w:asciiTheme="minorHAnsi" w:hAnsiTheme="minorHAnsi" w:cstheme="minorHAnsi"/>
                <w:color w:val="000000"/>
                <w:szCs w:val="20"/>
                <w:lang w:eastAsia="fr-FR"/>
              </w:rPr>
            </w:pPr>
          </w:p>
        </w:tc>
        <w:tc>
          <w:tcPr>
            <w:tcW w:w="441" w:type="dxa"/>
            <w:gridSpan w:val="2"/>
            <w:shd w:val="clear" w:color="auto" w:fill="auto"/>
            <w:noWrap/>
          </w:tcPr>
          <w:p w:rsidR="00B740A8" w:rsidRPr="00C73365" w:rsidRDefault="00B740A8" w:rsidP="008E1A39">
            <w:pPr>
              <w:jc w:val="left"/>
              <w:rPr>
                <w:rFonts w:asciiTheme="minorHAnsi" w:hAnsiTheme="minorHAnsi" w:cstheme="minorHAnsi"/>
                <w:color w:val="000000"/>
                <w:szCs w:val="20"/>
                <w:lang w:eastAsia="fr-FR"/>
              </w:rPr>
            </w:pPr>
          </w:p>
        </w:tc>
        <w:tc>
          <w:tcPr>
            <w:tcW w:w="4657" w:type="dxa"/>
            <w:shd w:val="clear" w:color="auto" w:fill="auto"/>
          </w:tcPr>
          <w:p w:rsidR="00B740A8" w:rsidRPr="008E1A39" w:rsidRDefault="00B740A8" w:rsidP="008E1A39">
            <w:pPr>
              <w:pStyle w:val="ListParagraph"/>
              <w:numPr>
                <w:ilvl w:val="0"/>
                <w:numId w:val="95"/>
              </w:numPr>
              <w:spacing w:after="0"/>
              <w:ind w:left="198" w:right="-1629" w:hanging="142"/>
              <w:jc w:val="left"/>
              <w:rPr>
                <w:rFonts w:asciiTheme="minorHAnsi" w:hAnsiTheme="minorHAnsi" w:cstheme="minorHAnsi"/>
                <w:b/>
                <w:bCs/>
                <w:color w:val="000000"/>
                <w:szCs w:val="20"/>
                <w:lang w:val="fr-FR" w:eastAsia="fr-FR"/>
              </w:rPr>
            </w:pPr>
            <w:r w:rsidRPr="00C73365">
              <w:rPr>
                <w:rFonts w:asciiTheme="minorHAnsi" w:hAnsiTheme="minorHAnsi" w:cstheme="minorHAnsi"/>
                <w:color w:val="000000"/>
                <w:szCs w:val="20"/>
                <w:lang w:val="fr-FR" w:eastAsia="fr-FR"/>
              </w:rPr>
              <w:t>Administrateur et membre du comité scientifique</w:t>
            </w:r>
          </w:p>
          <w:p w:rsidR="008E1A39" w:rsidRDefault="008E1A39" w:rsidP="008E1A39">
            <w:pPr>
              <w:pStyle w:val="ListParagraph"/>
              <w:spacing w:after="0"/>
              <w:ind w:left="198" w:right="-1629"/>
              <w:jc w:val="left"/>
              <w:rPr>
                <w:rFonts w:asciiTheme="minorHAnsi" w:hAnsiTheme="minorHAnsi" w:cstheme="minorHAnsi"/>
                <w:b/>
                <w:bCs/>
                <w:color w:val="000000"/>
                <w:szCs w:val="20"/>
                <w:lang w:val="fr-FR" w:eastAsia="fr-FR"/>
              </w:rPr>
            </w:pPr>
          </w:p>
          <w:p w:rsidR="008E1A39" w:rsidRDefault="008E1A39" w:rsidP="008E1A39">
            <w:pPr>
              <w:pStyle w:val="ListParagraph"/>
              <w:spacing w:after="0"/>
              <w:ind w:left="198" w:right="-1629"/>
              <w:jc w:val="left"/>
              <w:rPr>
                <w:rFonts w:asciiTheme="minorHAnsi" w:hAnsiTheme="minorHAnsi" w:cstheme="minorHAnsi"/>
                <w:b/>
                <w:bCs/>
                <w:color w:val="000000"/>
                <w:szCs w:val="20"/>
                <w:lang w:val="fr-FR" w:eastAsia="fr-FR"/>
              </w:rPr>
            </w:pPr>
          </w:p>
          <w:p w:rsidR="008E1A39" w:rsidRPr="00C73365" w:rsidRDefault="008E1A39" w:rsidP="008E1A39">
            <w:pPr>
              <w:pStyle w:val="ListParagraph"/>
              <w:spacing w:after="0"/>
              <w:ind w:left="198" w:right="-1629"/>
              <w:jc w:val="left"/>
              <w:rPr>
                <w:rFonts w:asciiTheme="minorHAnsi" w:hAnsiTheme="minorHAnsi" w:cstheme="minorHAnsi"/>
                <w:b/>
                <w:bCs/>
                <w:color w:val="000000"/>
                <w:szCs w:val="20"/>
                <w:lang w:val="fr-FR" w:eastAsia="fr-FR"/>
              </w:rPr>
            </w:pPr>
          </w:p>
        </w:tc>
        <w:tc>
          <w:tcPr>
            <w:tcW w:w="1160" w:type="dxa"/>
            <w:gridSpan w:val="3"/>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2391" w:type="dxa"/>
            <w:gridSpan w:val="2"/>
            <w:shd w:val="clear" w:color="auto" w:fill="auto"/>
          </w:tcPr>
          <w:p w:rsidR="00B740A8" w:rsidRPr="00C73365" w:rsidRDefault="00B740A8" w:rsidP="008E1A39">
            <w:pPr>
              <w:jc w:val="left"/>
              <w:rPr>
                <w:rFonts w:asciiTheme="minorHAnsi" w:hAnsiTheme="minorHAnsi" w:cstheme="minorHAnsi"/>
                <w:color w:val="7030A0"/>
                <w:szCs w:val="20"/>
                <w:lang w:val="fr-FR" w:eastAsia="fr-FR"/>
              </w:rPr>
            </w:pPr>
            <w:r w:rsidRPr="00C73365">
              <w:rPr>
                <w:rFonts w:asciiTheme="minorHAnsi" w:hAnsiTheme="minorHAnsi" w:cstheme="minorHAnsi"/>
                <w:b/>
                <w:bCs/>
                <w:color w:val="000000"/>
                <w:szCs w:val="20"/>
                <w:lang w:val="fr-FR" w:eastAsia="fr-FR"/>
              </w:rPr>
              <w:t xml:space="preserve">Hepatitis B Foundation </w:t>
            </w:r>
            <w:r w:rsidRPr="00C73365">
              <w:rPr>
                <w:rFonts w:asciiTheme="minorHAnsi" w:hAnsiTheme="minorHAnsi" w:cstheme="minorHAnsi"/>
                <w:bCs/>
                <w:color w:val="000000"/>
                <w:szCs w:val="20"/>
                <w:lang w:val="fr-FR" w:eastAsia="fr-FR"/>
              </w:rPr>
              <w:t>(Etats-Unis, Association à but non lucratif)</w:t>
            </w:r>
          </w:p>
        </w:tc>
      </w:tr>
      <w:tr w:rsidR="00B740A8" w:rsidRPr="008C1A4A" w:rsidTr="00292868">
        <w:trPr>
          <w:trHeight w:val="281"/>
        </w:trPr>
        <w:tc>
          <w:tcPr>
            <w:tcW w:w="1202" w:type="dxa"/>
            <w:gridSpan w:val="2"/>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tcPr>
          <w:p w:rsidR="00B740A8" w:rsidRPr="00C73365" w:rsidRDefault="00B740A8" w:rsidP="008E1A39">
            <w:pPr>
              <w:pStyle w:val="ListParagraph"/>
              <w:ind w:left="198" w:right="-1629"/>
              <w:jc w:val="left"/>
              <w:rPr>
                <w:rFonts w:asciiTheme="minorHAnsi" w:hAnsiTheme="minorHAnsi" w:cstheme="minorHAnsi"/>
                <w:color w:val="000000"/>
                <w:szCs w:val="20"/>
                <w:lang w:val="fr-FR" w:eastAsia="fr-FR"/>
              </w:rPr>
            </w:pPr>
          </w:p>
        </w:tc>
        <w:tc>
          <w:tcPr>
            <w:tcW w:w="4657" w:type="dxa"/>
            <w:shd w:val="clear" w:color="auto" w:fill="auto"/>
          </w:tcPr>
          <w:p w:rsidR="00B740A8" w:rsidRPr="00C73365" w:rsidRDefault="00B740A8" w:rsidP="008E1A39">
            <w:pPr>
              <w:pStyle w:val="ListParagraph"/>
              <w:numPr>
                <w:ilvl w:val="0"/>
                <w:numId w:val="95"/>
              </w:numPr>
              <w:spacing w:after="0"/>
              <w:ind w:left="198" w:right="-1629" w:hanging="142"/>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160" w:type="dxa"/>
            <w:gridSpan w:val="3"/>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2391" w:type="dxa"/>
            <w:gridSpan w:val="2"/>
            <w:shd w:val="clear" w:color="auto" w:fill="auto"/>
          </w:tcPr>
          <w:p w:rsidR="00B740A8" w:rsidRDefault="00B740A8" w:rsidP="008E1A39">
            <w:pPr>
              <w:jc w:val="left"/>
              <w:rPr>
                <w:rFonts w:asciiTheme="minorHAnsi" w:hAnsiTheme="minorHAnsi" w:cstheme="minorHAnsi"/>
                <w:bCs/>
                <w:color w:val="000000"/>
                <w:szCs w:val="20"/>
                <w:lang w:val="fr-FR" w:eastAsia="fr-FR"/>
              </w:rPr>
            </w:pPr>
            <w:r w:rsidRPr="00C73365">
              <w:rPr>
                <w:rFonts w:asciiTheme="minorHAnsi" w:hAnsiTheme="minorHAnsi" w:cstheme="minorHAnsi"/>
                <w:b/>
                <w:bCs/>
                <w:color w:val="000000"/>
                <w:szCs w:val="20"/>
                <w:lang w:val="fr-FR" w:eastAsia="fr-FR"/>
              </w:rPr>
              <w:t xml:space="preserve">Berkeley Community Fund </w:t>
            </w:r>
            <w:r w:rsidRPr="00C73365">
              <w:rPr>
                <w:rFonts w:asciiTheme="minorHAnsi" w:hAnsiTheme="minorHAnsi" w:cstheme="minorHAnsi"/>
                <w:bCs/>
                <w:color w:val="000000"/>
                <w:szCs w:val="20"/>
                <w:lang w:val="fr-FR" w:eastAsia="fr-FR"/>
              </w:rPr>
              <w:t>(Etats-Unis, Association à but non lucratif)</w:t>
            </w:r>
          </w:p>
          <w:p w:rsidR="008E1A39" w:rsidRPr="00C73365" w:rsidRDefault="008E1A39" w:rsidP="008E1A39">
            <w:pPr>
              <w:jc w:val="left"/>
              <w:rPr>
                <w:rFonts w:asciiTheme="minorHAnsi" w:hAnsiTheme="minorHAnsi" w:cstheme="minorHAnsi"/>
                <w:color w:val="7030A0"/>
                <w:szCs w:val="20"/>
                <w:lang w:val="fr-FR" w:eastAsia="fr-FR"/>
              </w:rPr>
            </w:pPr>
          </w:p>
        </w:tc>
      </w:tr>
      <w:tr w:rsidR="00B740A8" w:rsidRPr="008C1A4A" w:rsidTr="00292868">
        <w:trPr>
          <w:trHeight w:val="281"/>
        </w:trPr>
        <w:tc>
          <w:tcPr>
            <w:tcW w:w="1202" w:type="dxa"/>
            <w:gridSpan w:val="2"/>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4657" w:type="dxa"/>
            <w:shd w:val="clear" w:color="auto" w:fill="auto"/>
          </w:tcPr>
          <w:p w:rsidR="00B740A8" w:rsidRDefault="00B740A8" w:rsidP="008E1A39">
            <w:pPr>
              <w:pStyle w:val="ListParagraph"/>
              <w:numPr>
                <w:ilvl w:val="0"/>
                <w:numId w:val="95"/>
              </w:numPr>
              <w:spacing w:after="0"/>
              <w:ind w:left="198" w:right="-1629" w:hanging="142"/>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comité scientifique</w:t>
            </w:r>
          </w:p>
          <w:p w:rsidR="008E1A39" w:rsidRDefault="008E1A39" w:rsidP="008E1A39">
            <w:pPr>
              <w:spacing w:after="0"/>
              <w:ind w:right="-1629"/>
              <w:jc w:val="left"/>
              <w:rPr>
                <w:rFonts w:asciiTheme="minorHAnsi" w:hAnsiTheme="minorHAnsi" w:cstheme="minorHAnsi"/>
                <w:color w:val="000000"/>
                <w:szCs w:val="20"/>
                <w:lang w:val="fr-FR" w:eastAsia="fr-FR"/>
              </w:rPr>
            </w:pPr>
          </w:p>
          <w:p w:rsidR="008E1A39" w:rsidRPr="008E1A39" w:rsidRDefault="008E1A39" w:rsidP="008E1A39">
            <w:pPr>
              <w:spacing w:after="0"/>
              <w:ind w:right="-1629"/>
              <w:jc w:val="left"/>
              <w:rPr>
                <w:rFonts w:asciiTheme="minorHAnsi" w:hAnsiTheme="minorHAnsi" w:cstheme="minorHAnsi"/>
                <w:color w:val="000000"/>
                <w:szCs w:val="20"/>
                <w:lang w:val="fr-FR" w:eastAsia="fr-FR"/>
              </w:rPr>
            </w:pPr>
          </w:p>
        </w:tc>
        <w:tc>
          <w:tcPr>
            <w:tcW w:w="1160" w:type="dxa"/>
            <w:gridSpan w:val="3"/>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2391" w:type="dxa"/>
            <w:gridSpan w:val="2"/>
            <w:shd w:val="clear" w:color="auto" w:fill="auto"/>
          </w:tcPr>
          <w:p w:rsidR="00B740A8" w:rsidRPr="00C73365" w:rsidRDefault="00B740A8" w:rsidP="008E1A39">
            <w:pPr>
              <w:jc w:val="left"/>
              <w:rPr>
                <w:rFonts w:asciiTheme="minorHAnsi" w:hAnsiTheme="minorHAnsi" w:cstheme="minorHAnsi"/>
                <w:color w:val="7030A0"/>
                <w:szCs w:val="20"/>
                <w:lang w:val="fr-FR" w:eastAsia="fr-FR"/>
              </w:rPr>
            </w:pPr>
            <w:r w:rsidRPr="00C73365">
              <w:rPr>
                <w:rFonts w:asciiTheme="minorHAnsi" w:hAnsiTheme="minorHAnsi" w:cstheme="minorHAnsi"/>
                <w:b/>
                <w:bCs/>
                <w:color w:val="000000"/>
                <w:szCs w:val="20"/>
                <w:lang w:val="fr-FR" w:eastAsia="fr-FR"/>
              </w:rPr>
              <w:t>ContraVir</w:t>
            </w:r>
            <w:r w:rsidRPr="00C73365">
              <w:rPr>
                <w:rFonts w:asciiTheme="minorHAnsi" w:hAnsiTheme="minorHAnsi" w:cstheme="minorHAnsi"/>
                <w:bCs/>
                <w:color w:val="000000"/>
                <w:szCs w:val="20"/>
                <w:lang w:val="fr-FR" w:eastAsia="fr-FR"/>
              </w:rPr>
              <w:t xml:space="preserve"> (Etats-Unis, cotée sur le NASDAQ)</w:t>
            </w:r>
          </w:p>
        </w:tc>
      </w:tr>
      <w:tr w:rsidR="00B740A8" w:rsidRPr="008C1A4A" w:rsidTr="00292868">
        <w:trPr>
          <w:trHeight w:val="281"/>
        </w:trPr>
        <w:tc>
          <w:tcPr>
            <w:tcW w:w="1202" w:type="dxa"/>
            <w:gridSpan w:val="2"/>
            <w:tcBorders>
              <w:bottom w:val="single" w:sz="4" w:space="0" w:color="7030A0"/>
            </w:tcBorders>
            <w:shd w:val="clear" w:color="auto" w:fill="auto"/>
            <w:vAlign w:val="center"/>
          </w:tcPr>
          <w:p w:rsidR="00B740A8" w:rsidRPr="00C73365" w:rsidRDefault="00B740A8" w:rsidP="00292868">
            <w:pPr>
              <w:jc w:val="left"/>
              <w:rPr>
                <w:rFonts w:asciiTheme="minorHAnsi" w:hAnsiTheme="minorHAnsi" w:cstheme="minorHAnsi"/>
                <w:color w:val="000000"/>
                <w:szCs w:val="20"/>
                <w:lang w:val="fr-FR" w:eastAsia="fr-FR"/>
              </w:rPr>
            </w:pPr>
          </w:p>
        </w:tc>
        <w:tc>
          <w:tcPr>
            <w:tcW w:w="441" w:type="dxa"/>
            <w:gridSpan w:val="2"/>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4657" w:type="dxa"/>
            <w:tcBorders>
              <w:bottom w:val="single" w:sz="4" w:space="0" w:color="7030A0"/>
            </w:tcBorders>
            <w:shd w:val="clear" w:color="auto" w:fill="auto"/>
          </w:tcPr>
          <w:p w:rsidR="00B740A8" w:rsidRPr="00C73365" w:rsidRDefault="00B740A8" w:rsidP="008E1A39">
            <w:pPr>
              <w:pStyle w:val="ListParagraph"/>
              <w:numPr>
                <w:ilvl w:val="0"/>
                <w:numId w:val="95"/>
              </w:numPr>
              <w:spacing w:after="0"/>
              <w:ind w:left="198" w:right="-1629" w:hanging="142"/>
              <w:jc w:val="lef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p w:rsidR="00B740A8" w:rsidRPr="00C73365" w:rsidRDefault="00B740A8" w:rsidP="008E1A39">
            <w:pPr>
              <w:pStyle w:val="ListParagraph"/>
              <w:ind w:left="198" w:right="-1629"/>
              <w:jc w:val="left"/>
              <w:rPr>
                <w:rFonts w:asciiTheme="minorHAnsi" w:hAnsiTheme="minorHAnsi" w:cstheme="minorHAnsi"/>
                <w:color w:val="000000"/>
                <w:szCs w:val="20"/>
                <w:lang w:val="fr-FR" w:eastAsia="fr-FR"/>
              </w:rPr>
            </w:pPr>
          </w:p>
        </w:tc>
        <w:tc>
          <w:tcPr>
            <w:tcW w:w="1160" w:type="dxa"/>
            <w:gridSpan w:val="3"/>
            <w:shd w:val="clear" w:color="auto" w:fill="auto"/>
            <w:noWrap/>
          </w:tcPr>
          <w:p w:rsidR="00B740A8" w:rsidRPr="00C73365" w:rsidRDefault="00B740A8" w:rsidP="008E1A39">
            <w:pPr>
              <w:jc w:val="left"/>
              <w:rPr>
                <w:rFonts w:asciiTheme="minorHAnsi" w:hAnsiTheme="minorHAnsi" w:cstheme="minorHAnsi"/>
                <w:color w:val="000000"/>
                <w:szCs w:val="20"/>
                <w:lang w:val="fr-FR" w:eastAsia="fr-FR"/>
              </w:rPr>
            </w:pPr>
          </w:p>
        </w:tc>
        <w:tc>
          <w:tcPr>
            <w:tcW w:w="2391" w:type="dxa"/>
            <w:gridSpan w:val="2"/>
            <w:tcBorders>
              <w:bottom w:val="single" w:sz="4" w:space="0" w:color="7030A0"/>
            </w:tcBorders>
            <w:shd w:val="clear" w:color="auto" w:fill="auto"/>
          </w:tcPr>
          <w:p w:rsidR="00B740A8" w:rsidRPr="00C73365" w:rsidRDefault="00B740A8" w:rsidP="008E1A39">
            <w:pPr>
              <w:jc w:val="left"/>
              <w:rPr>
                <w:rFonts w:asciiTheme="minorHAnsi" w:hAnsiTheme="minorHAnsi" w:cstheme="minorHAnsi"/>
                <w:bCs/>
                <w:color w:val="000000"/>
                <w:szCs w:val="20"/>
                <w:lang w:val="fr-FR" w:eastAsia="fr-FR"/>
              </w:rPr>
            </w:pPr>
            <w:r w:rsidRPr="00C73365">
              <w:rPr>
                <w:rFonts w:asciiTheme="minorHAnsi" w:hAnsiTheme="minorHAnsi" w:cstheme="minorHAnsi"/>
                <w:b/>
                <w:bCs/>
                <w:color w:val="000000"/>
                <w:szCs w:val="20"/>
                <w:lang w:val="fr-FR" w:eastAsia="fr-FR"/>
              </w:rPr>
              <w:t xml:space="preserve">Galmed Pharmaceuticals </w:t>
            </w:r>
            <w:r w:rsidRPr="00C73365">
              <w:rPr>
                <w:rFonts w:asciiTheme="minorHAnsi" w:hAnsiTheme="minorHAnsi" w:cstheme="minorHAnsi"/>
                <w:bCs/>
                <w:color w:val="000000"/>
                <w:szCs w:val="20"/>
                <w:lang w:val="fr-FR" w:eastAsia="fr-FR"/>
              </w:rPr>
              <w:t>(Israël, cotée sur le NASDAQ)</w:t>
            </w:r>
          </w:p>
          <w:p w:rsidR="00B740A8" w:rsidRPr="00C73365" w:rsidRDefault="00B740A8" w:rsidP="008E1A39">
            <w:pPr>
              <w:jc w:val="left"/>
              <w:rPr>
                <w:rFonts w:asciiTheme="minorHAnsi" w:hAnsiTheme="minorHAnsi" w:cstheme="minorHAnsi"/>
                <w:b/>
                <w:bCs/>
                <w:color w:val="000000"/>
                <w:szCs w:val="20"/>
                <w:lang w:val="fr-FR" w:eastAsia="fr-FR"/>
              </w:rPr>
            </w:pPr>
          </w:p>
          <w:p w:rsidR="00B740A8" w:rsidRPr="00C73365" w:rsidRDefault="00B740A8" w:rsidP="008E1A39">
            <w:pPr>
              <w:jc w:val="left"/>
              <w:rPr>
                <w:rFonts w:asciiTheme="minorHAnsi" w:hAnsiTheme="minorHAnsi" w:cstheme="minorHAnsi"/>
                <w:b/>
                <w:bCs/>
                <w:color w:val="000000"/>
                <w:szCs w:val="20"/>
                <w:lang w:val="fr-FR" w:eastAsia="fr-FR"/>
              </w:rPr>
            </w:pPr>
          </w:p>
          <w:p w:rsidR="00B740A8" w:rsidRPr="00C73365" w:rsidRDefault="00B740A8" w:rsidP="008E1A39">
            <w:pPr>
              <w:jc w:val="left"/>
              <w:rPr>
                <w:rFonts w:asciiTheme="minorHAnsi" w:hAnsiTheme="minorHAnsi" w:cstheme="minorHAnsi"/>
                <w:b/>
                <w:bCs/>
                <w:color w:val="000000"/>
                <w:szCs w:val="20"/>
                <w:lang w:val="fr-FR" w:eastAsia="fr-FR"/>
              </w:rPr>
            </w:pPr>
          </w:p>
          <w:p w:rsidR="00B740A8" w:rsidRPr="00C73365" w:rsidRDefault="00B740A8" w:rsidP="008E1A39">
            <w:pPr>
              <w:jc w:val="left"/>
              <w:rPr>
                <w:rFonts w:asciiTheme="minorHAnsi" w:hAnsiTheme="minorHAnsi" w:cstheme="minorHAnsi"/>
                <w:b/>
                <w:bCs/>
                <w:color w:val="000000"/>
                <w:szCs w:val="20"/>
                <w:lang w:val="fr-FR" w:eastAsia="fr-FR"/>
              </w:rPr>
            </w:pPr>
          </w:p>
        </w:tc>
      </w:tr>
      <w:tr w:rsidR="00B740A8" w:rsidRPr="00C73365" w:rsidTr="008E1A39">
        <w:trPr>
          <w:trHeight w:val="281"/>
        </w:trPr>
        <w:tc>
          <w:tcPr>
            <w:tcW w:w="1202" w:type="dxa"/>
            <w:gridSpan w:val="2"/>
            <w:tcBorders>
              <w:top w:val="single" w:sz="4" w:space="0" w:color="7030A0"/>
            </w:tcBorders>
            <w:shd w:val="clear" w:color="auto" w:fill="auto"/>
            <w:vAlign w:val="center"/>
          </w:tcPr>
          <w:p w:rsidR="00B740A8" w:rsidRPr="00C73365" w:rsidRDefault="00B740A8" w:rsidP="00D1541A">
            <w:pPr>
              <w:rPr>
                <w:rFonts w:asciiTheme="minorHAnsi" w:hAnsiTheme="minorHAnsi" w:cstheme="minorHAnsi"/>
                <w:color w:val="000000"/>
                <w:szCs w:val="20"/>
                <w:lang w:eastAsia="fr-FR"/>
              </w:rPr>
            </w:pPr>
            <w:r w:rsidRPr="00C73365">
              <w:rPr>
                <w:rFonts w:asciiTheme="minorHAnsi" w:hAnsiTheme="minorHAnsi" w:cstheme="minorHAnsi"/>
                <w:color w:val="000000"/>
                <w:szCs w:val="20"/>
                <w:lang w:eastAsia="fr-FR"/>
              </w:rPr>
              <w:t>Madame Corinna zur Bonsen- Thomas</w:t>
            </w:r>
            <w:r w:rsidRPr="00C73365">
              <w:rPr>
                <w:rFonts w:asciiTheme="minorHAnsi" w:hAnsiTheme="minorHAnsi" w:cstheme="minorHAnsi"/>
                <w:i/>
                <w:spacing w:val="-3"/>
                <w:sz w:val="22"/>
                <w:szCs w:val="22"/>
                <w:lang w:val="en-GB"/>
              </w:rPr>
              <w:t xml:space="preserve"> </w:t>
            </w:r>
          </w:p>
        </w:tc>
        <w:tc>
          <w:tcPr>
            <w:tcW w:w="441" w:type="dxa"/>
            <w:gridSpan w:val="2"/>
            <w:shd w:val="clear" w:color="auto" w:fill="auto"/>
            <w:noWrap/>
            <w:vAlign w:val="center"/>
          </w:tcPr>
          <w:p w:rsidR="00B740A8" w:rsidRPr="00C73365" w:rsidRDefault="00B740A8" w:rsidP="00D1541A">
            <w:pPr>
              <w:rPr>
                <w:rFonts w:asciiTheme="minorHAnsi" w:hAnsiTheme="minorHAnsi" w:cstheme="minorHAnsi"/>
                <w:color w:val="000000"/>
                <w:szCs w:val="20"/>
                <w:lang w:eastAsia="fr-FR"/>
              </w:rPr>
            </w:pPr>
          </w:p>
        </w:tc>
        <w:tc>
          <w:tcPr>
            <w:tcW w:w="4657" w:type="dxa"/>
            <w:tcBorders>
              <w:top w:val="single" w:sz="4" w:space="0" w:color="7030A0"/>
            </w:tcBorders>
            <w:shd w:val="clear" w:color="auto" w:fill="auto"/>
            <w:vAlign w:val="center"/>
          </w:tcPr>
          <w:p w:rsidR="00B740A8" w:rsidRPr="00C73365" w:rsidRDefault="00B740A8" w:rsidP="00D1541A">
            <w:pPr>
              <w:ind w:right="-1629"/>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tcBorders>
              <w:top w:val="single" w:sz="4" w:space="0" w:color="7030A0"/>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8E1A39">
        <w:trPr>
          <w:trHeight w:val="281"/>
        </w:trPr>
        <w:tc>
          <w:tcPr>
            <w:tcW w:w="1202" w:type="dxa"/>
            <w:gridSpan w:val="2"/>
            <w:shd w:val="clear" w:color="auto" w:fill="auto"/>
            <w:vAlign w:val="center"/>
          </w:tcPr>
          <w:p w:rsidR="00B740A8" w:rsidRPr="00C73365" w:rsidRDefault="00B740A8" w:rsidP="00D1541A">
            <w:pPr>
              <w:rPr>
                <w:rFonts w:asciiTheme="minorHAnsi" w:hAnsiTheme="minorHAnsi" w:cstheme="minorHAnsi"/>
                <w:color w:val="000000"/>
                <w:szCs w:val="20"/>
                <w:highlight w:val="yellow"/>
                <w:lang w:val="fr-FR" w:eastAsia="fr-FR"/>
              </w:rPr>
            </w:pPr>
          </w:p>
        </w:tc>
        <w:tc>
          <w:tcPr>
            <w:tcW w:w="441" w:type="dxa"/>
            <w:gridSpan w:val="2"/>
            <w:shd w:val="clear" w:color="auto" w:fill="auto"/>
            <w:noWrap/>
            <w:vAlign w:val="center"/>
          </w:tcPr>
          <w:p w:rsidR="00B740A8" w:rsidRPr="00C73365" w:rsidRDefault="00B740A8" w:rsidP="00D1541A">
            <w:pPr>
              <w:rPr>
                <w:rFonts w:asciiTheme="minorHAnsi" w:hAnsiTheme="minorHAnsi" w:cstheme="minorHAnsi"/>
                <w:color w:val="000000"/>
                <w:szCs w:val="20"/>
                <w:highlight w:val="yellow"/>
                <w:lang w:val="fr-FR" w:eastAsia="fr-FR"/>
              </w:rPr>
            </w:pPr>
          </w:p>
        </w:tc>
        <w:tc>
          <w:tcPr>
            <w:tcW w:w="4657" w:type="dxa"/>
            <w:shd w:val="clear" w:color="auto" w:fill="auto"/>
            <w:vAlign w:val="center"/>
          </w:tcPr>
          <w:p w:rsidR="00B740A8" w:rsidRPr="00C73365" w:rsidRDefault="00B740A8" w:rsidP="00D1541A">
            <w:pPr>
              <w:rPr>
                <w:rFonts w:asciiTheme="minorHAnsi" w:hAnsiTheme="minorHAnsi" w:cstheme="minorHAnsi"/>
                <w:b/>
                <w:bCs/>
                <w:highlight w:val="yellow"/>
                <w:lang w:val="fr-FR" w:eastAsia="fr-FR"/>
              </w:rPr>
            </w:pPr>
          </w:p>
        </w:tc>
        <w:tc>
          <w:tcPr>
            <w:tcW w:w="1160" w:type="dxa"/>
            <w:gridSpan w:val="3"/>
            <w:shd w:val="clear" w:color="auto" w:fill="auto"/>
            <w:noWrap/>
            <w:vAlign w:val="center"/>
          </w:tcPr>
          <w:p w:rsidR="00B740A8" w:rsidRPr="00C73365" w:rsidRDefault="00B740A8" w:rsidP="00D1541A">
            <w:pPr>
              <w:rPr>
                <w:rFonts w:asciiTheme="minorHAnsi" w:hAnsiTheme="minorHAnsi" w:cstheme="minorHAnsi"/>
                <w:color w:val="000000"/>
                <w:szCs w:val="20"/>
                <w:lang w:val="fr-FR" w:eastAsia="fr-FR"/>
              </w:rPr>
            </w:pPr>
          </w:p>
        </w:tc>
        <w:tc>
          <w:tcPr>
            <w:tcW w:w="2391" w:type="dxa"/>
            <w:gridSpan w:val="2"/>
            <w:shd w:val="clear" w:color="auto" w:fill="auto"/>
            <w:vAlign w:val="center"/>
          </w:tcPr>
          <w:p w:rsidR="00B740A8" w:rsidRPr="00C73365" w:rsidRDefault="00B740A8" w:rsidP="00D1541A">
            <w:pPr>
              <w:rPr>
                <w:rFonts w:asciiTheme="minorHAnsi" w:hAnsiTheme="minorHAnsi" w:cstheme="minorHAnsi"/>
                <w:b/>
                <w:bCs/>
                <w:color w:val="000000"/>
                <w:szCs w:val="20"/>
                <w:lang w:val="fr-FR" w:eastAsia="fr-FR"/>
              </w:rPr>
            </w:pPr>
          </w:p>
        </w:tc>
      </w:tr>
    </w:tbl>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Mandats exercés par les administrateurs au cours des cinq derniers exercices et ayant cessé à ce jour </w:t>
      </w:r>
    </w:p>
    <w:tbl>
      <w:tblPr>
        <w:tblW w:w="10034" w:type="dxa"/>
        <w:tblCellMar>
          <w:left w:w="70" w:type="dxa"/>
          <w:right w:w="70" w:type="dxa"/>
        </w:tblCellMar>
        <w:tblLook w:val="04A0" w:firstRow="1" w:lastRow="0" w:firstColumn="1" w:lastColumn="0" w:noHBand="0" w:noVBand="1"/>
      </w:tblPr>
      <w:tblGrid>
        <w:gridCol w:w="3212"/>
        <w:gridCol w:w="169"/>
        <w:gridCol w:w="3319"/>
        <w:gridCol w:w="166"/>
        <w:gridCol w:w="3168"/>
      </w:tblGrid>
      <w:tr w:rsidR="00B740A8" w:rsidRPr="00C73365" w:rsidTr="00D1541A">
        <w:trPr>
          <w:trHeight w:val="509"/>
        </w:trPr>
        <w:tc>
          <w:tcPr>
            <w:tcW w:w="3212" w:type="dxa"/>
            <w:tcBorders>
              <w:top w:val="single" w:sz="12" w:space="0" w:color="7030A0"/>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Nom</w:t>
            </w:r>
          </w:p>
        </w:tc>
        <w:tc>
          <w:tcPr>
            <w:tcW w:w="169"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3319" w:type="dxa"/>
            <w:tcBorders>
              <w:top w:val="single" w:sz="12" w:space="0" w:color="7030A0"/>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Nature du mandat</w:t>
            </w:r>
          </w:p>
        </w:tc>
        <w:tc>
          <w:tcPr>
            <w:tcW w:w="166"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p>
        </w:tc>
        <w:tc>
          <w:tcPr>
            <w:tcW w:w="3168" w:type="dxa"/>
            <w:tcBorders>
              <w:top w:val="single" w:sz="12" w:space="0" w:color="7030A0"/>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Société</w:t>
            </w:r>
          </w:p>
        </w:tc>
      </w:tr>
      <w:tr w:rsidR="00B740A8" w:rsidRPr="00C73365" w:rsidTr="00D1541A">
        <w:trPr>
          <w:trHeight w:val="423"/>
        </w:trPr>
        <w:tc>
          <w:tcPr>
            <w:tcW w:w="3212" w:type="dxa"/>
            <w:tcBorders>
              <w:top w:val="single" w:sz="4" w:space="0" w:color="7030A0"/>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Philippe Pouletty</w:t>
            </w: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single" w:sz="4" w:space="0" w:color="7030A0"/>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single" w:sz="4" w:space="0" w:color="7030A0"/>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Carbios SA</w:t>
            </w:r>
          </w:p>
        </w:tc>
      </w:tr>
      <w:tr w:rsidR="00B740A8" w:rsidRPr="00C73365" w:rsidTr="00D1541A">
        <w:trPr>
          <w:trHeight w:val="423"/>
        </w:trPr>
        <w:tc>
          <w:tcPr>
            <w:tcW w:w="3212"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highlight w:val="green"/>
                <w:lang w:val="fr-FR" w:eastAsia="fr-FR"/>
              </w:rPr>
            </w:pPr>
          </w:p>
        </w:tc>
        <w:tc>
          <w:tcPr>
            <w:tcW w:w="169"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6"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Théraclion SA</w:t>
            </w:r>
          </w:p>
          <w:p w:rsidR="00B740A8" w:rsidRPr="00C73365" w:rsidRDefault="00B740A8" w:rsidP="00D1541A">
            <w:pPr>
              <w:rPr>
                <w:rFonts w:asciiTheme="minorHAnsi" w:hAnsiTheme="minorHAnsi" w:cstheme="minorHAnsi"/>
                <w:b/>
                <w:bCs/>
                <w:color w:val="000000"/>
                <w:szCs w:val="20"/>
                <w:lang w:val="fr-FR" w:eastAsia="fr-FR"/>
              </w:rPr>
            </w:pPr>
          </w:p>
        </w:tc>
      </w:tr>
      <w:tr w:rsidR="00292C15" w:rsidRPr="00292C15" w:rsidTr="00D1541A">
        <w:trPr>
          <w:trHeight w:val="423"/>
        </w:trPr>
        <w:tc>
          <w:tcPr>
            <w:tcW w:w="3212" w:type="dxa"/>
            <w:tcBorders>
              <w:top w:val="nil"/>
              <w:left w:val="nil"/>
              <w:bottom w:val="nil"/>
              <w:right w:val="nil"/>
            </w:tcBorders>
            <w:shd w:val="clear" w:color="auto" w:fill="auto"/>
            <w:noWrap/>
          </w:tcPr>
          <w:p w:rsidR="00292C15" w:rsidRPr="00C73365" w:rsidRDefault="00292868" w:rsidP="00D1541A">
            <w:pPr>
              <w:rPr>
                <w:rFonts w:asciiTheme="minorHAnsi" w:hAnsiTheme="minorHAnsi" w:cstheme="minorHAnsi"/>
                <w:color w:val="000000"/>
                <w:szCs w:val="20"/>
                <w:highlight w:val="green"/>
                <w:lang w:val="fr-FR" w:eastAsia="fr-FR"/>
              </w:rPr>
            </w:pPr>
            <w:r w:rsidRPr="00C73365">
              <w:rPr>
                <w:rFonts w:asciiTheme="minorHAnsi" w:hAnsiTheme="minorHAnsi" w:cstheme="minorHAnsi"/>
                <w:color w:val="000000"/>
                <w:szCs w:val="20"/>
                <w:lang w:val="fr-FR" w:eastAsia="fr-FR"/>
              </w:rPr>
              <w:lastRenderedPageBreak/>
              <w:t>Monsieur Philippe Pouletty</w:t>
            </w:r>
          </w:p>
        </w:tc>
        <w:tc>
          <w:tcPr>
            <w:tcW w:w="169" w:type="dxa"/>
            <w:tcBorders>
              <w:top w:val="nil"/>
              <w:left w:val="nil"/>
              <w:bottom w:val="nil"/>
              <w:right w:val="nil"/>
            </w:tcBorders>
            <w:shd w:val="clear" w:color="auto" w:fill="auto"/>
            <w:noWrap/>
          </w:tcPr>
          <w:p w:rsidR="00292C15" w:rsidRPr="00C73365" w:rsidRDefault="00292C15"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tcPr>
          <w:p w:rsidR="00292C15" w:rsidRPr="00C73365" w:rsidRDefault="00292C15"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6" w:type="dxa"/>
            <w:tcBorders>
              <w:top w:val="nil"/>
              <w:left w:val="nil"/>
              <w:bottom w:val="nil"/>
              <w:right w:val="nil"/>
            </w:tcBorders>
            <w:shd w:val="clear" w:color="auto" w:fill="auto"/>
            <w:noWrap/>
          </w:tcPr>
          <w:p w:rsidR="00292C15" w:rsidRPr="00C73365" w:rsidRDefault="00292C15"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tcPr>
          <w:p w:rsidR="00292C15" w:rsidRPr="00C73365" w:rsidRDefault="00292C15" w:rsidP="00D1541A">
            <w:pPr>
              <w:rPr>
                <w:rFonts w:asciiTheme="minorHAnsi" w:hAnsiTheme="minorHAnsi" w:cstheme="minorHAnsi"/>
                <w:b/>
                <w:bCs/>
                <w:color w:val="000000"/>
                <w:szCs w:val="20"/>
                <w:lang w:val="fr-FR" w:eastAsia="fr-FR"/>
              </w:rPr>
            </w:pPr>
            <w:r>
              <w:rPr>
                <w:rFonts w:asciiTheme="minorHAnsi" w:hAnsiTheme="minorHAnsi" w:cstheme="minorHAnsi"/>
                <w:b/>
                <w:bCs/>
                <w:color w:val="000000"/>
                <w:szCs w:val="20"/>
                <w:lang w:val="fr-FR" w:eastAsia="fr-FR"/>
              </w:rPr>
              <w:t>Vexim SA</w:t>
            </w:r>
          </w:p>
        </w:tc>
      </w:tr>
      <w:tr w:rsidR="00B740A8" w:rsidRPr="00C73365" w:rsidTr="00D1541A">
        <w:trPr>
          <w:trHeight w:val="423"/>
        </w:trPr>
        <w:tc>
          <w:tcPr>
            <w:tcW w:w="3212"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highlight w:val="green"/>
                <w:lang w:val="fr-FR" w:eastAsia="fr-FR"/>
              </w:rPr>
            </w:pPr>
          </w:p>
        </w:tc>
        <w:tc>
          <w:tcPr>
            <w:tcW w:w="169"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 permanent de Truffle Capital, Administrateur</w:t>
            </w:r>
          </w:p>
        </w:tc>
        <w:tc>
          <w:tcPr>
            <w:tcW w:w="166"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Theradiag SA</w:t>
            </w:r>
          </w:p>
        </w:tc>
      </w:tr>
      <w:tr w:rsidR="00B740A8" w:rsidRPr="00C73365" w:rsidTr="00D1541A">
        <w:trPr>
          <w:trHeight w:val="423"/>
        </w:trPr>
        <w:tc>
          <w:tcPr>
            <w:tcW w:w="3212"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highlight w:val="green"/>
                <w:lang w:val="fr-FR" w:eastAsia="fr-FR"/>
              </w:rPr>
            </w:pPr>
          </w:p>
        </w:tc>
        <w:tc>
          <w:tcPr>
            <w:tcW w:w="169"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d’administration (novembre 2010 à mai 2012)</w:t>
            </w:r>
          </w:p>
        </w:tc>
        <w:tc>
          <w:tcPr>
            <w:tcW w:w="166"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Theradiag SA</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Président Directeur Général </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Theradiag SA</w:t>
            </w:r>
          </w:p>
        </w:tc>
      </w:tr>
      <w:tr w:rsidR="00B740A8" w:rsidRPr="00C73365" w:rsidTr="00D1541A">
        <w:trPr>
          <w:trHeight w:val="283"/>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D1541A">
            <w:pPr>
              <w:pStyle w:val="ListParagraph"/>
              <w:ind w:left="198"/>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(octobre 2009 à novembre 2010)</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r>
      <w:tr w:rsidR="00B740A8" w:rsidRPr="00C73365" w:rsidTr="00D1541A">
        <w:trPr>
          <w:trHeight w:val="177"/>
        </w:trPr>
        <w:tc>
          <w:tcPr>
            <w:tcW w:w="3212" w:type="dxa"/>
            <w:tcBorders>
              <w:top w:val="nil"/>
              <w:left w:val="nil"/>
              <w:bottom w:val="nil"/>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 conseil de surveillance</w:t>
            </w:r>
          </w:p>
        </w:tc>
        <w:tc>
          <w:tcPr>
            <w:tcW w:w="166"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szCs w:val="20"/>
                <w:lang w:val="fr-FR" w:eastAsia="fr-FR"/>
              </w:rPr>
            </w:pPr>
            <w:r w:rsidRPr="00C73365">
              <w:rPr>
                <w:rFonts w:asciiTheme="minorHAnsi" w:hAnsiTheme="minorHAnsi" w:cstheme="minorHAnsi"/>
                <w:b/>
                <w:bCs/>
                <w:color w:val="000000"/>
                <w:szCs w:val="20"/>
                <w:lang w:val="fr-FR" w:eastAsia="fr-FR"/>
              </w:rPr>
              <w:t>Innate Pharma SA</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(de 2001 à 2009)</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France Biotech</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et 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Splicos SAS</w:t>
            </w:r>
          </w:p>
        </w:tc>
      </w:tr>
      <w:tr w:rsidR="00B740A8" w:rsidRPr="00C73365" w:rsidTr="00D1541A">
        <w:trPr>
          <w:trHeight w:val="35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 conseil de surveillance</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Cytomics SA</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D1541A">
            <w:pPr>
              <w:pStyle w:val="ListParagraph"/>
              <w:ind w:left="198"/>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(jusqu’en décembre 2010)</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Wittycell SAS</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Administrateur </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Neovacs SA</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Symetis </w:t>
            </w:r>
            <w:r w:rsidRPr="00C73365">
              <w:rPr>
                <w:rFonts w:asciiTheme="minorHAnsi" w:hAnsiTheme="minorHAnsi" w:cstheme="minorHAnsi"/>
                <w:color w:val="000000"/>
                <w:szCs w:val="20"/>
                <w:lang w:val="fr-FR" w:eastAsia="fr-FR"/>
              </w:rPr>
              <w:t>(Suisse)</w:t>
            </w:r>
          </w:p>
        </w:tc>
      </w:tr>
      <w:tr w:rsidR="00B740A8" w:rsidRPr="00C73365" w:rsidTr="00D1541A">
        <w:trPr>
          <w:trHeight w:val="177"/>
        </w:trPr>
        <w:tc>
          <w:tcPr>
            <w:tcW w:w="3212" w:type="dxa"/>
            <w:tcBorders>
              <w:top w:val="nil"/>
              <w:left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Myopowers </w:t>
            </w:r>
            <w:r w:rsidRPr="00C73365">
              <w:rPr>
                <w:rFonts w:asciiTheme="minorHAnsi" w:hAnsiTheme="minorHAnsi" w:cstheme="minorHAnsi"/>
                <w:color w:val="000000"/>
                <w:szCs w:val="20"/>
                <w:lang w:val="fr-FR" w:eastAsia="fr-FR"/>
              </w:rPr>
              <w:t>(Suisse)</w:t>
            </w:r>
          </w:p>
        </w:tc>
      </w:tr>
      <w:tr w:rsidR="00B740A8" w:rsidRPr="00C73365" w:rsidTr="00D1541A">
        <w:trPr>
          <w:trHeight w:val="177"/>
        </w:trPr>
        <w:tc>
          <w:tcPr>
            <w:tcW w:w="3212" w:type="dxa"/>
            <w:tcBorders>
              <w:top w:val="nil"/>
              <w:left w:val="nil"/>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right w:val="nil"/>
            </w:tcBorders>
            <w:shd w:val="clear" w:color="auto" w:fill="auto"/>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Altimmune Ltd </w:t>
            </w:r>
            <w:r w:rsidRPr="00C73365">
              <w:rPr>
                <w:rFonts w:asciiTheme="minorHAnsi" w:hAnsiTheme="minorHAnsi" w:cstheme="minorHAnsi"/>
                <w:bCs/>
                <w:color w:val="000000"/>
                <w:szCs w:val="20"/>
                <w:lang w:val="fr-FR" w:eastAsia="fr-FR"/>
              </w:rPr>
              <w:t>(Etats-Unis)</w:t>
            </w:r>
          </w:p>
        </w:tc>
      </w:tr>
      <w:tr w:rsidR="00B740A8" w:rsidRPr="00C73365" w:rsidTr="00D1541A">
        <w:trPr>
          <w:trHeight w:val="177"/>
        </w:trPr>
        <w:tc>
          <w:tcPr>
            <w:tcW w:w="3212"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single" w:sz="4" w:space="0" w:color="7030A0"/>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Représentant</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Plasmaprime SA</w:t>
            </w:r>
          </w:p>
        </w:tc>
      </w:tr>
      <w:tr w:rsidR="00B740A8" w:rsidRPr="008C1A4A" w:rsidTr="00D1541A">
        <w:trPr>
          <w:trHeight w:val="357"/>
        </w:trPr>
        <w:tc>
          <w:tcPr>
            <w:tcW w:w="3212" w:type="dxa"/>
            <w:tcBorders>
              <w:top w:val="single" w:sz="4" w:space="0" w:color="7030A0"/>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 Joy Amundson</w:t>
            </w: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single" w:sz="4" w:space="0" w:color="7030A0"/>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single" w:sz="4" w:space="0" w:color="7030A0"/>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 xml:space="preserve">Baxter Bioscience Corporation </w:t>
            </w:r>
            <w:r w:rsidRPr="00C73365">
              <w:rPr>
                <w:rFonts w:asciiTheme="minorHAnsi" w:hAnsiTheme="minorHAnsi" w:cstheme="minorHAnsi"/>
                <w:color w:val="000000"/>
                <w:szCs w:val="20"/>
                <w:lang w:val="fr-FR" w:eastAsia="fr-FR"/>
              </w:rPr>
              <w:t>(Etats-Unis)</w:t>
            </w:r>
          </w:p>
        </w:tc>
      </w:tr>
      <w:tr w:rsidR="00B740A8" w:rsidRPr="008C1A4A" w:rsidTr="00D1541A">
        <w:trPr>
          <w:trHeight w:val="35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Vice-Président (Corporate Vice-President)</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Baxter International, Inc.</w:t>
            </w:r>
            <w:r w:rsidRPr="00C73365">
              <w:rPr>
                <w:rFonts w:asciiTheme="minorHAnsi" w:hAnsiTheme="minorHAnsi" w:cstheme="minorHAnsi"/>
                <w:color w:val="000000"/>
                <w:szCs w:val="20"/>
                <w:lang w:val="fr-FR" w:eastAsia="fr-FR"/>
              </w:rPr>
              <w:t xml:space="preserve"> (Etats-Unis) (cotée sur le New York Stock Exchange)</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 xml:space="preserve">Apatech, Inc. </w:t>
            </w:r>
            <w:r w:rsidRPr="00C73365">
              <w:rPr>
                <w:rFonts w:asciiTheme="minorHAnsi" w:hAnsiTheme="minorHAnsi" w:cstheme="minorHAnsi"/>
                <w:color w:val="000000"/>
                <w:szCs w:val="20"/>
                <w:lang w:val="fr-FR" w:eastAsia="fr-FR"/>
              </w:rPr>
              <w:t xml:space="preserve">(Etats-Unis) </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Covidien Plc.</w:t>
            </w:r>
            <w:r w:rsidRPr="00C73365">
              <w:rPr>
                <w:rFonts w:asciiTheme="minorHAnsi" w:hAnsiTheme="minorHAnsi" w:cstheme="minorHAnsi"/>
                <w:color w:val="000000"/>
                <w:szCs w:val="20"/>
                <w:lang w:val="fr-FR" w:eastAsia="fr-FR"/>
              </w:rPr>
              <w:t xml:space="preserve"> (Etats-Unis)</w:t>
            </w:r>
          </w:p>
        </w:tc>
      </w:tr>
      <w:tr w:rsidR="00B740A8" w:rsidRPr="00C73365" w:rsidTr="00D1541A">
        <w:trPr>
          <w:trHeight w:val="357"/>
        </w:trPr>
        <w:tc>
          <w:tcPr>
            <w:tcW w:w="3212"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eastAsia="fr-FR"/>
              </w:rPr>
            </w:pPr>
            <w:r w:rsidRPr="00C73365">
              <w:rPr>
                <w:rFonts w:asciiTheme="minorHAnsi" w:hAnsiTheme="minorHAnsi" w:cstheme="minorHAnsi"/>
                <w:color w:val="000000"/>
                <w:szCs w:val="20"/>
                <w:lang w:eastAsia="fr-FR"/>
              </w:rPr>
              <w:t>cotée sur New York Stock Exchange</w:t>
            </w:r>
          </w:p>
        </w:tc>
      </w:tr>
      <w:tr w:rsidR="00B740A8" w:rsidRPr="00C73365" w:rsidTr="00D1541A">
        <w:trPr>
          <w:trHeight w:val="177"/>
        </w:trPr>
        <w:tc>
          <w:tcPr>
            <w:tcW w:w="3212" w:type="dxa"/>
            <w:tcBorders>
              <w:top w:val="nil"/>
              <w:left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Claude Bertrand</w:t>
            </w:r>
          </w:p>
        </w:tc>
        <w:tc>
          <w:tcPr>
            <w:tcW w:w="169" w:type="dxa"/>
            <w:tcBorders>
              <w:top w:val="nil"/>
              <w:left w:val="nil"/>
              <w:bottom w:val="nil"/>
              <w:right w:val="nil"/>
            </w:tcBorders>
            <w:shd w:val="clear" w:color="auto" w:fill="auto"/>
            <w:noWrap/>
            <w:hideMark/>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3319" w:type="dxa"/>
            <w:tcBorders>
              <w:top w:val="nil"/>
              <w:left w:val="nil"/>
              <w:right w:val="nil"/>
            </w:tcBorders>
            <w:shd w:val="clear" w:color="auto" w:fill="auto"/>
            <w:hideMark/>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Splicos SAS</w:t>
            </w:r>
          </w:p>
        </w:tc>
      </w:tr>
      <w:tr w:rsidR="00B740A8" w:rsidRPr="00C73365" w:rsidTr="00D1541A">
        <w:trPr>
          <w:trHeight w:val="177"/>
        </w:trPr>
        <w:tc>
          <w:tcPr>
            <w:tcW w:w="3212" w:type="dxa"/>
            <w:tcBorders>
              <w:top w:val="nil"/>
              <w:left w:val="nil"/>
              <w:right w:val="nil"/>
            </w:tcBorders>
            <w:shd w:val="clear" w:color="auto" w:fill="auto"/>
          </w:tcPr>
          <w:p w:rsidR="00B740A8" w:rsidRPr="00C73365" w:rsidRDefault="00B740A8" w:rsidP="00D1541A">
            <w:pPr>
              <w:rPr>
                <w:rFonts w:asciiTheme="minorHAnsi" w:hAnsiTheme="minorHAnsi" w:cstheme="minorHAnsi"/>
                <w:color w:val="000000"/>
                <w:szCs w:val="20"/>
                <w:lang w:val="fr-FR" w:eastAsia="fr-FR"/>
              </w:rPr>
            </w:pPr>
          </w:p>
        </w:tc>
        <w:tc>
          <w:tcPr>
            <w:tcW w:w="169" w:type="dxa"/>
            <w:tcBorders>
              <w:top w:val="nil"/>
              <w:left w:val="nil"/>
              <w:bottom w:val="nil"/>
              <w:right w:val="nil"/>
            </w:tcBorders>
            <w:shd w:val="clear" w:color="auto" w:fill="auto"/>
            <w:noWrap/>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3319" w:type="dxa"/>
            <w:tcBorders>
              <w:top w:val="nil"/>
              <w:left w:val="nil"/>
              <w:right w:val="nil"/>
            </w:tcBorders>
            <w:shd w:val="clear" w:color="auto" w:fill="auto"/>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INSERM</w:t>
            </w:r>
          </w:p>
        </w:tc>
      </w:tr>
      <w:tr w:rsidR="00B740A8" w:rsidRPr="00C73365" w:rsidTr="00D1541A">
        <w:trPr>
          <w:trHeight w:val="177"/>
        </w:trPr>
        <w:tc>
          <w:tcPr>
            <w:tcW w:w="3212" w:type="dxa"/>
            <w:tcBorders>
              <w:left w:val="nil"/>
              <w:bottom w:val="single" w:sz="4" w:space="0" w:color="7030A0"/>
              <w:right w:val="nil"/>
            </w:tcBorders>
            <w:shd w:val="clear" w:color="auto" w:fill="auto"/>
          </w:tcPr>
          <w:p w:rsidR="00B740A8" w:rsidRPr="00C73365" w:rsidRDefault="00B740A8" w:rsidP="00D1541A">
            <w:pPr>
              <w:rPr>
                <w:rFonts w:asciiTheme="minorHAnsi" w:hAnsiTheme="minorHAnsi" w:cstheme="minorHAnsi"/>
                <w:color w:val="000000"/>
                <w:szCs w:val="20"/>
                <w:lang w:val="fr-FR" w:eastAsia="fr-FR"/>
              </w:rPr>
            </w:pPr>
          </w:p>
        </w:tc>
        <w:tc>
          <w:tcPr>
            <w:tcW w:w="169" w:type="dxa"/>
            <w:tcBorders>
              <w:top w:val="nil"/>
              <w:left w:val="nil"/>
              <w:bottom w:val="nil"/>
              <w:right w:val="nil"/>
            </w:tcBorders>
            <w:shd w:val="clear" w:color="auto" w:fill="auto"/>
            <w:noWrap/>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3319" w:type="dxa"/>
            <w:tcBorders>
              <w:left w:val="nil"/>
              <w:bottom w:val="single" w:sz="4" w:space="0" w:color="7030A0"/>
              <w:right w:val="nil"/>
            </w:tcBorders>
            <w:shd w:val="clear" w:color="auto" w:fill="auto"/>
          </w:tcPr>
          <w:p w:rsidR="00B740A8" w:rsidRPr="00C73365" w:rsidRDefault="00B740A8" w:rsidP="00434C49">
            <w:pPr>
              <w:pStyle w:val="ListParagraph"/>
              <w:numPr>
                <w:ilvl w:val="0"/>
                <w:numId w:val="95"/>
              </w:numPr>
              <w:spacing w:after="0"/>
              <w:ind w:left="198"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Directeur général</w:t>
            </w:r>
          </w:p>
        </w:tc>
        <w:tc>
          <w:tcPr>
            <w:tcW w:w="166" w:type="dxa"/>
            <w:tcBorders>
              <w:left w:val="nil"/>
              <w:bottom w:val="nil"/>
              <w:right w:val="nil"/>
            </w:tcBorders>
            <w:shd w:val="clear" w:color="auto" w:fill="auto"/>
            <w:noWrap/>
          </w:tcPr>
          <w:p w:rsidR="00B740A8" w:rsidRPr="00C73365" w:rsidRDefault="00B740A8" w:rsidP="00D1541A">
            <w:pPr>
              <w:rPr>
                <w:rFonts w:asciiTheme="minorHAnsi" w:hAnsiTheme="minorHAnsi" w:cstheme="minorHAnsi"/>
                <w:b/>
                <w:bCs/>
                <w:color w:val="000000"/>
                <w:szCs w:val="20"/>
                <w:lang w:val="fr-FR" w:eastAsia="fr-FR"/>
              </w:rPr>
            </w:pPr>
          </w:p>
        </w:tc>
        <w:tc>
          <w:tcPr>
            <w:tcW w:w="3168" w:type="dxa"/>
            <w:tcBorders>
              <w:left w:val="nil"/>
              <w:bottom w:val="single" w:sz="4" w:space="0" w:color="7030A0"/>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Ipsen Innovation SAS</w:t>
            </w:r>
          </w:p>
        </w:tc>
      </w:tr>
      <w:tr w:rsidR="00B740A8" w:rsidRPr="00C73365" w:rsidTr="00D1541A">
        <w:trPr>
          <w:trHeight w:val="357"/>
        </w:trPr>
        <w:tc>
          <w:tcPr>
            <w:tcW w:w="3212"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Monsieur Jean-Jacques Bertrand</w:t>
            </w: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de surveillance</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Cytheris, Inc</w:t>
            </w:r>
          </w:p>
        </w:tc>
      </w:tr>
      <w:tr w:rsidR="00B740A8" w:rsidRPr="008C1A4A" w:rsidTr="00D1541A">
        <w:trPr>
          <w:trHeight w:val="35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de surveillance</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Guerbet SA </w:t>
            </w:r>
          </w:p>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Cs/>
                <w:color w:val="000000"/>
                <w:szCs w:val="20"/>
                <w:lang w:val="fr-FR" w:eastAsia="fr-FR"/>
              </w:rPr>
              <w:t>(c</w:t>
            </w:r>
            <w:r w:rsidRPr="00C73365">
              <w:rPr>
                <w:rFonts w:asciiTheme="minorHAnsi" w:hAnsiTheme="minorHAnsi" w:cstheme="minorHAnsi"/>
                <w:color w:val="000000"/>
                <w:szCs w:val="20"/>
                <w:lang w:val="fr-FR" w:eastAsia="fr-FR"/>
              </w:rPr>
              <w:t>otée sur Euronext Paris, compartiment B)</w:t>
            </w:r>
          </w:p>
        </w:tc>
      </w:tr>
      <w:tr w:rsidR="00B740A8" w:rsidRPr="008C1A4A" w:rsidTr="00D1541A">
        <w:trPr>
          <w:trHeight w:val="357"/>
        </w:trPr>
        <w:tc>
          <w:tcPr>
            <w:tcW w:w="3212"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single" w:sz="4" w:space="0" w:color="7030A0"/>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Fondation de la Recherche Médicale</w:t>
            </w:r>
          </w:p>
        </w:tc>
      </w:tr>
      <w:tr w:rsidR="00B740A8" w:rsidRPr="00C73365" w:rsidTr="00D1541A">
        <w:trPr>
          <w:trHeight w:val="35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Monsieur Antonino Ligresti </w:t>
            </w: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du conseil d’administration</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Générale de Santé</w:t>
            </w:r>
          </w:p>
        </w:tc>
      </w:tr>
      <w:tr w:rsidR="00B740A8" w:rsidRPr="00C73365" w:rsidTr="00D1541A">
        <w:trPr>
          <w:trHeight w:val="177"/>
        </w:trPr>
        <w:tc>
          <w:tcPr>
            <w:tcW w:w="3212"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p>
        </w:tc>
        <w:tc>
          <w:tcPr>
            <w:tcW w:w="169"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319" w:type="dxa"/>
            <w:tcBorders>
              <w:top w:val="nil"/>
              <w:left w:val="nil"/>
              <w:bottom w:val="single" w:sz="4" w:space="0" w:color="7030A0"/>
              <w:right w:val="nil"/>
            </w:tcBorders>
            <w:shd w:val="clear" w:color="auto" w:fill="auto"/>
            <w:hideMark/>
          </w:tcPr>
          <w:p w:rsidR="00B740A8" w:rsidRPr="00C73365" w:rsidRDefault="00B740A8" w:rsidP="00D1541A">
            <w:pPr>
              <w:pStyle w:val="ListParagraph"/>
              <w:ind w:left="198"/>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et actionnaire de référence</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single" w:sz="4" w:space="0" w:color="7030A0"/>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B740A8" w:rsidRPr="00C73365" w:rsidTr="00D1541A">
        <w:trPr>
          <w:trHeight w:val="177"/>
        </w:trPr>
        <w:tc>
          <w:tcPr>
            <w:tcW w:w="3212" w:type="dxa"/>
            <w:tcBorders>
              <w:top w:val="single" w:sz="4" w:space="0" w:color="7030A0"/>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Monsieur Christian Pierret en tant que représentant de Truffle Capital </w:t>
            </w:r>
          </w:p>
        </w:tc>
        <w:tc>
          <w:tcPr>
            <w:tcW w:w="169" w:type="dxa"/>
            <w:tcBorders>
              <w:top w:val="nil"/>
              <w:left w:val="nil"/>
              <w:bottom w:val="nil"/>
              <w:right w:val="nil"/>
            </w:tcBorders>
            <w:shd w:val="clear" w:color="auto" w:fill="auto"/>
            <w:noWrap/>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3319" w:type="dxa"/>
            <w:tcBorders>
              <w:top w:val="single" w:sz="4" w:space="0" w:color="7030A0"/>
              <w:left w:val="nil"/>
              <w:bottom w:val="single" w:sz="4" w:space="0" w:color="7030A0"/>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Président directeur général</w:t>
            </w:r>
          </w:p>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single" w:sz="4" w:space="0" w:color="7030A0"/>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SEV</w:t>
            </w:r>
          </w:p>
          <w:p w:rsidR="00B740A8" w:rsidRPr="00C73365" w:rsidRDefault="00B740A8" w:rsidP="00D1541A">
            <w:pPr>
              <w:rPr>
                <w:rFonts w:asciiTheme="minorHAnsi" w:hAnsiTheme="minorHAnsi" w:cstheme="minorHAnsi"/>
                <w:b/>
                <w:bCs/>
                <w:color w:val="000000"/>
                <w:szCs w:val="20"/>
                <w:lang w:eastAsia="fr-FR"/>
              </w:rPr>
            </w:pPr>
            <w:r w:rsidRPr="00C73365">
              <w:rPr>
                <w:rFonts w:asciiTheme="minorHAnsi" w:hAnsiTheme="minorHAnsi" w:cstheme="minorHAnsi"/>
                <w:b/>
                <w:bCs/>
                <w:color w:val="000000"/>
                <w:szCs w:val="20"/>
                <w:lang w:eastAsia="fr-FR"/>
              </w:rPr>
              <w:t>Holding Incubatrice Medical Devices SA</w:t>
            </w:r>
          </w:p>
        </w:tc>
      </w:tr>
      <w:tr w:rsidR="00B740A8" w:rsidRPr="00C73365" w:rsidTr="00D1541A">
        <w:trPr>
          <w:trHeight w:val="177"/>
        </w:trPr>
        <w:tc>
          <w:tcPr>
            <w:tcW w:w="3212"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 Dominique Costantini</w:t>
            </w:r>
          </w:p>
        </w:tc>
        <w:tc>
          <w:tcPr>
            <w:tcW w:w="169" w:type="dxa"/>
            <w:tcBorders>
              <w:top w:val="nil"/>
              <w:left w:val="nil"/>
              <w:bottom w:val="nil"/>
              <w:right w:val="nil"/>
            </w:tcBorders>
            <w:shd w:val="clear" w:color="auto" w:fill="auto"/>
            <w:noWrap/>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3319" w:type="dxa"/>
            <w:tcBorders>
              <w:top w:val="nil"/>
              <w:left w:val="nil"/>
              <w:bottom w:val="nil"/>
              <w:right w:val="nil"/>
            </w:tcBorders>
            <w:shd w:val="clear" w:color="auto" w:fill="auto"/>
            <w:hideMark/>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Directeur général et administrateur</w:t>
            </w: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nil"/>
              <w:right w:val="nil"/>
            </w:tcBorders>
            <w:shd w:val="clear" w:color="auto" w:fill="auto"/>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BioAlliance Pharma SA</w:t>
            </w:r>
          </w:p>
        </w:tc>
      </w:tr>
      <w:tr w:rsidR="00B740A8" w:rsidRPr="00C73365" w:rsidTr="00D1541A">
        <w:trPr>
          <w:trHeight w:val="177"/>
        </w:trPr>
        <w:tc>
          <w:tcPr>
            <w:tcW w:w="3212"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69" w:type="dxa"/>
            <w:tcBorders>
              <w:top w:val="nil"/>
              <w:left w:val="nil"/>
              <w:bottom w:val="nil"/>
              <w:right w:val="nil"/>
            </w:tcBorders>
            <w:shd w:val="clear" w:color="auto" w:fill="auto"/>
            <w:noWrap/>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3319" w:type="dxa"/>
            <w:tcBorders>
              <w:top w:val="nil"/>
              <w:left w:val="nil"/>
              <w:bottom w:val="single" w:sz="4" w:space="0" w:color="7030A0"/>
              <w:right w:val="nil"/>
            </w:tcBorders>
            <w:shd w:val="clear" w:color="auto" w:fill="auto"/>
            <w:hideMark/>
          </w:tcPr>
          <w:p w:rsidR="00B740A8" w:rsidRPr="00C73365" w:rsidRDefault="00B740A8" w:rsidP="00D1541A">
            <w:pPr>
              <w:pStyle w:val="ListParagraph"/>
              <w:ind w:left="198"/>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(de 1997 à 2011)</w:t>
            </w:r>
          </w:p>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166" w:type="dxa"/>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nil"/>
              <w:left w:val="nil"/>
              <w:bottom w:val="single" w:sz="4" w:space="0" w:color="7030A0"/>
              <w:right w:val="nil"/>
            </w:tcBorders>
            <w:shd w:val="clear" w:color="auto" w:fill="auto"/>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B740A8" w:rsidRPr="00C73365" w:rsidTr="00D1541A">
        <w:trPr>
          <w:trHeight w:val="177"/>
        </w:trPr>
        <w:tc>
          <w:tcPr>
            <w:tcW w:w="3212" w:type="dxa"/>
            <w:tcBorders>
              <w:top w:val="single" w:sz="4" w:space="0" w:color="7030A0"/>
              <w:left w:val="nil"/>
              <w:bottom w:val="single" w:sz="4" w:space="0" w:color="7030A0"/>
              <w:right w:val="nil"/>
            </w:tcBorders>
            <w:shd w:val="clear" w:color="auto" w:fill="auto"/>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Madame Carol L. Brosgart</w:t>
            </w:r>
          </w:p>
        </w:tc>
        <w:tc>
          <w:tcPr>
            <w:tcW w:w="169" w:type="dxa"/>
            <w:tcBorders>
              <w:top w:val="nil"/>
              <w:left w:val="nil"/>
              <w:bottom w:val="nil"/>
              <w:right w:val="nil"/>
            </w:tcBorders>
            <w:shd w:val="clear" w:color="auto" w:fill="auto"/>
            <w:noWrap/>
          </w:tcPr>
          <w:p w:rsidR="00B740A8" w:rsidRPr="00C73365" w:rsidRDefault="00B740A8" w:rsidP="00D1541A">
            <w:pPr>
              <w:pStyle w:val="ListParagraph"/>
              <w:ind w:left="198"/>
              <w:rPr>
                <w:rFonts w:asciiTheme="minorHAnsi" w:hAnsiTheme="minorHAnsi" w:cstheme="minorHAnsi"/>
                <w:color w:val="000000"/>
                <w:szCs w:val="20"/>
                <w:lang w:val="fr-FR" w:eastAsia="fr-FR"/>
              </w:rPr>
            </w:pPr>
          </w:p>
        </w:tc>
        <w:tc>
          <w:tcPr>
            <w:tcW w:w="3319" w:type="dxa"/>
            <w:tcBorders>
              <w:top w:val="single" w:sz="4" w:space="0" w:color="7030A0"/>
              <w:left w:val="nil"/>
              <w:bottom w:val="single" w:sz="4" w:space="0" w:color="7030A0"/>
              <w:right w:val="nil"/>
            </w:tcBorders>
            <w:shd w:val="clear" w:color="auto" w:fill="auto"/>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Administrateur</w:t>
            </w:r>
          </w:p>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w:t>
            </w:r>
            <w:r w:rsidRPr="00C73365">
              <w:rPr>
                <w:rFonts w:asciiTheme="minorHAnsi" w:hAnsiTheme="minorHAnsi" w:cstheme="minorHAnsi"/>
                <w:bCs/>
                <w:color w:val="000000"/>
                <w:szCs w:val="20"/>
                <w:lang w:val="fr-FR" w:eastAsia="fr-FR"/>
              </w:rPr>
              <w:t>dministrateur</w:t>
            </w:r>
          </w:p>
        </w:tc>
        <w:tc>
          <w:tcPr>
            <w:tcW w:w="166"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single" w:sz="4" w:space="0" w:color="7030A0"/>
              <w:left w:val="nil"/>
              <w:bottom w:val="single" w:sz="4" w:space="0" w:color="7030A0"/>
              <w:right w:val="nil"/>
            </w:tcBorders>
            <w:shd w:val="clear" w:color="auto" w:fill="auto"/>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Juvaris</w:t>
            </w:r>
          </w:p>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b/>
                <w:bCs/>
                <w:color w:val="000000"/>
                <w:szCs w:val="20"/>
                <w:lang w:val="fr-FR" w:eastAsia="fr-FR"/>
              </w:rPr>
              <w:t>Tobira Therapeutics</w:t>
            </w:r>
          </w:p>
        </w:tc>
      </w:tr>
      <w:tr w:rsidR="00B740A8" w:rsidRPr="00C73365" w:rsidTr="00D1541A">
        <w:trPr>
          <w:trHeight w:val="177"/>
        </w:trPr>
        <w:tc>
          <w:tcPr>
            <w:tcW w:w="3212" w:type="dxa"/>
            <w:tcBorders>
              <w:top w:val="single" w:sz="4" w:space="0" w:color="7030A0"/>
              <w:left w:val="nil"/>
              <w:bottom w:val="single" w:sz="4" w:space="0" w:color="7030A0"/>
              <w:right w:val="nil"/>
            </w:tcBorders>
            <w:shd w:val="clear" w:color="auto" w:fill="auto"/>
          </w:tcPr>
          <w:p w:rsidR="00B740A8" w:rsidRPr="00C73365" w:rsidRDefault="00B740A8" w:rsidP="00D1541A">
            <w:pPr>
              <w:rPr>
                <w:rFonts w:asciiTheme="minorHAnsi" w:hAnsiTheme="minorHAnsi" w:cstheme="minorHAnsi"/>
                <w:color w:val="000000"/>
                <w:szCs w:val="20"/>
                <w:lang w:eastAsia="fr-FR"/>
              </w:rPr>
            </w:pPr>
            <w:r w:rsidRPr="00C73365">
              <w:rPr>
                <w:rFonts w:asciiTheme="minorHAnsi" w:hAnsiTheme="minorHAnsi" w:cstheme="minorHAnsi"/>
                <w:color w:val="000000"/>
                <w:szCs w:val="20"/>
                <w:lang w:eastAsia="fr-FR"/>
              </w:rPr>
              <w:t xml:space="preserve">Madame Corinna zur Bonsen-Thomas </w:t>
            </w:r>
          </w:p>
        </w:tc>
        <w:tc>
          <w:tcPr>
            <w:tcW w:w="169" w:type="dxa"/>
            <w:tcBorders>
              <w:top w:val="nil"/>
              <w:left w:val="nil"/>
              <w:bottom w:val="nil"/>
              <w:right w:val="nil"/>
            </w:tcBorders>
            <w:shd w:val="clear" w:color="auto" w:fill="auto"/>
            <w:noWrap/>
          </w:tcPr>
          <w:p w:rsidR="00B740A8" w:rsidRPr="00C73365" w:rsidRDefault="00B740A8" w:rsidP="00D1541A">
            <w:pPr>
              <w:pStyle w:val="ListParagraph"/>
              <w:ind w:left="198"/>
              <w:rPr>
                <w:rFonts w:asciiTheme="minorHAnsi" w:hAnsiTheme="minorHAnsi" w:cstheme="minorHAnsi"/>
                <w:color w:val="000000"/>
                <w:szCs w:val="20"/>
                <w:lang w:eastAsia="fr-FR"/>
              </w:rPr>
            </w:pPr>
          </w:p>
        </w:tc>
        <w:tc>
          <w:tcPr>
            <w:tcW w:w="3319" w:type="dxa"/>
            <w:tcBorders>
              <w:top w:val="single" w:sz="4" w:space="0" w:color="7030A0"/>
              <w:left w:val="nil"/>
              <w:bottom w:val="single" w:sz="4" w:space="0" w:color="7030A0"/>
              <w:right w:val="nil"/>
            </w:tcBorders>
            <w:shd w:val="clear" w:color="auto" w:fill="auto"/>
          </w:tcPr>
          <w:p w:rsidR="00B740A8" w:rsidRPr="00C73365" w:rsidRDefault="00B740A8" w:rsidP="00434C49">
            <w:pPr>
              <w:pStyle w:val="ListParagraph"/>
              <w:numPr>
                <w:ilvl w:val="0"/>
                <w:numId w:val="95"/>
              </w:numPr>
              <w:spacing w:after="0"/>
              <w:ind w:left="142" w:hanging="142"/>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Membre du Conseil de surveillance</w:t>
            </w:r>
            <w:r w:rsidRPr="00C73365">
              <w:rPr>
                <w:rFonts w:asciiTheme="minorHAnsi" w:hAnsiTheme="minorHAnsi" w:cstheme="minorHAnsi"/>
                <w:b/>
                <w:bCs/>
                <w:i/>
                <w:color w:val="000000"/>
                <w:szCs w:val="20"/>
                <w:lang w:val="fr-FR" w:eastAsia="fr-FR"/>
              </w:rPr>
              <w:t xml:space="preserve"> </w:t>
            </w:r>
          </w:p>
        </w:tc>
        <w:tc>
          <w:tcPr>
            <w:tcW w:w="166" w:type="dxa"/>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3168" w:type="dxa"/>
            <w:tcBorders>
              <w:top w:val="single" w:sz="4" w:space="0" w:color="7030A0"/>
              <w:left w:val="nil"/>
              <w:bottom w:val="single" w:sz="4" w:space="0" w:color="7030A0"/>
              <w:right w:val="nil"/>
            </w:tcBorders>
            <w:shd w:val="clear" w:color="auto" w:fill="auto"/>
          </w:tcPr>
          <w:p w:rsidR="00B740A8" w:rsidRPr="00C73365" w:rsidRDefault="00B740A8" w:rsidP="00D1541A">
            <w:pP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 xml:space="preserve">Baxter AG </w:t>
            </w:r>
            <w:r w:rsidRPr="00C73365">
              <w:rPr>
                <w:rFonts w:asciiTheme="minorHAnsi" w:hAnsiTheme="minorHAnsi" w:cstheme="minorHAnsi"/>
                <w:color w:val="000000"/>
                <w:szCs w:val="20"/>
                <w:lang w:val="fr-FR" w:eastAsia="fr-FR"/>
              </w:rPr>
              <w:t>(Suisse)</w:t>
            </w:r>
          </w:p>
        </w:tc>
      </w:tr>
    </w:tbl>
    <w:p w:rsidR="00B740A8" w:rsidRPr="00C73365" w:rsidRDefault="00B740A8" w:rsidP="00B740A8">
      <w:pPr>
        <w:pStyle w:val="ListParagraph"/>
        <w:ind w:left="0"/>
        <w:rPr>
          <w:rFonts w:asciiTheme="minorHAnsi" w:hAnsiTheme="minorHAnsi" w:cstheme="minorHAnsi"/>
          <w:szCs w:val="21"/>
          <w:lang w:val="fr-FR"/>
        </w:rPr>
      </w:pPr>
    </w:p>
    <w:p w:rsidR="00B740A8" w:rsidRPr="00C73365" w:rsidRDefault="00B740A8" w:rsidP="00B740A8">
      <w:pPr>
        <w:pStyle w:val="ListParagraph"/>
        <w:ind w:left="0"/>
        <w:rPr>
          <w:rFonts w:asciiTheme="minorHAnsi" w:hAnsiTheme="minorHAnsi" w:cstheme="minorHAnsi"/>
          <w:szCs w:val="21"/>
          <w:lang w:val="fr-FR"/>
        </w:rPr>
      </w:pPr>
      <w:r w:rsidRPr="00C73365">
        <w:rPr>
          <w:rFonts w:asciiTheme="minorHAnsi" w:hAnsiTheme="minorHAnsi" w:cstheme="minorHAnsi"/>
          <w:szCs w:val="21"/>
          <w:lang w:val="fr-FR"/>
        </w:rPr>
        <w:t xml:space="preserve">La Société n’a pas conclu de contrats avec ses administrateurs ou son directeur général au cours de l’exercice 2017. </w:t>
      </w:r>
    </w:p>
    <w:p w:rsidR="00B740A8" w:rsidRPr="00C73365" w:rsidRDefault="00B740A8" w:rsidP="00B740A8">
      <w:pPr>
        <w:pStyle w:val="ConmainL3"/>
        <w:keepLines/>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Biographies des administrateurs et du directeur général</w:t>
      </w:r>
    </w:p>
    <w:p w:rsidR="00B740A8" w:rsidRPr="00C73365" w:rsidRDefault="00B740A8" w:rsidP="00B740A8">
      <w:pPr>
        <w:pStyle w:val="ListParagraph"/>
        <w:ind w:left="0"/>
        <w:rPr>
          <w:rFonts w:asciiTheme="minorHAnsi" w:hAnsiTheme="minorHAnsi" w:cstheme="minorHAnsi"/>
          <w:b/>
          <w:color w:val="7030A0"/>
          <w:lang w:val="fr-FR"/>
        </w:rPr>
      </w:pPr>
    </w:p>
    <w:p w:rsidR="00B740A8"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Monsieur Philippe Pouletty</w:t>
      </w:r>
      <w:r w:rsidRPr="00C73365">
        <w:rPr>
          <w:rFonts w:asciiTheme="minorHAnsi" w:hAnsiTheme="minorHAnsi" w:cstheme="minorHAnsi"/>
          <w:szCs w:val="22"/>
          <w:lang w:val="fr-FR"/>
        </w:rPr>
        <w:t xml:space="preserve"> est président du conseil d’administration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Docteur en Médecine (Université Paris VI), immunologiste, ancien interne des Hôpitaux de Paris, major de l’Institut Pasteur (immunologie), Philippe Pouletty a été chercheur postdoctoral à Stanford University. Il est l’inventeur de 29 brevets, dont le deuxième brevet le plus rémunérateur pour Stanford University en sciences de la vie. En 2012, il a fait son entrée dans le prestigieux Stanford University Hall of Fame of Inventors. Philippe Pouletty est cofondateur et directeur général de Truffle Capital. Il est cofondateur de Carmat et d’une dizaine de sociétés de Truffle Capital. Il a été président de France Biotech, l’association française des entreprises de biotechnologie et ancien vice-président d’Europabio, la fédération européenne des biotechnologies. Il est également fondateur de trois sociétés de biotechnologie en Europe et aux Etats-Unis qui ont généré une capitalisation boursière de plus de 800 millions de dollars et est membre du Conseil d’administration de plusieurs entreprises de biotechnologie et d’appareils médicaux en Europe et en Amérique du Nord. Philippe Pouletty a été à l’origine de plusieurs initiatives gouvernementales en France, parmi lesquelles la loi de 1999 sur la simplification du droit des sociétés (SAS), le « Plan Biotech 2002 » pour relancer et développer la biotechnologie et le statut de la Jeune Entreprise Innovante qui accorde d’importantes exonérations fiscales aux entreprises technologiques. Philippe Pouletty est Chevalier de la légion d’honneur.</w:t>
      </w:r>
    </w:p>
    <w:p w:rsidR="004834A9" w:rsidRPr="00C73365" w:rsidRDefault="004834A9" w:rsidP="004834A9">
      <w:pPr>
        <w:pStyle w:val="ListParagraph"/>
        <w:spacing w:after="0"/>
        <w:ind w:left="720"/>
        <w:rPr>
          <w:rFonts w:asciiTheme="minorHAnsi" w:hAnsiTheme="minorHAnsi" w:cstheme="minorHAnsi"/>
          <w:szCs w:val="22"/>
          <w:lang w:val="fr-FR"/>
        </w:rPr>
      </w:pPr>
    </w:p>
    <w:p w:rsidR="00B740A8"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Madame Joy Amundson</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Elle est l’un des fondateurs de Amundson Partners, Inc., une société de conseil dans le domaine de la santé jusqu’en 2017. D’août 2004 à octobre 2010, Joy Amundson était présidente de la société Baxter BioScience et vice-présidente de Baxter International, Inc. Avant cela, elle a travaillé plus de 20 ans pour les laboratoires Abbott, où elle exerçait des fonctions clés, telles que Senior Vice-President. Joy Amundson a commencé sa carrière professionnelle dans la vente et la gestion de marques au sein du groupe Procter &amp; Gamble de 1977 à 1982. Joy Amundson a aussi été directrice d’ApaTech, the Dial Corporation, Ilex Oncologuy, Inc., Inamed Corporation et Oridian Medical Ltd.  Forte de ces expériences passées, Joy Amundson a acquis une profonde connaissance de l’industrie médicale, elle est en outre diplômée en gestion (Kellog Graduate School of Management de l’université de Northwestern). De plus, son expérience au sein de différents conseils d’administration, dont Covidien, lui donne une perspective sur le rôle du conseil d’administration dans l’accompagnement de sociétés.</w:t>
      </w:r>
    </w:p>
    <w:p w:rsidR="004834A9" w:rsidRPr="00C73365" w:rsidRDefault="004834A9" w:rsidP="004834A9">
      <w:pPr>
        <w:pStyle w:val="ListParagraph"/>
        <w:spacing w:after="0"/>
        <w:ind w:left="720"/>
        <w:rPr>
          <w:rFonts w:asciiTheme="minorHAnsi" w:hAnsiTheme="minorHAnsi" w:cstheme="minorHAnsi"/>
          <w:szCs w:val="22"/>
          <w:lang w:val="fr-FR"/>
        </w:rPr>
      </w:pPr>
    </w:p>
    <w:p w:rsidR="00B740A8"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Monsieur Claude Bertrand</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Il exerce les fonctions de Directeur Exécutif Recherche et Développement et Directeur scientifique de Servier qu’il a rejoint en mars 2017. Il est également Administrateur d’Eclosion 2 et de l’HCERES. Il a débuté sa carrière chez Novartis à Bâle, en Suisse. Il a ensuite poursuivi sa carrière chez Roche (Palo Alto, CA, États-Unis) dans l’unité des maladies inflammatoires, où il a développé la plateforme pharmacologique pour les maladies respiratoires. En 1999, il est devenu Directeur Senior du département de biologie pour la R&amp;D de Pfizer en France et membre de l’équipe de Direction de Pfizer Global R&amp;D. De 2004 à 2009, Claude Bertrand a été Vice-President puis Senior Vice-President du département R&amp;D d’AstraZeneca, responsable de l’aire thérapeutique pour les maladies inflammatoires et respiratoires. Il était depuis 2009, Vice-Président Exécutif R&amp;D et directeur scientifique du Groupe Ipsen. Titulaire d’un Doctorat en Pharmacie, d’un PhD en Pharmacologie de l’Université de Strasbourg, Claude Bertrand a ensuite effectué un post-doctorat à l’Université de San Francisco sous la direction du Professeur Jay A. Nadel.</w:t>
      </w:r>
    </w:p>
    <w:p w:rsidR="004834A9" w:rsidRPr="00C73365" w:rsidRDefault="004834A9" w:rsidP="004834A9">
      <w:pPr>
        <w:pStyle w:val="ListParagraph"/>
        <w:spacing w:after="0"/>
        <w:ind w:left="720"/>
        <w:rPr>
          <w:rFonts w:asciiTheme="minorHAnsi" w:hAnsiTheme="minorHAnsi" w:cstheme="minorHAnsi"/>
          <w:szCs w:val="22"/>
          <w:lang w:val="fr-FR"/>
        </w:rPr>
      </w:pPr>
    </w:p>
    <w:p w:rsidR="00B740A8"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Monsieur Jean-Jacques Bertrand</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xml:space="preserve">. Il a occupé depuis 1965 différentes fonctions au sein du groupe Rhône-Poulenc et d’Aventis. Il a été notamment directeur général des opérations pharmaceutiques de Rhône-Poulenc Santé en France en 1985 puis directeur général de Rhône-Poulenc Rorer en 1990. Il a poursuivi sa carrière en 1994 au sein de Pasteur Mérieux Connaught (devenu Aventis Pasteur en 2000) en tant que Président Directeur Général jusqu’à la fin de 2002. Membre du comité exécutif de Rhône-Poulenc, en 1999 il est nommé Directeur Général délégué d’Aventis Pharma. Jean-Jacques Bertrand a été </w:t>
      </w:r>
      <w:r w:rsidRPr="00C73365">
        <w:rPr>
          <w:rFonts w:asciiTheme="minorHAnsi" w:hAnsiTheme="minorHAnsi" w:cstheme="minorHAnsi"/>
          <w:szCs w:val="22"/>
          <w:lang w:val="fr-FR"/>
        </w:rPr>
        <w:lastRenderedPageBreak/>
        <w:t>président du Syndicat Français de l’Industrie Pharmaceutique (aujourd’hui LEEM) en 2000 et 2001. Il est également Président des conseils d’administration de Neovacs, et de Viroxis, et administrateur du conseil de Pierre Fabre. Il est Vice-Président de Brive Rugby. Jean Jacques Bertrand est diplômé d’HEC et Chevalier de l’ordre du Mérite et de l’ordre de la Légion d’Honneur.</w:t>
      </w:r>
    </w:p>
    <w:p w:rsidR="004834A9" w:rsidRPr="004834A9" w:rsidRDefault="004834A9" w:rsidP="004834A9">
      <w:pPr>
        <w:spacing w:after="0"/>
        <w:rPr>
          <w:rFonts w:asciiTheme="minorHAnsi" w:hAnsiTheme="minorHAnsi" w:cstheme="minorHAnsi"/>
          <w:szCs w:val="22"/>
          <w:lang w:val="fr-FR"/>
        </w:rPr>
      </w:pPr>
    </w:p>
    <w:p w:rsidR="00B740A8" w:rsidRPr="004834A9" w:rsidRDefault="00B740A8" w:rsidP="00B740A8">
      <w:pPr>
        <w:pStyle w:val="ListParagraph"/>
        <w:numPr>
          <w:ilvl w:val="0"/>
          <w:numId w:val="49"/>
        </w:numPr>
        <w:spacing w:after="0"/>
        <w:rPr>
          <w:rFonts w:asciiTheme="minorHAnsi" w:hAnsiTheme="minorHAnsi" w:cstheme="minorHAnsi"/>
          <w:b/>
          <w:lang w:val="fr-FR"/>
        </w:rPr>
      </w:pPr>
      <w:r w:rsidRPr="00C73365">
        <w:rPr>
          <w:rFonts w:asciiTheme="minorHAnsi" w:hAnsiTheme="minorHAnsi" w:cstheme="minorHAnsi"/>
          <w:b/>
          <w:lang w:val="fr-FR"/>
        </w:rPr>
        <w:t>Corinna zur Bonsen-Thomas</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Elle a suivi des études de droit en Allemagne et est avocat de formation. Corinna zur Bonsen-Thomas a aujourd’hui plus de trente ans d’expérience professionnelle internationale dans l’industrie pharmaceutique et biopharmaceutique, médicale et biotechnologique. Elle a notamment été l’avocat conseil de Baxalta pour la gestion de ses affaires internationales et est, depuis 2017, l’avocat conseil de Definiens. Corinna zur Bonsen-Thomas dispose déjà d’une expérience au sein de la direction d’une grande entreprise qu’elle a acquise de 1999 à 2015 en tant que membre du conseil de surveillance de la société suisse Baxter AG.</w:t>
      </w:r>
    </w:p>
    <w:p w:rsidR="004834A9" w:rsidRPr="00C73365" w:rsidRDefault="004834A9" w:rsidP="004834A9">
      <w:pPr>
        <w:pStyle w:val="ListParagraph"/>
        <w:spacing w:after="0"/>
        <w:ind w:left="720"/>
        <w:rPr>
          <w:rFonts w:asciiTheme="minorHAnsi" w:hAnsiTheme="minorHAnsi" w:cstheme="minorHAnsi"/>
          <w:b/>
          <w:lang w:val="fr-FR"/>
        </w:rPr>
      </w:pPr>
    </w:p>
    <w:p w:rsidR="00B740A8"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Monsieur Antonino Ligresti</w:t>
      </w:r>
      <w:r w:rsidRPr="00C73365">
        <w:rPr>
          <w:rFonts w:asciiTheme="minorHAnsi" w:hAnsiTheme="minorHAnsi" w:cstheme="minorHAnsi"/>
          <w:szCs w:val="22"/>
          <w:lang w:val="fr-FR"/>
        </w:rPr>
        <w:t xml:space="preserve"> est le représentant permanent de Santé Holding SRL. Antonino Ligresti a une grande expérience dans le domaine de la santé et dans les problématiques d’accès au marché. Médecin et chirurgien de formation, Antonino Ligresti s’est spécialisé en médecine interne et cardiologie. Il a débuté sa carrière au sein de la Clinique médicale de l’Université de Milan, et ensuite à l’Hôpital Fatebenefratelli de Milan. En 1979, il crée le premier groupe d’hospitalisation privée en Italie, reconnu pour la qualité des soins et la prise en charge médicale ainsi que pour la coopération avec l’enseignement et la recherche universitaires. Il cédera son groupe en 2000. Actionnaire de référence de Générale de Santé et administrateur du Groupe à partir de juin 2003, il en est devenu Président du conseil de surveillance le 19 mars 2004, puis Président du conseil d’administration le 30 juin 2011, à la suite de la mise en place d’un nouveau gouvernement d’entreprise. En octobre 2014 il cède sa participation au Groupe Australien Ramsay. Parmi ses nombreuses autres fonctions dans le domaine de la santé, Antonino Ligresti a été membre du comité exécutif de l’Institut Européen d‘oncologie, il a présidé la Fondation Générale de Santé et a été Président du comité médical. Le Dr. Ligresti jouera un rôle majeur pour l’accès au marché et le business development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xml:space="preserve">. </w:t>
      </w:r>
    </w:p>
    <w:p w:rsidR="004834A9" w:rsidRPr="00C73365" w:rsidRDefault="004834A9" w:rsidP="004834A9">
      <w:pPr>
        <w:pStyle w:val="ListParagraph"/>
        <w:spacing w:after="0"/>
        <w:ind w:left="720"/>
        <w:rPr>
          <w:rFonts w:asciiTheme="minorHAnsi" w:hAnsiTheme="minorHAnsi" w:cstheme="minorHAnsi"/>
          <w:szCs w:val="22"/>
          <w:lang w:val="fr-FR"/>
        </w:rPr>
      </w:pPr>
    </w:p>
    <w:p w:rsidR="00B740A8"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Monsieur Christian Pierret</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xml:space="preserve"> jusqu’au 22 janvier 2018 et représentant permanent de Truffle Capital au conseil d’administration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xml:space="preserve"> à compter de cette date. Christian Pierret est ancien Secrétaire d’Etat puis Ministre délégué à l’Industrie, les PME, le Commerce et l’Artisanat, fonction qu’il a occupée de juin 1997 à mai 2002. Christian Pierret a effectué une double carrière, politique et dans le secteur privé : rapporteur général du budget à l’Assemblée nationale (1981-1986), président de la commission de surveillance de la Caisse des Dépôts (1988-1993), vice-président du groupe Accor (1993-1996), député des Vosges de 1978 à 1993 et maire de Saint-Dié des Vosges de 1989 à 2014. Christian Pierret est un spécialiste de la réglementation des sociétés publiques, du droit des sociétés et des affaires, de l’interface public-privé (dans l’environnement par exemple) ainsi que du droit européen (concentration, concurrence, aides d’état). Il est à l’origine de la « loi Pierret » en février 2000, sur l’ouverture des marchés français de l’électricité à la concurrence et co-auteur du « paquet télécom » européen relatif à la libéralisation du secteur des télécommunications en 2002. Il est administrateur de GrDF, Pharnext et la Holding Incubatrice Medical Devices. Christian Pierret est diplômé d’un D.E.S. de Sciences Économiques (IEP Paris, 1970) et de l’ENA (1972).</w:t>
      </w:r>
    </w:p>
    <w:p w:rsidR="004834A9" w:rsidRPr="00C73365" w:rsidRDefault="004834A9" w:rsidP="004834A9">
      <w:pPr>
        <w:pStyle w:val="ListParagraph"/>
        <w:spacing w:after="0"/>
        <w:ind w:left="720"/>
        <w:rPr>
          <w:rFonts w:asciiTheme="minorHAnsi" w:hAnsiTheme="minorHAnsi" w:cstheme="minorHAnsi"/>
          <w:szCs w:val="22"/>
          <w:lang w:val="fr-FR"/>
        </w:rPr>
      </w:pPr>
    </w:p>
    <w:p w:rsidR="00B740A8" w:rsidRDefault="00B740A8" w:rsidP="005C789C">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Madame Dominique Costantini</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Elle a une longue expérience de direction générale, est diplômée en médecine avec une spécialité en immunologie- Paris 5 - Necker. Elle bénéficie d’une expérience de plus de 20 ans dans l’industrie pharmaceutique et biotechnologique, où elle a notamment occupé des positions clés chez HMR (maintenant Sanofi) dans de nombreuses fonctions et unités opérationnelles de développement et de marketing. Elle est co–fondateur et Directeur Général d’OSE Immunotherapeutics (société fondée en 2012 et introduite en bourse sur Euronext en 2015). Cette société développe des immunothérapies en immuno-oncologie ou dans les maladies auto-immunes, dont la plus avancée est en clinique phase III dans le cancer du poumon invasif. La société a signé en 2016 et 2017 deux accords avec deux industriels de la pharmacie importants avec un potentiel de plus de 400 millions d’euros et des royalties sur deux autres produits du portefeuille. Précédemment en 1997, Dominique Costantini a fondé Onxeo (précédemment BioAlliance Pharma), une société focalisée en oncologie et dans les soins de support sur la base de technologies innovantes. Elle a introduit cette société en bourse en 2005 et en a été le Directeur Général jusqu’en 2011. Pendant son mandat, outre son introduction en bourse, le Dr. Costantini a levé plus de 100 millions d’euros auprès de capitaux-risqueurs ou au travers des placements privés ou publics pour développer et enregistrer des produits en Europe et aux USA. Elle a conclu des partenariats industriels au plan international (Europe - USA - Chine - Japon - Corée) avec plus de 150</w:t>
      </w:r>
      <w:r w:rsidR="00EF089C" w:rsidRPr="00C73365">
        <w:rPr>
          <w:rFonts w:asciiTheme="minorHAnsi" w:hAnsiTheme="minorHAnsi" w:cstheme="minorHAnsi"/>
          <w:szCs w:val="22"/>
          <w:lang w:val="fr-FR"/>
        </w:rPr>
        <w:t>M€</w:t>
      </w:r>
      <w:r w:rsidRPr="00C73365">
        <w:rPr>
          <w:rFonts w:asciiTheme="minorHAnsi" w:hAnsiTheme="minorHAnsi" w:cstheme="minorHAnsi"/>
          <w:szCs w:val="22"/>
          <w:lang w:val="fr-FR"/>
        </w:rPr>
        <w:t xml:space="preserve"> de contrats signés et des royalties significatives.</w:t>
      </w:r>
    </w:p>
    <w:p w:rsidR="004834A9" w:rsidRPr="00C73365" w:rsidRDefault="004834A9" w:rsidP="004834A9">
      <w:pPr>
        <w:pStyle w:val="ListParagraph"/>
        <w:spacing w:after="0"/>
        <w:ind w:left="720"/>
        <w:rPr>
          <w:rFonts w:asciiTheme="minorHAnsi" w:hAnsiTheme="minorHAnsi" w:cstheme="minorHAnsi"/>
          <w:szCs w:val="22"/>
          <w:lang w:val="fr-FR"/>
        </w:rPr>
      </w:pPr>
    </w:p>
    <w:p w:rsidR="00B740A8"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lastRenderedPageBreak/>
        <w:t>Madame Carol L. Brosgart</w:t>
      </w:r>
      <w:r w:rsidRPr="00C73365">
        <w:rPr>
          <w:rFonts w:asciiTheme="minorHAnsi" w:hAnsiTheme="minorHAnsi" w:cstheme="minorHAnsi"/>
          <w:szCs w:val="22"/>
          <w:lang w:val="fr-FR"/>
        </w:rPr>
        <w:t xml:space="preserve"> est administrateur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Elle a siégé aux conseils d</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administration d</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entreprises de biotechnologie privées et publiques, ainsi qu</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au sein d’organismes non lucratifs de santé nationaux et internationaux. Elle est membre du conseil d’administration de Galmed Pharmaceuticals. Le Dr. Brosgart est président du comité consultatif scientifique de ContraVir, une entreprise de biotechnologie œuvrant dans le domaine de la guérison du VHB. Elle est également consultante auprès de Dynavax et de plusieurs sociétés de biotechnologie dans les domaines des maladies du foie et des maladies infectieuses. En outre, le Dr. Brosgart siège actuellement au conseil d’administration de la Hepatitis B Foundation, à la commission de santé de la ville de Berkeley, au comité directeur de la Table ronde nationale sur l</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hépatite virale, au comité exécutif du Forum pour la recherche concertée et au comité directeur du Forum du Groupe de guérison du VHB. Elle a occupé plusieurs postes de haute direction, notamment Directrice Médicale au sein de BioPharma (aujourd</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hui J&amp;J) et Vice-présidente Sénior et Directrice Médicaleau Children</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s Hospital &amp; Research Center à Oakland, en Californie. Elle est également professeur clinicienne de médecine, de biostatistique et d</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épidémiologie à la Division de la santé mondiale et des maladies infectieuses de l</w:t>
      </w:r>
      <w:r w:rsidR="004572A0" w:rsidRPr="00C73365">
        <w:rPr>
          <w:rFonts w:asciiTheme="minorHAnsi" w:hAnsiTheme="minorHAnsi" w:cstheme="minorHAnsi"/>
          <w:szCs w:val="22"/>
          <w:lang w:val="fr-FR"/>
        </w:rPr>
        <w:t>’</w:t>
      </w:r>
      <w:r w:rsidRPr="00C73365">
        <w:rPr>
          <w:rFonts w:asciiTheme="minorHAnsi" w:hAnsiTheme="minorHAnsi" w:cstheme="minorHAnsi"/>
          <w:szCs w:val="22"/>
          <w:lang w:val="fr-FR"/>
        </w:rPr>
        <w:t xml:space="preserve">Université de Californie à San Francisco (UCSF). </w:t>
      </w:r>
    </w:p>
    <w:p w:rsidR="004834A9" w:rsidRPr="00C73365" w:rsidRDefault="004834A9" w:rsidP="004834A9">
      <w:pPr>
        <w:pStyle w:val="ListParagraph"/>
        <w:spacing w:after="0"/>
        <w:ind w:left="720"/>
        <w:rPr>
          <w:rFonts w:asciiTheme="minorHAnsi" w:hAnsiTheme="minorHAnsi" w:cstheme="minorHAnsi"/>
          <w:szCs w:val="22"/>
          <w:lang w:val="fr-FR"/>
        </w:rPr>
      </w:pPr>
    </w:p>
    <w:p w:rsidR="00B740A8" w:rsidRPr="00C73365" w:rsidRDefault="00B740A8" w:rsidP="00B740A8">
      <w:pPr>
        <w:pStyle w:val="ListParagraph"/>
        <w:numPr>
          <w:ilvl w:val="0"/>
          <w:numId w:val="49"/>
        </w:numPr>
        <w:spacing w:after="0"/>
        <w:rPr>
          <w:rFonts w:asciiTheme="minorHAnsi" w:hAnsiTheme="minorHAnsi" w:cstheme="minorHAnsi"/>
          <w:szCs w:val="22"/>
          <w:lang w:val="fr-FR"/>
        </w:rPr>
      </w:pPr>
      <w:r w:rsidRPr="00C73365">
        <w:rPr>
          <w:rFonts w:asciiTheme="minorHAnsi" w:hAnsiTheme="minorHAnsi" w:cstheme="minorHAnsi"/>
          <w:b/>
          <w:szCs w:val="22"/>
          <w:lang w:val="fr-FR"/>
        </w:rPr>
        <w:t>Monsieur Hartmut Ehrlich</w:t>
      </w:r>
      <w:r w:rsidRPr="00C73365">
        <w:rPr>
          <w:rFonts w:asciiTheme="minorHAnsi" w:hAnsiTheme="minorHAnsi" w:cstheme="minorHAnsi"/>
          <w:szCs w:val="22"/>
          <w:lang w:val="fr-FR"/>
        </w:rPr>
        <w:t xml:space="preserve"> est directeur général d’</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Médecin, il travaille depuis 30 ans au sein d’universités et de l’industrie biopharmaceutique (dont 20 ans au sein de Baxter et Sandoz (désormais Novartis)). Il a vécu et travaillé aux Etats-Unis (Eli Lilly et Département de Médecine de l’Université de l’Indiana), aux Pays-Bas (Laboratoire Central de la Croix Rouge néerlandaise), en Allemagne (Fondation Max Planck, Sandoz, Baxter), en Suisse (Sandoz), en Autriche (Baxter) et en France (</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xml:space="preserve">). Au cours des sept années précédant son arrivée chez </w:t>
      </w:r>
      <w:r w:rsidR="00EF089C" w:rsidRPr="00C73365">
        <w:rPr>
          <w:rFonts w:asciiTheme="minorHAnsi" w:hAnsiTheme="minorHAnsi" w:cstheme="minorHAnsi"/>
          <w:szCs w:val="22"/>
          <w:lang w:val="fr-FR"/>
        </w:rPr>
        <w:t>ABIVAX</w:t>
      </w:r>
      <w:r w:rsidRPr="00C73365">
        <w:rPr>
          <w:rFonts w:asciiTheme="minorHAnsi" w:hAnsiTheme="minorHAnsi" w:cstheme="minorHAnsi"/>
          <w:szCs w:val="22"/>
          <w:lang w:val="fr-FR"/>
        </w:rPr>
        <w:t xml:space="preserve"> en décembre 2013, Hartmut Ehrlich a mis en place et développé avec succès le portefeuille R&amp;D de Baxter BioSciences, avec plus de 50 programmes de développement précliniques et cliniques. Il fut à l’origine de l’obtention de nombreuses autorisations réglementaires dans différents domaines (hémophilie, thrombose, immunologie, neurologie, oncologie, bio-chirurgie ou vaccination). Hartmut Ehrlich a écrit et co-écrit plus de 120 publications. En 2011, Hartmut fut nommé « Professeur » par le Président autrichien et par le Ministre autrichien de la Science et de la Recherche, et a reçu le titre de « Professeur Adjoint » de l’université du Danube, Krems, en basse Autriche en 2013.</w:t>
      </w:r>
    </w:p>
    <w:p w:rsidR="00B740A8" w:rsidRPr="00C73365" w:rsidRDefault="00B740A8" w:rsidP="00B740A8">
      <w:pPr>
        <w:pStyle w:val="ListParagraph"/>
        <w:ind w:left="720"/>
        <w:rPr>
          <w:rFonts w:asciiTheme="minorHAnsi" w:hAnsiTheme="minorHAnsi" w:cstheme="minorHAnsi"/>
          <w:szCs w:val="22"/>
          <w:lang w:val="fr-FR"/>
        </w:rPr>
      </w:pPr>
    </w:p>
    <w:p w:rsidR="00B740A8" w:rsidRPr="00C73365" w:rsidRDefault="00B740A8" w:rsidP="00B740A8">
      <w:pPr>
        <w:pStyle w:val="ConmainL2"/>
        <w:keepNext w:val="0"/>
        <w:widowControl w:val="0"/>
        <w:numPr>
          <w:ilvl w:val="1"/>
          <w:numId w:val="9"/>
        </w:numPr>
        <w:spacing w:after="0"/>
        <w:rPr>
          <w:rFonts w:asciiTheme="minorHAnsi" w:hAnsiTheme="minorHAnsi" w:cstheme="minorHAnsi"/>
          <w:sz w:val="22"/>
          <w:szCs w:val="22"/>
          <w:lang w:val="fr-FR"/>
        </w:rPr>
      </w:pPr>
      <w:bookmarkStart w:id="761" w:name="_Toc462673268"/>
      <w:bookmarkStart w:id="762" w:name="_Toc482695288"/>
      <w:bookmarkStart w:id="763" w:name="_Toc401594106"/>
      <w:bookmarkStart w:id="764" w:name="_Toc512863930"/>
      <w:r w:rsidRPr="00C73365">
        <w:rPr>
          <w:rFonts w:asciiTheme="minorHAnsi" w:hAnsiTheme="minorHAnsi" w:cstheme="minorHAnsi"/>
          <w:sz w:val="22"/>
          <w:szCs w:val="22"/>
          <w:lang w:val="fr-FR"/>
        </w:rPr>
        <w:t>Censeurs</w:t>
      </w:r>
      <w:bookmarkEnd w:id="761"/>
      <w:bookmarkEnd w:id="762"/>
      <w:bookmarkEnd w:id="764"/>
    </w:p>
    <w:p w:rsidR="00B740A8" w:rsidRPr="00C73365" w:rsidRDefault="00B740A8" w:rsidP="00B740A8">
      <w:pPr>
        <w:pStyle w:val="ConmainL2"/>
        <w:keepNext w:val="0"/>
        <w:widowControl w:val="0"/>
        <w:numPr>
          <w:ilvl w:val="0"/>
          <w:numId w:val="0"/>
        </w:numPr>
        <w:spacing w:after="0"/>
        <w:outlineLvl w:val="9"/>
        <w:rPr>
          <w:rFonts w:asciiTheme="minorHAnsi" w:hAnsiTheme="minorHAnsi" w:cstheme="minorHAnsi"/>
          <w:sz w:val="22"/>
          <w:szCs w:val="22"/>
          <w:lang w:val="fr-FR"/>
        </w:rPr>
      </w:pPr>
    </w:p>
    <w:p w:rsidR="00B740A8" w:rsidRPr="00C73365" w:rsidRDefault="00B740A8" w:rsidP="004572A0">
      <w:pPr>
        <w:pStyle w:val="ListContinue"/>
        <w:rPr>
          <w:rFonts w:asciiTheme="minorHAnsi" w:hAnsiTheme="minorHAnsi" w:cstheme="minorHAnsi"/>
          <w:lang w:val="fr-FR"/>
        </w:rPr>
      </w:pPr>
      <w:r w:rsidRPr="00C73365">
        <w:rPr>
          <w:rFonts w:asciiTheme="minorHAnsi" w:hAnsiTheme="minorHAnsi" w:cstheme="minorHAnsi"/>
          <w:lang w:val="fr-FR"/>
        </w:rPr>
        <w:t>Aux termes des statuts de la Société, l’assemblée générale de la Société peut procéder à la nomination de censeurs, choisis parmi les actionnaires ou en dehors d’eux. Aucun censeur n’a été nommé à ce jour.</w:t>
      </w:r>
    </w:p>
    <w:p w:rsidR="00B740A8" w:rsidRPr="00C73365" w:rsidRDefault="00B740A8" w:rsidP="00B740A8">
      <w:pPr>
        <w:pStyle w:val="ConmainL2"/>
        <w:keepNext w:val="0"/>
        <w:numPr>
          <w:ilvl w:val="1"/>
          <w:numId w:val="9"/>
        </w:numPr>
        <w:spacing w:after="0"/>
        <w:rPr>
          <w:rFonts w:asciiTheme="minorHAnsi" w:hAnsiTheme="minorHAnsi" w:cstheme="minorHAnsi"/>
          <w:sz w:val="22"/>
          <w:szCs w:val="22"/>
          <w:lang w:val="fr-FR"/>
        </w:rPr>
      </w:pPr>
      <w:bookmarkStart w:id="765" w:name="_Toc462673269"/>
      <w:bookmarkStart w:id="766" w:name="_Toc467835618"/>
      <w:bookmarkStart w:id="767" w:name="_Toc482695289"/>
      <w:bookmarkStart w:id="768" w:name="_Toc512863931"/>
      <w:r w:rsidRPr="00C73365">
        <w:rPr>
          <w:rFonts w:asciiTheme="minorHAnsi" w:hAnsiTheme="minorHAnsi" w:cstheme="minorHAnsi"/>
          <w:sz w:val="22"/>
          <w:szCs w:val="22"/>
          <w:lang w:val="fr-FR"/>
        </w:rPr>
        <w:t>Conflits d’intérêts au niveau des organes d’administration et de direction générale</w:t>
      </w:r>
      <w:bookmarkEnd w:id="763"/>
      <w:bookmarkEnd w:id="765"/>
      <w:bookmarkEnd w:id="766"/>
      <w:bookmarkEnd w:id="767"/>
      <w:bookmarkEnd w:id="768"/>
    </w:p>
    <w:p w:rsidR="00B740A8" w:rsidRPr="00C73365" w:rsidRDefault="00B740A8" w:rsidP="00B740A8">
      <w:pPr>
        <w:rPr>
          <w:rFonts w:asciiTheme="minorHAnsi" w:hAnsiTheme="minorHAnsi" w:cstheme="minorHAnsi"/>
          <w:lang w:val="fr-FR"/>
        </w:rPr>
      </w:pPr>
    </w:p>
    <w:p w:rsidR="00B740A8" w:rsidRPr="00C73365" w:rsidRDefault="00B740A8" w:rsidP="004572A0">
      <w:pPr>
        <w:pStyle w:val="ListContinue"/>
        <w:rPr>
          <w:rFonts w:asciiTheme="minorHAnsi" w:hAnsiTheme="minorHAnsi" w:cstheme="minorHAnsi"/>
          <w:lang w:val="fr-FR"/>
        </w:rPr>
      </w:pPr>
      <w:r w:rsidRPr="00C73365">
        <w:rPr>
          <w:rFonts w:asciiTheme="minorHAnsi" w:hAnsiTheme="minorHAnsi" w:cstheme="minorHAnsi"/>
          <w:lang w:val="fr-FR"/>
        </w:rPr>
        <w:t>Le Président, le Directeur général et la majorité des administrateurs sont actionnaires, directement ou indirectement de la Société et/ou titulaires de valeurs mobilières donnant accès au capital de la Société (cf. section 15.1 « Rémunérations des mandataires sociaux » et chapitre 18 « Principaux actionnaires » du présent document de référence).</w:t>
      </w:r>
    </w:p>
    <w:p w:rsidR="00B740A8" w:rsidRPr="00C73365" w:rsidRDefault="00B740A8" w:rsidP="004572A0">
      <w:pPr>
        <w:pStyle w:val="ListContinue"/>
        <w:rPr>
          <w:rFonts w:asciiTheme="minorHAnsi" w:hAnsiTheme="minorHAnsi" w:cstheme="minorHAnsi"/>
          <w:lang w:val="fr-FR"/>
        </w:rPr>
      </w:pPr>
      <w:r w:rsidRPr="00C73365">
        <w:rPr>
          <w:rFonts w:asciiTheme="minorHAnsi" w:hAnsiTheme="minorHAnsi" w:cstheme="minorHAnsi"/>
          <w:lang w:val="fr-FR"/>
        </w:rPr>
        <w:t>A la date d’enregistrement du présent document de référence et hormis les conventions réglementées listées au chapitre 19 du présent document de référence qui ont fait soit l’objet d’une autorisation préalable par le conseil d’administration avec le vote favorable d’un ou plusieurs administrateurs indépendants, soit d’une ratification en assemblée générale, il n’existe pas, à la connaissance de la Société, de conflit actuel ou potentiel entre les intérêts privés des membres du conseil d’administration de la Société et l’intérêt de la Société.</w:t>
      </w:r>
    </w:p>
    <w:p w:rsidR="00B740A8" w:rsidRPr="00C73365" w:rsidRDefault="00B740A8" w:rsidP="004572A0">
      <w:pPr>
        <w:pStyle w:val="ListContinue"/>
        <w:rPr>
          <w:rFonts w:asciiTheme="minorHAnsi" w:hAnsiTheme="minorHAnsi" w:cstheme="minorHAnsi"/>
          <w:lang w:val="fr-FR"/>
        </w:rPr>
      </w:pPr>
      <w:r w:rsidRPr="00C73365">
        <w:rPr>
          <w:rFonts w:asciiTheme="minorHAnsi" w:hAnsiTheme="minorHAnsi" w:cstheme="minorHAnsi"/>
          <w:lang w:val="fr-FR"/>
        </w:rPr>
        <w:t>Pour la notion d’administrateur indépendant, se référer aux paragraphes 14.1.1 et 16.3.1 du présent document de référence.</w:t>
      </w:r>
    </w:p>
    <w:p w:rsidR="00B740A8" w:rsidRPr="00C73365" w:rsidRDefault="00B740A8" w:rsidP="004572A0">
      <w:pPr>
        <w:pStyle w:val="ListContinue"/>
        <w:rPr>
          <w:rFonts w:asciiTheme="minorHAnsi" w:hAnsiTheme="minorHAnsi" w:cstheme="minorHAnsi"/>
          <w:lang w:val="fr-FR"/>
        </w:rPr>
      </w:pPr>
      <w:r w:rsidRPr="00C73365">
        <w:rPr>
          <w:rFonts w:asciiTheme="minorHAnsi" w:hAnsiTheme="minorHAnsi" w:cstheme="minorHAnsi"/>
          <w:lang w:val="fr-FR"/>
        </w:rPr>
        <w:t>Il n’existe pas, à la connaissance de la Société, d’autre pacte ou accord quelconque conclu avec des actionnaires, clients fournisseurs ou autres aux termes duquel l’un des administrateurs de la Société a été nommé.</w:t>
      </w:r>
    </w:p>
    <w:p w:rsidR="00B740A8" w:rsidRPr="00C73365" w:rsidRDefault="00B740A8" w:rsidP="00B740A8">
      <w:pPr>
        <w:pStyle w:val="ConmainL1"/>
        <w:numPr>
          <w:ilvl w:val="0"/>
          <w:numId w:val="9"/>
        </w:numPr>
        <w:rPr>
          <w:rFonts w:asciiTheme="minorHAnsi" w:hAnsiTheme="minorHAnsi" w:cstheme="minorHAnsi"/>
          <w:sz w:val="22"/>
          <w:lang w:val="fr-FR"/>
        </w:rPr>
      </w:pPr>
      <w:bookmarkStart w:id="769" w:name="_Toc401594107"/>
      <w:bookmarkStart w:id="770" w:name="_Toc462673270"/>
      <w:bookmarkStart w:id="771" w:name="_Toc467835619"/>
      <w:bookmarkStart w:id="772" w:name="_Toc482695290"/>
      <w:bookmarkStart w:id="773" w:name="_Toc512863932"/>
      <w:r w:rsidRPr="00C73365">
        <w:rPr>
          <w:rFonts w:asciiTheme="minorHAnsi" w:hAnsiTheme="minorHAnsi" w:cstheme="minorHAnsi"/>
          <w:sz w:val="22"/>
          <w:lang w:val="fr-FR"/>
        </w:rPr>
        <w:lastRenderedPageBreak/>
        <w:t>REMUNERATIONS ET AVANTAGES</w:t>
      </w:r>
      <w:bookmarkEnd w:id="769"/>
      <w:bookmarkEnd w:id="770"/>
      <w:bookmarkEnd w:id="771"/>
      <w:bookmarkEnd w:id="772"/>
      <w:bookmarkEnd w:id="773"/>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774" w:name="_Toc401594108"/>
      <w:bookmarkStart w:id="775" w:name="_Toc462673271"/>
      <w:bookmarkStart w:id="776" w:name="_Toc482695291"/>
      <w:bookmarkStart w:id="777" w:name="_Toc512863933"/>
      <w:r w:rsidRPr="00C73365">
        <w:rPr>
          <w:rFonts w:asciiTheme="minorHAnsi" w:hAnsiTheme="minorHAnsi" w:cstheme="minorHAnsi"/>
          <w:sz w:val="22"/>
          <w:lang w:val="fr-FR"/>
        </w:rPr>
        <w:t>Rémunérations des mandataires sociaux</w:t>
      </w:r>
      <w:bookmarkEnd w:id="774"/>
      <w:bookmarkEnd w:id="775"/>
      <w:bookmarkEnd w:id="776"/>
      <w:bookmarkEnd w:id="777"/>
      <w:r w:rsidRPr="00C73365">
        <w:rPr>
          <w:rFonts w:asciiTheme="minorHAnsi" w:hAnsiTheme="minorHAnsi" w:cstheme="minorHAnsi"/>
          <w:sz w:val="22"/>
          <w:lang w:val="fr-FR"/>
        </w:rPr>
        <w:t xml:space="preserve"> </w:t>
      </w:r>
    </w:p>
    <w:p w:rsidR="00B740A8" w:rsidRPr="00C73365" w:rsidRDefault="00B740A8" w:rsidP="00B740A8">
      <w:pPr>
        <w:pStyle w:val="ConmainL2"/>
        <w:numPr>
          <w:ilvl w:val="0"/>
          <w:numId w:val="0"/>
        </w:numPr>
        <w:spacing w:after="0"/>
        <w:outlineLvl w:val="9"/>
        <w:rPr>
          <w:rFonts w:asciiTheme="minorHAnsi" w:hAnsiTheme="minorHAnsi" w:cstheme="minorHAnsi"/>
          <w:sz w:val="22"/>
          <w:lang w:val="fr-FR"/>
        </w:rPr>
      </w:pPr>
    </w:p>
    <w:p w:rsidR="00B740A8" w:rsidRPr="00C73365" w:rsidRDefault="00B740A8" w:rsidP="009D60ED">
      <w:pPr>
        <w:pStyle w:val="ListContinue2"/>
        <w:rPr>
          <w:rFonts w:asciiTheme="minorHAnsi" w:hAnsiTheme="minorHAnsi" w:cstheme="minorHAnsi"/>
          <w:lang w:val="fr-FR"/>
        </w:rPr>
      </w:pPr>
      <w:r w:rsidRPr="00C73365">
        <w:rPr>
          <w:rFonts w:asciiTheme="minorHAnsi" w:hAnsiTheme="minorHAnsi" w:cstheme="minorHAnsi"/>
          <w:lang w:val="fr-FR"/>
        </w:rPr>
        <w:t xml:space="preserve">L’information est établie en se référant au Code de gouvernement d’entreprise tel qu’il a été publié en décembre 2009 par Middlenext, mis à jour en </w:t>
      </w:r>
      <w:r w:rsidR="00E73A7C">
        <w:rPr>
          <w:rFonts w:asciiTheme="minorHAnsi" w:hAnsiTheme="minorHAnsi" w:cstheme="minorHAnsi"/>
          <w:lang w:val="fr-FR"/>
        </w:rPr>
        <w:t>septembre</w:t>
      </w:r>
      <w:r w:rsidRPr="00C73365">
        <w:rPr>
          <w:rFonts w:asciiTheme="minorHAnsi" w:hAnsiTheme="minorHAnsi" w:cstheme="minorHAnsi"/>
          <w:lang w:val="fr-FR"/>
        </w:rPr>
        <w:t xml:space="preserve"> 2016 et validé en tant que code de référence par l’AMF.</w:t>
      </w:r>
      <w:r w:rsidR="009D60ED">
        <w:rPr>
          <w:rFonts w:asciiTheme="minorHAnsi" w:hAnsiTheme="minorHAnsi" w:cstheme="minorHAnsi"/>
          <w:lang w:val="fr-FR"/>
        </w:rPr>
        <w:t xml:space="preserve"> </w:t>
      </w:r>
      <w:r w:rsidRPr="00C73365">
        <w:rPr>
          <w:rFonts w:asciiTheme="minorHAnsi" w:hAnsiTheme="minorHAnsi" w:cstheme="minorHAnsi"/>
          <w:lang w:val="fr-FR"/>
        </w:rPr>
        <w:t>Les tableaux du présent chapitre relèvent de l’annexe 2 de la Position-recommandation AMF n°2014-14 « Guide d’élaboration des documents de référence adapté aux valeurs moyennes – DOC 2014-14 » publiée par l’Autorité des marchés financiers le 2 décembre 2014 telle que modifiée le 13 avril 2015.</w:t>
      </w:r>
    </w:p>
    <w:p w:rsidR="00B740A8" w:rsidRPr="00C73365" w:rsidRDefault="00B740A8" w:rsidP="004572A0">
      <w:pPr>
        <w:pStyle w:val="ListContinue2"/>
        <w:rPr>
          <w:rFonts w:asciiTheme="minorHAnsi" w:hAnsiTheme="minorHAnsi" w:cstheme="minorHAnsi"/>
          <w:b/>
          <w:lang w:val="fr-FR"/>
        </w:rPr>
      </w:pPr>
      <w:r w:rsidRPr="00C73365">
        <w:rPr>
          <w:rFonts w:asciiTheme="minorHAnsi" w:hAnsiTheme="minorHAnsi" w:cstheme="minorHAnsi"/>
          <w:b/>
          <w:lang w:val="fr-FR"/>
        </w:rPr>
        <w:t>Tableau 1 : Tableau de synthèse des rémunérations et des options et actions attribuées à chaque dirigeant mandataire social</w:t>
      </w:r>
    </w:p>
    <w:p w:rsidR="0058311D" w:rsidRPr="00C73365" w:rsidRDefault="00B740A8" w:rsidP="009D60ED">
      <w:pPr>
        <w:pStyle w:val="ListContinue2"/>
        <w:rPr>
          <w:rFonts w:asciiTheme="minorHAnsi" w:hAnsiTheme="minorHAnsi" w:cstheme="minorHAnsi"/>
          <w:lang w:val="fr-FR"/>
        </w:rPr>
      </w:pPr>
      <w:r w:rsidRPr="00C73365">
        <w:rPr>
          <w:rFonts w:asciiTheme="minorHAnsi" w:hAnsiTheme="minorHAnsi" w:cstheme="minorHAnsi"/>
          <w:lang w:val="fr-FR"/>
        </w:rPr>
        <w:t>Monsieur Philippe Pouletty ne perçoit aucune rémunération au titre de ses fonctions de président du conseil d’administration de la Société.</w:t>
      </w:r>
    </w:p>
    <w:tbl>
      <w:tblPr>
        <w:tblW w:w="8064" w:type="dxa"/>
        <w:tblInd w:w="789" w:type="dxa"/>
        <w:tblCellMar>
          <w:left w:w="70" w:type="dxa"/>
          <w:right w:w="70" w:type="dxa"/>
        </w:tblCellMar>
        <w:tblLook w:val="04A0" w:firstRow="1" w:lastRow="0" w:firstColumn="1" w:lastColumn="0" w:noHBand="0" w:noVBand="1"/>
      </w:tblPr>
      <w:tblGrid>
        <w:gridCol w:w="4033"/>
        <w:gridCol w:w="258"/>
        <w:gridCol w:w="1886"/>
        <w:gridCol w:w="1887"/>
      </w:tblGrid>
      <w:tr w:rsidR="00B740A8" w:rsidRPr="00C73365" w:rsidTr="009D60ED">
        <w:trPr>
          <w:trHeight w:val="222"/>
        </w:trPr>
        <w:tc>
          <w:tcPr>
            <w:tcW w:w="4033" w:type="dxa"/>
            <w:vMerge w:val="restart"/>
            <w:tcBorders>
              <w:top w:val="single" w:sz="8" w:space="0" w:color="7030A0"/>
              <w:left w:val="nil"/>
              <w:bottom w:val="single" w:sz="8" w:space="0" w:color="7030A0"/>
              <w:right w:val="nil"/>
            </w:tcBorders>
            <w:shd w:val="clear" w:color="000000" w:fill="FFFFFF"/>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Monsieur Philippe Pouletty – Président du conseil d’administration</w:t>
            </w:r>
          </w:p>
        </w:tc>
        <w:tc>
          <w:tcPr>
            <w:tcW w:w="258" w:type="dxa"/>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b/>
                <w:bCs/>
                <w:color w:val="000000"/>
                <w:szCs w:val="20"/>
                <w:lang w:val="fr-FR" w:eastAsia="fr-FR"/>
              </w:rPr>
            </w:pPr>
          </w:p>
        </w:tc>
        <w:tc>
          <w:tcPr>
            <w:tcW w:w="1886" w:type="dxa"/>
            <w:vMerge w:val="restart"/>
            <w:tcBorders>
              <w:top w:val="single" w:sz="8" w:space="0" w:color="7030A0"/>
              <w:left w:val="nil"/>
              <w:right w:val="nil"/>
            </w:tcBorders>
            <w:vAlign w:val="center"/>
          </w:tcPr>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Exercice 2016</w:t>
            </w:r>
          </w:p>
        </w:tc>
        <w:tc>
          <w:tcPr>
            <w:tcW w:w="1887" w:type="dxa"/>
            <w:vMerge w:val="restart"/>
            <w:tcBorders>
              <w:top w:val="single" w:sz="8" w:space="0" w:color="7030A0"/>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Exercice 2017</w:t>
            </w:r>
          </w:p>
        </w:tc>
      </w:tr>
      <w:tr w:rsidR="00B740A8" w:rsidRPr="00C73365" w:rsidTr="009D60ED">
        <w:trPr>
          <w:trHeight w:val="393"/>
        </w:trPr>
        <w:tc>
          <w:tcPr>
            <w:tcW w:w="4033" w:type="dxa"/>
            <w:vMerge/>
            <w:tcBorders>
              <w:top w:val="single" w:sz="8" w:space="0" w:color="7030A0"/>
              <w:left w:val="nil"/>
              <w:bottom w:val="single" w:sz="8" w:space="0" w:color="7030A0"/>
              <w:right w:val="nil"/>
            </w:tcBorders>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58" w:type="dxa"/>
            <w:tcBorders>
              <w:top w:val="nil"/>
              <w:left w:val="nil"/>
              <w:bottom w:val="nil"/>
              <w:right w:val="nil"/>
            </w:tcBorders>
            <w:shd w:val="clear" w:color="000000" w:fill="FFFFFF"/>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86" w:type="dxa"/>
            <w:vMerge/>
            <w:tcBorders>
              <w:left w:val="nil"/>
              <w:bottom w:val="single" w:sz="8" w:space="0" w:color="7030A0"/>
              <w:right w:val="nil"/>
            </w:tcBorders>
            <w:vAlign w:val="center"/>
          </w:tcPr>
          <w:p w:rsidR="00B740A8" w:rsidRPr="00C73365" w:rsidRDefault="00B740A8" w:rsidP="00D1541A">
            <w:pPr>
              <w:rPr>
                <w:rFonts w:asciiTheme="minorHAnsi" w:hAnsiTheme="minorHAnsi" w:cstheme="minorHAnsi"/>
                <w:b/>
                <w:bCs/>
                <w:color w:val="000000"/>
                <w:szCs w:val="20"/>
                <w:lang w:val="fr-FR" w:eastAsia="fr-FR"/>
              </w:rPr>
            </w:pPr>
          </w:p>
        </w:tc>
        <w:tc>
          <w:tcPr>
            <w:tcW w:w="1887" w:type="dxa"/>
            <w:vMerge/>
            <w:tcBorders>
              <w:top w:val="single" w:sz="8" w:space="0" w:color="7030A0"/>
              <w:left w:val="nil"/>
              <w:bottom w:val="single" w:sz="8" w:space="0" w:color="7030A0"/>
              <w:right w:val="nil"/>
            </w:tcBorders>
            <w:vAlign w:val="center"/>
            <w:hideMark/>
          </w:tcPr>
          <w:p w:rsidR="00B740A8" w:rsidRPr="00C73365" w:rsidRDefault="00B740A8" w:rsidP="00D1541A">
            <w:pPr>
              <w:rPr>
                <w:rFonts w:asciiTheme="minorHAnsi" w:hAnsiTheme="minorHAnsi" w:cstheme="minorHAnsi"/>
                <w:b/>
                <w:bCs/>
                <w:color w:val="000000"/>
                <w:szCs w:val="20"/>
                <w:lang w:val="fr-FR" w:eastAsia="fr-FR"/>
              </w:rPr>
            </w:pPr>
          </w:p>
        </w:tc>
      </w:tr>
      <w:tr w:rsidR="00B740A8" w:rsidRPr="00C73365" w:rsidTr="009D60ED">
        <w:trPr>
          <w:trHeight w:val="419"/>
        </w:trPr>
        <w:tc>
          <w:tcPr>
            <w:tcW w:w="4033" w:type="dxa"/>
            <w:tcBorders>
              <w:top w:val="nil"/>
              <w:left w:val="nil"/>
              <w:bottom w:val="single" w:sz="8" w:space="0" w:color="7030A0"/>
              <w:right w:val="nil"/>
            </w:tcBorders>
            <w:shd w:val="clear" w:color="000000" w:fill="FFFFFF"/>
            <w:vAlign w:val="center"/>
            <w:hideMark/>
          </w:tcPr>
          <w:p w:rsidR="00B740A8" w:rsidRPr="00C73365" w:rsidRDefault="00B740A8" w:rsidP="00D1541A">
            <w:pPr>
              <w:rPr>
                <w:rFonts w:asciiTheme="minorHAnsi" w:hAnsiTheme="minorHAnsi" w:cstheme="minorHAnsi"/>
                <w:szCs w:val="20"/>
                <w:lang w:val="fr-FR" w:eastAsia="fr-FR"/>
              </w:rPr>
            </w:pPr>
            <w:r w:rsidRPr="00C73365">
              <w:rPr>
                <w:rFonts w:asciiTheme="minorHAnsi" w:hAnsiTheme="minorHAnsi" w:cstheme="minorHAnsi"/>
                <w:szCs w:val="20"/>
                <w:lang w:val="fr-FR" w:eastAsia="fr-FR"/>
              </w:rPr>
              <w:t xml:space="preserve">Rémunérations dues au titre de l’exercice </w:t>
            </w:r>
            <w:r w:rsidRPr="00C73365">
              <w:rPr>
                <w:rFonts w:asciiTheme="minorHAnsi" w:hAnsiTheme="minorHAnsi" w:cstheme="minorHAnsi"/>
                <w:i/>
                <w:sz w:val="18"/>
                <w:szCs w:val="20"/>
                <w:lang w:val="fr-FR" w:eastAsia="fr-FR"/>
              </w:rPr>
              <w:t>(cf. détail dans Tableau 2)</w:t>
            </w:r>
          </w:p>
        </w:tc>
        <w:tc>
          <w:tcPr>
            <w:tcW w:w="258" w:type="dxa"/>
            <w:tcBorders>
              <w:top w:val="nil"/>
              <w:left w:val="nil"/>
              <w:bottom w:val="nil"/>
              <w:right w:val="nil"/>
            </w:tcBorders>
            <w:shd w:val="clear" w:color="000000" w:fill="FFFFFF"/>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86" w:type="dxa"/>
            <w:tcBorders>
              <w:top w:val="nil"/>
              <w:left w:val="nil"/>
              <w:bottom w:val="single" w:sz="8" w:space="0" w:color="7030A0"/>
              <w:right w:val="nil"/>
            </w:tcBorders>
            <w:shd w:val="clear" w:color="000000" w:fill="FFFFFF"/>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0 €</w:t>
            </w:r>
          </w:p>
        </w:tc>
        <w:tc>
          <w:tcPr>
            <w:tcW w:w="1887" w:type="dxa"/>
            <w:tcBorders>
              <w:top w:val="nil"/>
              <w:left w:val="nil"/>
              <w:bottom w:val="single" w:sz="8" w:space="0" w:color="7030A0"/>
              <w:right w:val="nil"/>
            </w:tcBorders>
            <w:shd w:val="clear" w:color="000000" w:fill="FFFFFF"/>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0 €</w:t>
            </w:r>
          </w:p>
        </w:tc>
      </w:tr>
      <w:tr w:rsidR="00B740A8" w:rsidRPr="00C73365" w:rsidTr="009D60ED">
        <w:trPr>
          <w:trHeight w:val="628"/>
        </w:trPr>
        <w:tc>
          <w:tcPr>
            <w:tcW w:w="4033" w:type="dxa"/>
            <w:tcBorders>
              <w:top w:val="nil"/>
              <w:left w:val="nil"/>
              <w:bottom w:val="single" w:sz="8" w:space="0" w:color="7030A0"/>
              <w:right w:val="nil"/>
            </w:tcBorders>
            <w:shd w:val="clear" w:color="000000" w:fill="FFFFFF"/>
            <w:vAlign w:val="center"/>
            <w:hideMark/>
          </w:tcPr>
          <w:p w:rsidR="00B740A8" w:rsidRPr="00C73365" w:rsidRDefault="00B740A8" w:rsidP="00D1541A">
            <w:pPr>
              <w:rPr>
                <w:rFonts w:asciiTheme="minorHAnsi" w:hAnsiTheme="minorHAnsi" w:cstheme="minorHAnsi"/>
                <w:szCs w:val="20"/>
                <w:lang w:val="fr-FR" w:eastAsia="fr-FR"/>
              </w:rPr>
            </w:pPr>
            <w:r w:rsidRPr="00C73365">
              <w:rPr>
                <w:rFonts w:asciiTheme="minorHAnsi" w:hAnsiTheme="minorHAnsi" w:cstheme="minorHAnsi"/>
                <w:szCs w:val="20"/>
                <w:lang w:val="fr-FR" w:eastAsia="fr-FR"/>
              </w:rPr>
              <w:t xml:space="preserve">Valorisation des rémunérations variables pluriannuelles attribuées au cours de l’exercice </w:t>
            </w:r>
            <w:r w:rsidRPr="00C73365">
              <w:rPr>
                <w:rFonts w:asciiTheme="minorHAnsi" w:hAnsiTheme="minorHAnsi" w:cstheme="minorHAnsi"/>
                <w:i/>
                <w:sz w:val="18"/>
                <w:szCs w:val="20"/>
                <w:lang w:val="fr-FR" w:eastAsia="fr-FR"/>
              </w:rPr>
              <w:t>(cf. détail dans Tableau 2)</w:t>
            </w:r>
          </w:p>
        </w:tc>
        <w:tc>
          <w:tcPr>
            <w:tcW w:w="258" w:type="dxa"/>
            <w:tcBorders>
              <w:top w:val="nil"/>
              <w:left w:val="nil"/>
              <w:bottom w:val="nil"/>
              <w:right w:val="nil"/>
            </w:tcBorders>
            <w:shd w:val="clear" w:color="000000" w:fill="FFFFFF"/>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86" w:type="dxa"/>
            <w:tcBorders>
              <w:top w:val="nil"/>
              <w:left w:val="nil"/>
              <w:bottom w:val="single" w:sz="8" w:space="0" w:color="7030A0"/>
              <w:right w:val="nil"/>
            </w:tcBorders>
            <w:shd w:val="clear" w:color="000000" w:fill="FFFFFF"/>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887" w:type="dxa"/>
            <w:tcBorders>
              <w:top w:val="nil"/>
              <w:left w:val="nil"/>
              <w:bottom w:val="single" w:sz="8" w:space="0" w:color="7030A0"/>
              <w:right w:val="nil"/>
            </w:tcBorders>
            <w:shd w:val="clear" w:color="000000" w:fill="FFFFFF"/>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9D60ED">
        <w:trPr>
          <w:trHeight w:val="419"/>
        </w:trPr>
        <w:tc>
          <w:tcPr>
            <w:tcW w:w="4033" w:type="dxa"/>
            <w:tcBorders>
              <w:top w:val="nil"/>
              <w:left w:val="nil"/>
              <w:bottom w:val="single" w:sz="8" w:space="0" w:color="7030A0"/>
              <w:right w:val="nil"/>
            </w:tcBorders>
            <w:shd w:val="clear" w:color="000000" w:fill="FFFFFF"/>
            <w:vAlign w:val="center"/>
            <w:hideMark/>
          </w:tcPr>
          <w:p w:rsidR="00B740A8" w:rsidRPr="00C73365" w:rsidRDefault="00AA2E60" w:rsidP="00D1541A">
            <w:pPr>
              <w:rPr>
                <w:rFonts w:asciiTheme="minorHAnsi" w:hAnsiTheme="minorHAnsi" w:cstheme="minorHAnsi"/>
                <w:szCs w:val="20"/>
                <w:lang w:val="fr-FR" w:eastAsia="fr-FR"/>
              </w:rPr>
            </w:pPr>
            <w:r>
              <w:rPr>
                <w:rFonts w:asciiTheme="minorHAnsi" w:hAnsiTheme="minorHAnsi" w:cstheme="minorHAnsi"/>
                <w:szCs w:val="20"/>
                <w:lang w:val="fr-FR" w:eastAsia="fr-FR"/>
              </w:rPr>
              <w:t xml:space="preserve"> </w:t>
            </w:r>
            <w:r w:rsidR="00B740A8" w:rsidRPr="00C73365">
              <w:rPr>
                <w:rFonts w:asciiTheme="minorHAnsi" w:hAnsiTheme="minorHAnsi" w:cstheme="minorHAnsi"/>
                <w:szCs w:val="20"/>
                <w:lang w:val="fr-FR" w:eastAsia="fr-FR"/>
              </w:rPr>
              <w:t xml:space="preserve">Valorisation des options attribuées au cours de l’exercice </w:t>
            </w:r>
            <w:r w:rsidR="00B740A8" w:rsidRPr="00C73365">
              <w:rPr>
                <w:rFonts w:asciiTheme="minorHAnsi" w:hAnsiTheme="minorHAnsi" w:cstheme="minorHAnsi"/>
                <w:i/>
                <w:sz w:val="18"/>
                <w:szCs w:val="20"/>
                <w:lang w:val="fr-FR" w:eastAsia="fr-FR"/>
              </w:rPr>
              <w:t>(cf. détail dans Tableau 4)</w:t>
            </w:r>
          </w:p>
        </w:tc>
        <w:tc>
          <w:tcPr>
            <w:tcW w:w="258" w:type="dxa"/>
            <w:tcBorders>
              <w:top w:val="nil"/>
              <w:left w:val="nil"/>
              <w:bottom w:val="nil"/>
              <w:right w:val="nil"/>
            </w:tcBorders>
            <w:shd w:val="clear" w:color="000000" w:fill="FFFFFF"/>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86" w:type="dxa"/>
            <w:tcBorders>
              <w:top w:val="nil"/>
              <w:left w:val="nil"/>
              <w:bottom w:val="single" w:sz="8" w:space="0" w:color="7030A0"/>
              <w:right w:val="nil"/>
            </w:tcBorders>
            <w:shd w:val="clear" w:color="000000" w:fill="FFFFFF"/>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887" w:type="dxa"/>
            <w:tcBorders>
              <w:top w:val="nil"/>
              <w:left w:val="nil"/>
              <w:bottom w:val="single" w:sz="8" w:space="0" w:color="7030A0"/>
              <w:right w:val="nil"/>
            </w:tcBorders>
            <w:shd w:val="clear" w:color="000000" w:fill="FFFFFF"/>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9D60ED">
        <w:trPr>
          <w:trHeight w:val="628"/>
        </w:trPr>
        <w:tc>
          <w:tcPr>
            <w:tcW w:w="4033" w:type="dxa"/>
            <w:tcBorders>
              <w:top w:val="nil"/>
              <w:left w:val="nil"/>
              <w:bottom w:val="single" w:sz="8" w:space="0" w:color="7030A0"/>
              <w:right w:val="nil"/>
            </w:tcBorders>
            <w:shd w:val="clear" w:color="000000" w:fill="FFFFFF"/>
            <w:vAlign w:val="center"/>
            <w:hideMark/>
          </w:tcPr>
          <w:p w:rsidR="00B740A8" w:rsidRPr="00C73365" w:rsidRDefault="00B740A8" w:rsidP="00D1541A">
            <w:pPr>
              <w:rPr>
                <w:rFonts w:asciiTheme="minorHAnsi" w:hAnsiTheme="minorHAnsi" w:cstheme="minorHAnsi"/>
                <w:szCs w:val="20"/>
                <w:lang w:val="fr-FR" w:eastAsia="fr-FR"/>
              </w:rPr>
            </w:pPr>
            <w:r w:rsidRPr="00C73365">
              <w:rPr>
                <w:rFonts w:asciiTheme="minorHAnsi" w:hAnsiTheme="minorHAnsi" w:cstheme="minorHAnsi"/>
                <w:szCs w:val="20"/>
                <w:lang w:val="fr-FR" w:eastAsia="fr-FR"/>
              </w:rPr>
              <w:t xml:space="preserve">Valorisation des actions attribuées gratuitement au titre de l’exercice </w:t>
            </w:r>
            <w:r w:rsidRPr="00C73365">
              <w:rPr>
                <w:rFonts w:asciiTheme="minorHAnsi" w:hAnsiTheme="minorHAnsi" w:cstheme="minorHAnsi"/>
                <w:i/>
                <w:sz w:val="18"/>
                <w:szCs w:val="20"/>
                <w:lang w:val="fr-FR" w:eastAsia="fr-FR"/>
              </w:rPr>
              <w:t>(cf. détail dans Tableau 6)</w:t>
            </w:r>
          </w:p>
        </w:tc>
        <w:tc>
          <w:tcPr>
            <w:tcW w:w="258" w:type="dxa"/>
            <w:tcBorders>
              <w:top w:val="nil"/>
              <w:left w:val="nil"/>
              <w:bottom w:val="nil"/>
              <w:right w:val="nil"/>
            </w:tcBorders>
            <w:shd w:val="clear" w:color="000000" w:fill="FFFFFF"/>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86" w:type="dxa"/>
            <w:tcBorders>
              <w:top w:val="nil"/>
              <w:left w:val="nil"/>
              <w:bottom w:val="single" w:sz="8" w:space="0" w:color="7030A0"/>
              <w:right w:val="nil"/>
            </w:tcBorders>
            <w:shd w:val="clear" w:color="000000" w:fill="FFFFFF"/>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887" w:type="dxa"/>
            <w:tcBorders>
              <w:top w:val="nil"/>
              <w:left w:val="nil"/>
              <w:bottom w:val="single" w:sz="8" w:space="0" w:color="7030A0"/>
              <w:right w:val="nil"/>
            </w:tcBorders>
            <w:shd w:val="clear" w:color="000000" w:fill="FFFFFF"/>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9D60ED">
        <w:trPr>
          <w:trHeight w:val="338"/>
        </w:trPr>
        <w:tc>
          <w:tcPr>
            <w:tcW w:w="4033" w:type="dxa"/>
            <w:tcBorders>
              <w:top w:val="nil"/>
              <w:left w:val="nil"/>
              <w:bottom w:val="single" w:sz="8" w:space="0" w:color="7030A0"/>
              <w:right w:val="nil"/>
            </w:tcBorders>
            <w:shd w:val="clear" w:color="auto" w:fill="auto"/>
            <w:noWrap/>
            <w:vAlign w:val="center"/>
            <w:hideMark/>
          </w:tcPr>
          <w:p w:rsidR="00B740A8" w:rsidRPr="00C73365" w:rsidRDefault="00B740A8" w:rsidP="00D1541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258"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
                <w:bCs/>
                <w:color w:val="7030A0"/>
                <w:szCs w:val="20"/>
                <w:lang w:val="fr-FR" w:eastAsia="fr-FR"/>
              </w:rPr>
            </w:pPr>
          </w:p>
        </w:tc>
        <w:tc>
          <w:tcPr>
            <w:tcW w:w="1886" w:type="dxa"/>
            <w:tcBorders>
              <w:top w:val="nil"/>
              <w:left w:val="nil"/>
              <w:bottom w:val="single" w:sz="8" w:space="0" w:color="7030A0"/>
              <w:right w:val="nil"/>
            </w:tcBorders>
            <w:vAlign w:val="center"/>
          </w:tcPr>
          <w:p w:rsidR="00B740A8" w:rsidRPr="00C73365" w:rsidRDefault="00B740A8" w:rsidP="00D1541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0 €</w:t>
            </w:r>
          </w:p>
        </w:tc>
        <w:tc>
          <w:tcPr>
            <w:tcW w:w="1887"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0 €</w:t>
            </w:r>
          </w:p>
        </w:tc>
      </w:tr>
    </w:tbl>
    <w:p w:rsidR="0058311D" w:rsidRDefault="0058311D" w:rsidP="00B740A8">
      <w:pPr>
        <w:tabs>
          <w:tab w:val="left" w:pos="1552"/>
        </w:tabs>
        <w:rPr>
          <w:rFonts w:asciiTheme="minorHAnsi" w:hAnsiTheme="minorHAnsi" w:cstheme="minorHAnsi"/>
          <w:szCs w:val="22"/>
          <w:lang w:val="fr-FR"/>
        </w:rPr>
      </w:pPr>
    </w:p>
    <w:tbl>
      <w:tblPr>
        <w:tblpPr w:leftFromText="180" w:rightFromText="180" w:vertAnchor="text" w:horzAnchor="margin" w:tblpXSpec="center" w:tblpY="33"/>
        <w:tblW w:w="8276" w:type="dxa"/>
        <w:tblLayout w:type="fixed"/>
        <w:tblCellMar>
          <w:left w:w="70" w:type="dxa"/>
          <w:right w:w="70" w:type="dxa"/>
        </w:tblCellMar>
        <w:tblLook w:val="04A0" w:firstRow="1" w:lastRow="0" w:firstColumn="1" w:lastColumn="0" w:noHBand="0" w:noVBand="1"/>
      </w:tblPr>
      <w:tblGrid>
        <w:gridCol w:w="4125"/>
        <w:gridCol w:w="373"/>
        <w:gridCol w:w="1873"/>
        <w:gridCol w:w="95"/>
        <w:gridCol w:w="1779"/>
        <w:gridCol w:w="31"/>
      </w:tblGrid>
      <w:tr w:rsidR="009D60ED" w:rsidRPr="00C73365" w:rsidTr="009D60ED">
        <w:trPr>
          <w:gridAfter w:val="1"/>
          <w:wAfter w:w="31" w:type="dxa"/>
          <w:trHeight w:val="273"/>
        </w:trPr>
        <w:tc>
          <w:tcPr>
            <w:tcW w:w="4125" w:type="dxa"/>
            <w:vMerge w:val="restart"/>
            <w:tcBorders>
              <w:top w:val="single" w:sz="8" w:space="0" w:color="7030A0"/>
              <w:left w:val="nil"/>
              <w:bottom w:val="single" w:sz="8" w:space="0" w:color="7030A0"/>
              <w:right w:val="nil"/>
            </w:tcBorders>
            <w:shd w:val="clear" w:color="auto" w:fill="FFFFFF"/>
            <w:vAlign w:val="center"/>
            <w:hideMark/>
          </w:tcPr>
          <w:p w:rsidR="009D60ED" w:rsidRPr="00C73365" w:rsidRDefault="009D60ED" w:rsidP="009D60ED">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Monsieur Hartmut Ehrlich – Directeur Général</w:t>
            </w:r>
          </w:p>
        </w:tc>
        <w:tc>
          <w:tcPr>
            <w:tcW w:w="373" w:type="dxa"/>
            <w:noWrap/>
            <w:vAlign w:val="bottom"/>
            <w:hideMark/>
          </w:tcPr>
          <w:p w:rsidR="009D60ED" w:rsidRPr="00C73365" w:rsidRDefault="009D60ED" w:rsidP="009D60ED">
            <w:pPr>
              <w:rPr>
                <w:rFonts w:asciiTheme="minorHAnsi" w:hAnsiTheme="minorHAnsi" w:cstheme="minorHAnsi"/>
                <w:b/>
                <w:bCs/>
                <w:color w:val="000000"/>
                <w:szCs w:val="20"/>
                <w:lang w:val="fr-FR" w:eastAsia="fr-FR"/>
              </w:rPr>
            </w:pPr>
          </w:p>
        </w:tc>
        <w:tc>
          <w:tcPr>
            <w:tcW w:w="1873" w:type="dxa"/>
            <w:vMerge w:val="restart"/>
            <w:tcBorders>
              <w:top w:val="single" w:sz="8" w:space="0" w:color="7030A0"/>
              <w:left w:val="nil"/>
              <w:bottom w:val="single" w:sz="8" w:space="0" w:color="7030A0"/>
              <w:right w:val="nil"/>
            </w:tcBorders>
            <w:shd w:val="clear" w:color="auto" w:fill="FFFFFF"/>
            <w:vAlign w:val="center"/>
            <w:hideMark/>
          </w:tcPr>
          <w:p w:rsidR="009D60ED" w:rsidRPr="00C73365" w:rsidRDefault="009D60ED" w:rsidP="009D60ED">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Exercice 2016</w:t>
            </w:r>
          </w:p>
        </w:tc>
        <w:tc>
          <w:tcPr>
            <w:tcW w:w="1874" w:type="dxa"/>
            <w:gridSpan w:val="2"/>
            <w:vMerge w:val="restart"/>
            <w:tcBorders>
              <w:top w:val="single" w:sz="8" w:space="0" w:color="7030A0"/>
              <w:left w:val="nil"/>
              <w:bottom w:val="single" w:sz="8" w:space="0" w:color="7030A0"/>
              <w:right w:val="nil"/>
            </w:tcBorders>
            <w:shd w:val="clear" w:color="auto" w:fill="FFFFFF"/>
            <w:vAlign w:val="center"/>
            <w:hideMark/>
          </w:tcPr>
          <w:p w:rsidR="009D60ED" w:rsidRPr="00C73365" w:rsidRDefault="009D60ED" w:rsidP="009D60ED">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Exercice 2017</w:t>
            </w:r>
          </w:p>
        </w:tc>
      </w:tr>
      <w:tr w:rsidR="009D60ED" w:rsidRPr="00C73365" w:rsidTr="009D60ED">
        <w:trPr>
          <w:gridAfter w:val="1"/>
          <w:wAfter w:w="31" w:type="dxa"/>
          <w:trHeight w:val="525"/>
        </w:trPr>
        <w:tc>
          <w:tcPr>
            <w:tcW w:w="4125" w:type="dxa"/>
            <w:vMerge/>
            <w:tcBorders>
              <w:top w:val="single" w:sz="8" w:space="0" w:color="7030A0"/>
              <w:left w:val="nil"/>
              <w:bottom w:val="single" w:sz="8" w:space="0" w:color="7030A0"/>
              <w:right w:val="nil"/>
            </w:tcBorders>
            <w:vAlign w:val="center"/>
            <w:hideMark/>
          </w:tcPr>
          <w:p w:rsidR="009D60ED" w:rsidRPr="00C73365" w:rsidRDefault="009D60ED" w:rsidP="009D60ED">
            <w:pPr>
              <w:rPr>
                <w:rFonts w:asciiTheme="minorHAnsi" w:hAnsiTheme="minorHAnsi" w:cstheme="minorHAnsi"/>
                <w:b/>
                <w:bCs/>
                <w:color w:val="000000"/>
                <w:szCs w:val="20"/>
                <w:lang w:val="fr-FR" w:eastAsia="fr-FR"/>
              </w:rPr>
            </w:pPr>
          </w:p>
        </w:tc>
        <w:tc>
          <w:tcPr>
            <w:tcW w:w="373" w:type="dxa"/>
            <w:shd w:val="clear" w:color="auto" w:fill="FFFFFF"/>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73" w:type="dxa"/>
            <w:vMerge/>
            <w:tcBorders>
              <w:top w:val="single" w:sz="8" w:space="0" w:color="7030A0"/>
              <w:left w:val="nil"/>
              <w:bottom w:val="single" w:sz="8" w:space="0" w:color="7030A0"/>
              <w:right w:val="nil"/>
            </w:tcBorders>
            <w:vAlign w:val="center"/>
            <w:hideMark/>
          </w:tcPr>
          <w:p w:rsidR="009D60ED" w:rsidRPr="00C73365" w:rsidRDefault="009D60ED" w:rsidP="009D60ED">
            <w:pPr>
              <w:rPr>
                <w:rFonts w:asciiTheme="minorHAnsi" w:hAnsiTheme="minorHAnsi" w:cstheme="minorHAnsi"/>
                <w:b/>
                <w:bCs/>
                <w:color w:val="000000"/>
                <w:szCs w:val="20"/>
                <w:lang w:val="fr-FR" w:eastAsia="fr-FR"/>
              </w:rPr>
            </w:pPr>
          </w:p>
        </w:tc>
        <w:tc>
          <w:tcPr>
            <w:tcW w:w="1874" w:type="dxa"/>
            <w:gridSpan w:val="2"/>
            <w:vMerge/>
            <w:tcBorders>
              <w:top w:val="single" w:sz="8" w:space="0" w:color="7030A0"/>
              <w:left w:val="nil"/>
              <w:bottom w:val="single" w:sz="8" w:space="0" w:color="7030A0"/>
              <w:right w:val="nil"/>
            </w:tcBorders>
            <w:vAlign w:val="center"/>
            <w:hideMark/>
          </w:tcPr>
          <w:p w:rsidR="009D60ED" w:rsidRPr="00C73365" w:rsidRDefault="009D60ED" w:rsidP="009D60ED">
            <w:pPr>
              <w:rPr>
                <w:rFonts w:asciiTheme="minorHAnsi" w:hAnsiTheme="minorHAnsi" w:cstheme="minorHAnsi"/>
                <w:b/>
                <w:bCs/>
                <w:color w:val="000000"/>
                <w:szCs w:val="20"/>
                <w:lang w:val="fr-FR" w:eastAsia="fr-FR"/>
              </w:rPr>
            </w:pPr>
          </w:p>
        </w:tc>
      </w:tr>
      <w:tr w:rsidR="009D60ED" w:rsidRPr="00C73365" w:rsidTr="009D60ED">
        <w:trPr>
          <w:gridAfter w:val="1"/>
          <w:wAfter w:w="31" w:type="dxa"/>
          <w:trHeight w:val="536"/>
        </w:trPr>
        <w:tc>
          <w:tcPr>
            <w:tcW w:w="4125" w:type="dxa"/>
            <w:tcBorders>
              <w:top w:val="nil"/>
              <w:left w:val="nil"/>
              <w:bottom w:val="single" w:sz="8" w:space="0" w:color="7030A0"/>
              <w:right w:val="nil"/>
            </w:tcBorders>
            <w:shd w:val="clear" w:color="auto" w:fill="FFFFFF"/>
            <w:vAlign w:val="center"/>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Rémunérations versées au titre de l’exercice </w:t>
            </w:r>
            <w:r w:rsidRPr="00C73365">
              <w:rPr>
                <w:rFonts w:asciiTheme="minorHAnsi" w:hAnsiTheme="minorHAnsi" w:cstheme="minorHAnsi"/>
                <w:i/>
                <w:sz w:val="18"/>
                <w:szCs w:val="20"/>
                <w:lang w:val="fr-FR" w:eastAsia="fr-FR"/>
              </w:rPr>
              <w:t>(cf. détail dans Tableau 2)</w:t>
            </w:r>
          </w:p>
        </w:tc>
        <w:tc>
          <w:tcPr>
            <w:tcW w:w="373" w:type="dxa"/>
            <w:shd w:val="clear" w:color="auto" w:fill="FFFFFF"/>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73" w:type="dxa"/>
            <w:tcBorders>
              <w:top w:val="nil"/>
              <w:left w:val="nil"/>
              <w:bottom w:val="single" w:sz="8" w:space="0" w:color="7030A0"/>
              <w:right w:val="nil"/>
            </w:tcBorders>
            <w:shd w:val="clear" w:color="auto" w:fill="FFFFFF"/>
            <w:hideMark/>
          </w:tcPr>
          <w:p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365 760 €</w:t>
            </w:r>
            <w:r w:rsidRPr="00C73365" w:rsidDel="00E41F0A">
              <w:rPr>
                <w:rFonts w:asciiTheme="minorHAnsi" w:hAnsiTheme="minorHAnsi" w:cstheme="minorHAnsi"/>
                <w:color w:val="000000"/>
                <w:szCs w:val="20"/>
                <w:lang w:val="fr-FR" w:eastAsia="fr-FR"/>
              </w:rPr>
              <w:t xml:space="preserve"> </w:t>
            </w:r>
          </w:p>
        </w:tc>
        <w:tc>
          <w:tcPr>
            <w:tcW w:w="1874" w:type="dxa"/>
            <w:gridSpan w:val="2"/>
            <w:tcBorders>
              <w:top w:val="nil"/>
              <w:left w:val="nil"/>
              <w:bottom w:val="single" w:sz="8" w:space="0" w:color="7030A0"/>
              <w:right w:val="nil"/>
            </w:tcBorders>
            <w:shd w:val="clear" w:color="auto" w:fill="FFFFFF"/>
            <w:hideMark/>
          </w:tcPr>
          <w:p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352 972 €</w:t>
            </w:r>
          </w:p>
        </w:tc>
      </w:tr>
      <w:tr w:rsidR="009D60ED" w:rsidRPr="00C73365" w:rsidTr="009D60ED">
        <w:trPr>
          <w:gridAfter w:val="1"/>
          <w:wAfter w:w="31" w:type="dxa"/>
          <w:trHeight w:val="799"/>
        </w:trPr>
        <w:tc>
          <w:tcPr>
            <w:tcW w:w="4125" w:type="dxa"/>
            <w:tcBorders>
              <w:top w:val="nil"/>
              <w:left w:val="nil"/>
              <w:bottom w:val="single" w:sz="8" w:space="0" w:color="7030A0"/>
              <w:right w:val="nil"/>
            </w:tcBorders>
            <w:shd w:val="clear" w:color="auto" w:fill="FFFFFF"/>
            <w:vAlign w:val="center"/>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Valorisation des rémunérations variables pluriannuelles attribuées au cours de l’exercice </w:t>
            </w:r>
            <w:r w:rsidRPr="00C73365">
              <w:rPr>
                <w:rFonts w:asciiTheme="minorHAnsi" w:hAnsiTheme="minorHAnsi" w:cstheme="minorHAnsi"/>
                <w:i/>
                <w:sz w:val="18"/>
                <w:szCs w:val="20"/>
                <w:lang w:val="fr-FR" w:eastAsia="fr-FR"/>
              </w:rPr>
              <w:t>(cf. détail dans Tableau 2)</w:t>
            </w:r>
          </w:p>
        </w:tc>
        <w:tc>
          <w:tcPr>
            <w:tcW w:w="373" w:type="dxa"/>
            <w:shd w:val="clear" w:color="auto" w:fill="FFFFFF"/>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73" w:type="dxa"/>
            <w:tcBorders>
              <w:top w:val="nil"/>
              <w:left w:val="nil"/>
              <w:bottom w:val="single" w:sz="8" w:space="0" w:color="7030A0"/>
              <w:right w:val="nil"/>
            </w:tcBorders>
            <w:shd w:val="clear" w:color="auto" w:fill="FFFFFF"/>
            <w:hideMark/>
          </w:tcPr>
          <w:p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874" w:type="dxa"/>
            <w:gridSpan w:val="2"/>
            <w:tcBorders>
              <w:top w:val="nil"/>
              <w:left w:val="nil"/>
              <w:bottom w:val="single" w:sz="8" w:space="0" w:color="7030A0"/>
              <w:right w:val="nil"/>
            </w:tcBorders>
            <w:shd w:val="clear" w:color="auto" w:fill="FFFFFF"/>
            <w:hideMark/>
          </w:tcPr>
          <w:p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9D60ED" w:rsidRPr="009D60ED" w:rsidTr="009D60ED">
        <w:trPr>
          <w:gridAfter w:val="1"/>
          <w:wAfter w:w="31" w:type="dxa"/>
          <w:trHeight w:val="536"/>
        </w:trPr>
        <w:tc>
          <w:tcPr>
            <w:tcW w:w="4125" w:type="dxa"/>
            <w:tcBorders>
              <w:top w:val="nil"/>
              <w:left w:val="nil"/>
              <w:bottom w:val="single" w:sz="8" w:space="0" w:color="7030A0"/>
              <w:right w:val="nil"/>
            </w:tcBorders>
            <w:shd w:val="clear" w:color="auto" w:fill="FFFFFF"/>
            <w:vAlign w:val="center"/>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Valorisation des options attribuées au cours de l’exercice </w:t>
            </w:r>
            <w:r w:rsidRPr="00C73365">
              <w:rPr>
                <w:rFonts w:asciiTheme="minorHAnsi" w:hAnsiTheme="minorHAnsi" w:cstheme="minorHAnsi"/>
                <w:i/>
                <w:sz w:val="18"/>
                <w:szCs w:val="20"/>
                <w:lang w:val="fr-FR" w:eastAsia="fr-FR"/>
              </w:rPr>
              <w:t>(cf. détail dans Tableau 4)</w:t>
            </w:r>
          </w:p>
        </w:tc>
        <w:tc>
          <w:tcPr>
            <w:tcW w:w="373" w:type="dxa"/>
            <w:shd w:val="clear" w:color="auto" w:fill="FFFFFF"/>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73" w:type="dxa"/>
            <w:tcBorders>
              <w:top w:val="nil"/>
              <w:left w:val="nil"/>
              <w:bottom w:val="single" w:sz="8" w:space="0" w:color="7030A0"/>
              <w:right w:val="nil"/>
            </w:tcBorders>
            <w:shd w:val="clear" w:color="auto" w:fill="FFFFFF"/>
            <w:hideMark/>
          </w:tcPr>
          <w:p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874" w:type="dxa"/>
            <w:gridSpan w:val="2"/>
            <w:tcBorders>
              <w:top w:val="nil"/>
              <w:left w:val="nil"/>
              <w:bottom w:val="single" w:sz="8" w:space="0" w:color="7030A0"/>
              <w:right w:val="nil"/>
            </w:tcBorders>
            <w:shd w:val="clear" w:color="auto" w:fill="FFFFFF"/>
            <w:hideMark/>
          </w:tcPr>
          <w:p w:rsidR="009D60ED" w:rsidRPr="009D60ED" w:rsidRDefault="009D60ED" w:rsidP="009D60ED">
            <w:pPr>
              <w:jc w:val="right"/>
              <w:rPr>
                <w:rFonts w:asciiTheme="minorHAnsi" w:hAnsiTheme="minorHAnsi" w:cstheme="minorHAnsi"/>
                <w:color w:val="000000"/>
                <w:szCs w:val="20"/>
                <w:lang w:val="fr-FR" w:eastAsia="fr-FR"/>
              </w:rPr>
            </w:pPr>
            <w:r w:rsidRPr="009D60ED">
              <w:rPr>
                <w:rFonts w:asciiTheme="minorHAnsi" w:hAnsiTheme="minorHAnsi" w:cstheme="minorHAnsi"/>
                <w:b/>
                <w:color w:val="7030A0"/>
                <w:szCs w:val="20"/>
                <w:lang w:val="fr-FR" w:eastAsia="fr-FR"/>
              </w:rPr>
              <w:t>(1)</w:t>
            </w:r>
          </w:p>
        </w:tc>
      </w:tr>
      <w:tr w:rsidR="009D60ED" w:rsidRPr="00C73365" w:rsidTr="009D60ED">
        <w:trPr>
          <w:gridAfter w:val="1"/>
          <w:wAfter w:w="31" w:type="dxa"/>
          <w:trHeight w:val="799"/>
        </w:trPr>
        <w:tc>
          <w:tcPr>
            <w:tcW w:w="4125" w:type="dxa"/>
            <w:tcBorders>
              <w:top w:val="nil"/>
              <w:left w:val="nil"/>
              <w:bottom w:val="single" w:sz="8" w:space="0" w:color="7030A0"/>
              <w:right w:val="nil"/>
            </w:tcBorders>
            <w:shd w:val="clear" w:color="auto" w:fill="FFFFFF"/>
            <w:vAlign w:val="center"/>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Valorisation des actions attribuées gratuitement au titre de l’exercice </w:t>
            </w:r>
            <w:r w:rsidRPr="00C73365">
              <w:rPr>
                <w:rFonts w:asciiTheme="minorHAnsi" w:hAnsiTheme="minorHAnsi" w:cstheme="minorHAnsi"/>
                <w:i/>
                <w:sz w:val="18"/>
                <w:szCs w:val="20"/>
                <w:lang w:val="fr-FR" w:eastAsia="fr-FR"/>
              </w:rPr>
              <w:t>(cf. détail dans Tableau 6)</w:t>
            </w:r>
          </w:p>
        </w:tc>
        <w:tc>
          <w:tcPr>
            <w:tcW w:w="373" w:type="dxa"/>
            <w:shd w:val="clear" w:color="auto" w:fill="FFFFFF"/>
            <w:hideMark/>
          </w:tcPr>
          <w:p w:rsidR="009D60ED" w:rsidRPr="00C73365" w:rsidRDefault="009D60ED" w:rsidP="009D60ED">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873" w:type="dxa"/>
            <w:tcBorders>
              <w:top w:val="nil"/>
              <w:left w:val="nil"/>
              <w:bottom w:val="single" w:sz="8" w:space="0" w:color="7030A0"/>
              <w:right w:val="nil"/>
            </w:tcBorders>
            <w:shd w:val="clear" w:color="auto" w:fill="FFFFFF"/>
            <w:hideMark/>
          </w:tcPr>
          <w:p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874" w:type="dxa"/>
            <w:gridSpan w:val="2"/>
            <w:tcBorders>
              <w:top w:val="nil"/>
              <w:left w:val="nil"/>
              <w:bottom w:val="single" w:sz="8" w:space="0" w:color="7030A0"/>
              <w:right w:val="nil"/>
            </w:tcBorders>
            <w:shd w:val="clear" w:color="auto" w:fill="FFFFFF"/>
            <w:hideMark/>
          </w:tcPr>
          <w:p w:rsidR="009D60ED" w:rsidRPr="00C73365" w:rsidRDefault="009D60ED" w:rsidP="009D60ED">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9D60ED" w:rsidRPr="00C73365" w:rsidTr="009D60ED">
        <w:trPr>
          <w:trHeight w:val="431"/>
        </w:trPr>
        <w:tc>
          <w:tcPr>
            <w:tcW w:w="4125" w:type="dxa"/>
            <w:tcBorders>
              <w:top w:val="nil"/>
              <w:left w:val="nil"/>
              <w:bottom w:val="single" w:sz="8" w:space="0" w:color="7030A0"/>
              <w:right w:val="nil"/>
            </w:tcBorders>
            <w:noWrap/>
            <w:vAlign w:val="center"/>
            <w:hideMark/>
          </w:tcPr>
          <w:p w:rsidR="009D60ED" w:rsidRPr="00C73365" w:rsidRDefault="009D60ED" w:rsidP="009D60ED">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373" w:type="dxa"/>
            <w:vAlign w:val="center"/>
            <w:hideMark/>
          </w:tcPr>
          <w:p w:rsidR="009D60ED" w:rsidRPr="00C73365" w:rsidRDefault="009D60ED" w:rsidP="009D60ED">
            <w:pPr>
              <w:rPr>
                <w:rFonts w:asciiTheme="minorHAnsi" w:hAnsiTheme="minorHAnsi" w:cstheme="minorHAnsi"/>
                <w:b/>
                <w:bCs/>
                <w:color w:val="7030A0"/>
                <w:szCs w:val="20"/>
                <w:lang w:val="fr-FR" w:eastAsia="fr-FR"/>
              </w:rPr>
            </w:pPr>
          </w:p>
        </w:tc>
        <w:tc>
          <w:tcPr>
            <w:tcW w:w="1968" w:type="dxa"/>
            <w:gridSpan w:val="2"/>
            <w:tcBorders>
              <w:top w:val="nil"/>
              <w:left w:val="nil"/>
              <w:bottom w:val="single" w:sz="8" w:space="0" w:color="7030A0"/>
              <w:right w:val="nil"/>
            </w:tcBorders>
            <w:shd w:val="clear" w:color="auto" w:fill="FFFFFF"/>
            <w:vAlign w:val="center"/>
            <w:hideMark/>
          </w:tcPr>
          <w:p w:rsidR="009D60ED" w:rsidRPr="00C73365" w:rsidRDefault="009D60ED" w:rsidP="009D60ED">
            <w:pPr>
              <w:jc w:val="right"/>
              <w:rPr>
                <w:rFonts w:asciiTheme="minorHAnsi" w:hAnsiTheme="minorHAnsi" w:cstheme="minorHAnsi"/>
                <w:b/>
                <w:bCs/>
                <w:color w:val="7030A0"/>
                <w:szCs w:val="20"/>
                <w:lang w:val="fr-FR" w:eastAsia="fr-FR"/>
              </w:rPr>
            </w:pPr>
            <w:r>
              <w:rPr>
                <w:rFonts w:asciiTheme="minorHAnsi" w:hAnsiTheme="minorHAnsi" w:cstheme="minorHAnsi"/>
                <w:b/>
                <w:bCs/>
                <w:color w:val="7030A0"/>
                <w:szCs w:val="20"/>
                <w:lang w:val="fr-FR" w:eastAsia="fr-FR"/>
              </w:rPr>
              <w:t>365 760</w:t>
            </w:r>
            <w:r w:rsidRPr="00C73365">
              <w:rPr>
                <w:rFonts w:asciiTheme="minorHAnsi" w:hAnsiTheme="minorHAnsi" w:cstheme="minorHAnsi"/>
                <w:b/>
                <w:bCs/>
                <w:color w:val="7030A0"/>
                <w:szCs w:val="20"/>
                <w:lang w:val="fr-FR" w:eastAsia="fr-FR"/>
              </w:rPr>
              <w:t xml:space="preserve"> €</w:t>
            </w:r>
          </w:p>
        </w:tc>
        <w:tc>
          <w:tcPr>
            <w:tcW w:w="1810" w:type="dxa"/>
            <w:gridSpan w:val="2"/>
            <w:tcBorders>
              <w:top w:val="nil"/>
              <w:left w:val="nil"/>
              <w:bottom w:val="single" w:sz="8" w:space="0" w:color="7030A0"/>
              <w:right w:val="nil"/>
            </w:tcBorders>
            <w:shd w:val="clear" w:color="auto" w:fill="FFFFFF"/>
            <w:vAlign w:val="center"/>
            <w:hideMark/>
          </w:tcPr>
          <w:p w:rsidR="009D60ED" w:rsidRPr="00C73365" w:rsidRDefault="009D60ED" w:rsidP="009D60ED">
            <w:pPr>
              <w:jc w:val="right"/>
              <w:rPr>
                <w:rFonts w:asciiTheme="minorHAnsi" w:hAnsiTheme="minorHAnsi" w:cstheme="minorHAnsi"/>
                <w:b/>
                <w:bCs/>
                <w:color w:val="7030A0"/>
                <w:szCs w:val="20"/>
                <w:highlight w:val="red"/>
                <w:lang w:val="fr-FR" w:eastAsia="fr-FR"/>
              </w:rPr>
            </w:pPr>
            <w:r w:rsidRPr="009D60ED">
              <w:rPr>
                <w:rFonts w:asciiTheme="minorHAnsi" w:hAnsiTheme="minorHAnsi" w:cstheme="minorHAnsi"/>
                <w:b/>
                <w:bCs/>
                <w:color w:val="7030A0"/>
                <w:lang w:val="fr-FR" w:eastAsia="fr-FR"/>
              </w:rPr>
              <w:t>352 972 €</w:t>
            </w:r>
          </w:p>
        </w:tc>
      </w:tr>
    </w:tbl>
    <w:p w:rsidR="009D60ED" w:rsidRPr="00C73365" w:rsidRDefault="009D60ED" w:rsidP="00B740A8">
      <w:pPr>
        <w:tabs>
          <w:tab w:val="left" w:pos="1552"/>
        </w:tabs>
        <w:rPr>
          <w:rFonts w:asciiTheme="minorHAnsi" w:hAnsiTheme="minorHAnsi" w:cstheme="minorHAnsi"/>
          <w:szCs w:val="22"/>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B740A8">
      <w:pPr>
        <w:tabs>
          <w:tab w:val="left" w:pos="1552"/>
        </w:tabs>
        <w:rPr>
          <w:rFonts w:asciiTheme="minorHAnsi" w:hAnsiTheme="minorHAnsi" w:cstheme="minorHAnsi"/>
          <w:i/>
          <w:color w:val="7030A0"/>
          <w:sz w:val="18"/>
          <w:lang w:val="fr-FR"/>
        </w:rPr>
      </w:pPr>
    </w:p>
    <w:p w:rsidR="009D60ED" w:rsidRDefault="009D60ED" w:rsidP="00036317">
      <w:pPr>
        <w:pStyle w:val="BodyText"/>
        <w:numPr>
          <w:ilvl w:val="0"/>
          <w:numId w:val="113"/>
        </w:numPr>
        <w:rPr>
          <w:rFonts w:asciiTheme="minorHAnsi" w:hAnsiTheme="minorHAnsi" w:cstheme="minorHAnsi"/>
          <w:u w:val="single"/>
          <w:lang w:val="fr-FR"/>
        </w:rPr>
      </w:pPr>
      <w:r w:rsidRPr="001F18A7">
        <w:rPr>
          <w:rFonts w:asciiTheme="minorHAnsi" w:hAnsiTheme="minorHAnsi" w:cstheme="minorHAnsi"/>
          <w:lang w:val="fr-FR"/>
        </w:rPr>
        <w:t xml:space="preserve">Hartmut Ehrlich a reçu 150 000 </w:t>
      </w:r>
      <w:r w:rsidR="00656913">
        <w:rPr>
          <w:rFonts w:asciiTheme="minorHAnsi" w:hAnsiTheme="minorHAnsi" w:cstheme="minorHAnsi"/>
          <w:lang w:val="fr-FR"/>
        </w:rPr>
        <w:t>BCE</w:t>
      </w:r>
      <w:r w:rsidR="001F18A7" w:rsidRPr="001F18A7">
        <w:rPr>
          <w:rFonts w:asciiTheme="minorHAnsi" w:hAnsiTheme="minorHAnsi" w:cstheme="minorHAnsi"/>
          <w:lang w:val="fr-FR"/>
        </w:rPr>
        <w:t xml:space="preserve"> (dont une partie sous conditions d’atteinte d’objectifs)</w:t>
      </w:r>
      <w:r w:rsidR="00E418D4" w:rsidRPr="001F18A7">
        <w:rPr>
          <w:rFonts w:asciiTheme="minorHAnsi" w:hAnsiTheme="minorHAnsi" w:cstheme="minorHAnsi"/>
          <w:lang w:val="fr-FR"/>
        </w:rPr>
        <w:t xml:space="preserve"> </w:t>
      </w:r>
      <w:r w:rsidR="001F18A7" w:rsidRPr="001F18A7">
        <w:rPr>
          <w:rFonts w:asciiTheme="minorHAnsi" w:hAnsiTheme="minorHAnsi" w:cstheme="minorHAnsi"/>
          <w:lang w:val="fr-FR"/>
        </w:rPr>
        <w:t>selon la décision du conseil d’administration du 20 novembre 2017</w:t>
      </w:r>
      <w:r w:rsidRPr="001F18A7">
        <w:rPr>
          <w:rFonts w:asciiTheme="minorHAnsi" w:hAnsiTheme="minorHAnsi" w:cstheme="minorHAnsi"/>
          <w:lang w:val="fr-FR"/>
        </w:rPr>
        <w:t xml:space="preserve"> (</w:t>
      </w:r>
      <w:r w:rsidR="00682970">
        <w:rPr>
          <w:rFonts w:asciiTheme="minorHAnsi" w:hAnsiTheme="minorHAnsi" w:cstheme="minorHAnsi"/>
          <w:lang w:val="fr-FR"/>
        </w:rPr>
        <w:t>se référer au</w:t>
      </w:r>
      <w:r w:rsidR="00E418D4" w:rsidRPr="001F18A7">
        <w:rPr>
          <w:rFonts w:asciiTheme="minorHAnsi" w:hAnsiTheme="minorHAnsi" w:cstheme="minorHAnsi"/>
          <w:lang w:val="fr-FR"/>
        </w:rPr>
        <w:t xml:space="preserve"> </w:t>
      </w:r>
      <w:r w:rsidRPr="001F18A7">
        <w:rPr>
          <w:rFonts w:asciiTheme="minorHAnsi" w:hAnsiTheme="minorHAnsi" w:cstheme="minorHAnsi"/>
          <w:lang w:val="fr-FR"/>
        </w:rPr>
        <w:t>Tableau 4 ci-dessous</w:t>
      </w:r>
      <w:r w:rsidR="00E418D4" w:rsidRPr="001F18A7">
        <w:rPr>
          <w:rFonts w:asciiTheme="minorHAnsi" w:hAnsiTheme="minorHAnsi" w:cstheme="minorHAnsi"/>
          <w:lang w:val="fr-FR"/>
        </w:rPr>
        <w:t xml:space="preserve"> et au paragraphe 21.1.5 du présent document de référence</w:t>
      </w:r>
      <w:r w:rsidRPr="001F18A7">
        <w:rPr>
          <w:rFonts w:asciiTheme="minorHAnsi" w:hAnsiTheme="minorHAnsi" w:cstheme="minorHAnsi"/>
          <w:lang w:val="fr-FR"/>
        </w:rPr>
        <w:t>)</w:t>
      </w:r>
      <w:r w:rsidR="001F18A7" w:rsidRPr="001F18A7">
        <w:rPr>
          <w:rFonts w:asciiTheme="minorHAnsi" w:hAnsiTheme="minorHAnsi" w:cstheme="minorHAnsi"/>
          <w:lang w:val="fr-FR"/>
        </w:rPr>
        <w:t xml:space="preserve">. </w:t>
      </w:r>
      <w:r w:rsidR="00E418D4" w:rsidRPr="001F18A7">
        <w:rPr>
          <w:rFonts w:asciiTheme="minorHAnsi" w:hAnsiTheme="minorHAnsi" w:cstheme="minorHAnsi"/>
          <w:lang w:val="fr-FR"/>
        </w:rPr>
        <w:t xml:space="preserve">Le prix d’exercice </w:t>
      </w:r>
      <w:r w:rsidR="001F18A7" w:rsidRPr="001F18A7">
        <w:rPr>
          <w:rFonts w:asciiTheme="minorHAnsi" w:hAnsiTheme="minorHAnsi" w:cstheme="minorHAnsi"/>
          <w:lang w:val="fr-FR"/>
        </w:rPr>
        <w:t xml:space="preserve">de ces </w:t>
      </w:r>
      <w:r w:rsidR="00656913">
        <w:rPr>
          <w:rFonts w:asciiTheme="minorHAnsi" w:hAnsiTheme="minorHAnsi" w:cstheme="minorHAnsi"/>
          <w:lang w:val="fr-FR"/>
        </w:rPr>
        <w:t>BCE</w:t>
      </w:r>
      <w:r w:rsidR="001F18A7" w:rsidRPr="001F18A7">
        <w:rPr>
          <w:rFonts w:asciiTheme="minorHAnsi" w:hAnsiTheme="minorHAnsi" w:cstheme="minorHAnsi"/>
          <w:lang w:val="fr-FR"/>
        </w:rPr>
        <w:t xml:space="preserve"> </w:t>
      </w:r>
      <w:r w:rsidR="00E418D4" w:rsidRPr="001F18A7">
        <w:rPr>
          <w:rFonts w:asciiTheme="minorHAnsi" w:hAnsiTheme="minorHAnsi" w:cstheme="minorHAnsi"/>
          <w:lang w:val="fr-FR"/>
        </w:rPr>
        <w:t>est de 11.14 €</w:t>
      </w:r>
      <w:r w:rsidR="001F18A7" w:rsidRPr="001F18A7">
        <w:rPr>
          <w:rFonts w:asciiTheme="minorHAnsi" w:hAnsiTheme="minorHAnsi" w:cstheme="minorHAnsi"/>
          <w:lang w:val="fr-FR"/>
        </w:rPr>
        <w:t xml:space="preserve"> et la maturité de 10 années. </w:t>
      </w:r>
    </w:p>
    <w:p w:rsidR="00036317" w:rsidRPr="00036317" w:rsidRDefault="00036317" w:rsidP="00036317">
      <w:pPr>
        <w:pStyle w:val="BodyText"/>
        <w:ind w:left="360"/>
        <w:rPr>
          <w:rFonts w:asciiTheme="minorHAnsi" w:hAnsiTheme="minorHAnsi" w:cstheme="minorHAnsi"/>
          <w:u w:val="single"/>
          <w:lang w:val="fr-FR"/>
        </w:rPr>
      </w:pPr>
    </w:p>
    <w:p w:rsidR="009D60ED" w:rsidRPr="009D60ED" w:rsidRDefault="009D60ED" w:rsidP="005A55E9">
      <w:pPr>
        <w:pStyle w:val="BodyText"/>
        <w:spacing w:after="0"/>
        <w:rPr>
          <w:rFonts w:asciiTheme="minorHAnsi" w:hAnsiTheme="minorHAnsi" w:cstheme="minorHAnsi"/>
          <w:b/>
          <w:lang w:val="fr-FR"/>
        </w:rPr>
      </w:pPr>
    </w:p>
    <w:p w:rsidR="005A55E9" w:rsidRDefault="00B740A8" w:rsidP="005A55E9">
      <w:pPr>
        <w:pStyle w:val="BodyText"/>
        <w:spacing w:after="0"/>
        <w:rPr>
          <w:rFonts w:asciiTheme="minorHAnsi" w:hAnsiTheme="minorHAnsi" w:cstheme="minorHAnsi"/>
          <w:b/>
          <w:lang w:val="fr-FR"/>
        </w:rPr>
      </w:pPr>
      <w:r w:rsidRPr="00C73365">
        <w:rPr>
          <w:rFonts w:asciiTheme="minorHAnsi" w:hAnsiTheme="minorHAnsi" w:cstheme="minorHAnsi"/>
          <w:b/>
          <w:lang w:val="fr-FR"/>
        </w:rPr>
        <w:t>Tableau 2 : Tableau récapitulatif des rémunérations de chaque dirigeant mandataire social</w:t>
      </w:r>
    </w:p>
    <w:p w:rsidR="00B740A8" w:rsidRPr="005A55E9" w:rsidRDefault="00B740A8" w:rsidP="005A55E9">
      <w:pPr>
        <w:pStyle w:val="BodyText"/>
        <w:spacing w:after="0"/>
        <w:rPr>
          <w:rFonts w:asciiTheme="minorHAnsi" w:hAnsiTheme="minorHAnsi" w:cstheme="minorHAnsi"/>
          <w:b/>
          <w:lang w:val="fr-FR"/>
        </w:rPr>
      </w:pPr>
      <w:r w:rsidRPr="00C73365">
        <w:rPr>
          <w:rFonts w:asciiTheme="minorHAnsi" w:hAnsiTheme="minorHAnsi" w:cstheme="minorHAnsi"/>
          <w:lang w:val="fr-FR"/>
        </w:rPr>
        <w:lastRenderedPageBreak/>
        <w:t>Les tableaux suivants présentent les rémunérations dues aux mandataires sociaux dirigeants au titre des exercices clos les 31 décembre 2016 et 2017 et les rémunérations perçues par ces mêmes personnes au cours de ces mêmes exercices.</w:t>
      </w:r>
    </w:p>
    <w:tbl>
      <w:tblPr>
        <w:tblW w:w="9072" w:type="dxa"/>
        <w:tblInd w:w="70" w:type="dxa"/>
        <w:tblCellMar>
          <w:left w:w="70" w:type="dxa"/>
          <w:right w:w="70" w:type="dxa"/>
        </w:tblCellMar>
        <w:tblLook w:val="04A0" w:firstRow="1" w:lastRow="0" w:firstColumn="1" w:lastColumn="0" w:noHBand="0" w:noVBand="1"/>
      </w:tblPr>
      <w:tblGrid>
        <w:gridCol w:w="3969"/>
        <w:gridCol w:w="1330"/>
        <w:gridCol w:w="1038"/>
        <w:gridCol w:w="1460"/>
        <w:gridCol w:w="1275"/>
      </w:tblGrid>
      <w:tr w:rsidR="00B740A8" w:rsidRPr="00C73365" w:rsidTr="00D1541A">
        <w:trPr>
          <w:trHeight w:val="298"/>
        </w:trPr>
        <w:tc>
          <w:tcPr>
            <w:tcW w:w="3969" w:type="dxa"/>
            <w:tcBorders>
              <w:top w:val="nil"/>
              <w:left w:val="nil"/>
              <w:bottom w:val="single" w:sz="8" w:space="0" w:color="7030A0"/>
              <w:right w:val="nil"/>
            </w:tcBorders>
            <w:shd w:val="clear" w:color="000000" w:fill="FFFFFF"/>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2368" w:type="dxa"/>
            <w:gridSpan w:val="2"/>
            <w:tcBorders>
              <w:top w:val="nil"/>
              <w:left w:val="nil"/>
              <w:bottom w:val="single" w:sz="8"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Exercice 2016</w:t>
            </w:r>
          </w:p>
        </w:tc>
        <w:tc>
          <w:tcPr>
            <w:tcW w:w="2735" w:type="dxa"/>
            <w:gridSpan w:val="2"/>
            <w:tcBorders>
              <w:top w:val="nil"/>
              <w:left w:val="nil"/>
              <w:bottom w:val="single" w:sz="8"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Exercice 2017</w:t>
            </w:r>
          </w:p>
        </w:tc>
      </w:tr>
      <w:tr w:rsidR="00B740A8" w:rsidRPr="00C73365" w:rsidTr="00D1541A">
        <w:trPr>
          <w:trHeight w:val="562"/>
        </w:trPr>
        <w:tc>
          <w:tcPr>
            <w:tcW w:w="3969"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Monsieur Philippe Pouletty – Président du conseil d’administration</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Montants </w:t>
            </w:r>
          </w:p>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Dus </w:t>
            </w:r>
            <w:r w:rsidRPr="00C73365">
              <w:rPr>
                <w:rFonts w:asciiTheme="minorHAnsi" w:hAnsiTheme="minorHAnsi" w:cstheme="minorHAnsi"/>
                <w:i/>
                <w:color w:val="7030A0"/>
                <w:sz w:val="18"/>
                <w:szCs w:val="18"/>
                <w:lang w:val="fr-FR"/>
              </w:rPr>
              <w:t>(1)</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Montants</w:t>
            </w:r>
          </w:p>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 versés </w:t>
            </w:r>
            <w:r w:rsidRPr="00C73365">
              <w:rPr>
                <w:rFonts w:asciiTheme="minorHAnsi" w:hAnsiTheme="minorHAnsi" w:cstheme="minorHAnsi"/>
                <w:i/>
                <w:color w:val="7030A0"/>
                <w:sz w:val="18"/>
                <w:szCs w:val="18"/>
                <w:lang w:val="fr-FR"/>
              </w:rPr>
              <w:t>(2)</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Montants </w:t>
            </w:r>
          </w:p>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dus</w:t>
            </w:r>
            <w:r w:rsidRPr="00C73365">
              <w:rPr>
                <w:rFonts w:asciiTheme="minorHAnsi" w:hAnsiTheme="minorHAnsi" w:cstheme="minorHAnsi"/>
                <w:b/>
                <w:bCs/>
                <w:color w:val="7030A0"/>
                <w:sz w:val="16"/>
                <w:szCs w:val="16"/>
                <w:lang w:val="fr-FR" w:eastAsia="fr-FR"/>
              </w:rPr>
              <w:t xml:space="preserve"> </w:t>
            </w:r>
            <w:r w:rsidRPr="00C73365">
              <w:rPr>
                <w:rFonts w:asciiTheme="minorHAnsi" w:hAnsiTheme="minorHAnsi" w:cstheme="minorHAnsi"/>
                <w:i/>
                <w:color w:val="7030A0"/>
                <w:sz w:val="18"/>
                <w:szCs w:val="18"/>
                <w:lang w:val="fr-FR"/>
              </w:rPr>
              <w:t>(1)</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Montants</w:t>
            </w:r>
          </w:p>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 Versés </w:t>
            </w:r>
            <w:r w:rsidRPr="00C73365">
              <w:rPr>
                <w:rFonts w:asciiTheme="minorHAnsi" w:hAnsiTheme="minorHAnsi" w:cstheme="minorHAnsi"/>
                <w:i/>
                <w:color w:val="7030A0"/>
                <w:sz w:val="18"/>
                <w:szCs w:val="18"/>
                <w:lang w:val="fr-FR"/>
              </w:rPr>
              <w:t>(2)</w:t>
            </w:r>
          </w:p>
        </w:tc>
      </w:tr>
      <w:tr w:rsidR="00B740A8" w:rsidRPr="00C73365" w:rsidTr="00D1541A">
        <w:trPr>
          <w:trHeight w:val="298"/>
        </w:trPr>
        <w:tc>
          <w:tcPr>
            <w:tcW w:w="3969"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fixe</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D1541A">
        <w:trPr>
          <w:trHeight w:val="298"/>
        </w:trPr>
        <w:tc>
          <w:tcPr>
            <w:tcW w:w="3969"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variable annuelle</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D1541A">
        <w:trPr>
          <w:trHeight w:val="298"/>
        </w:trPr>
        <w:tc>
          <w:tcPr>
            <w:tcW w:w="3969"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variable pluriannuelle</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D1541A">
        <w:trPr>
          <w:trHeight w:val="298"/>
        </w:trPr>
        <w:tc>
          <w:tcPr>
            <w:tcW w:w="3969"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variable exceptionnelle</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D1541A">
        <w:trPr>
          <w:trHeight w:val="298"/>
        </w:trPr>
        <w:tc>
          <w:tcPr>
            <w:tcW w:w="3969"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Jetons de présence</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D1541A">
        <w:trPr>
          <w:trHeight w:val="298"/>
        </w:trPr>
        <w:tc>
          <w:tcPr>
            <w:tcW w:w="3969"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Avantages en nature</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Néant</w:t>
            </w:r>
          </w:p>
        </w:tc>
      </w:tr>
      <w:tr w:rsidR="00B740A8" w:rsidRPr="00C73365" w:rsidTr="00D1541A">
        <w:trPr>
          <w:trHeight w:val="298"/>
        </w:trPr>
        <w:tc>
          <w:tcPr>
            <w:tcW w:w="3969" w:type="dxa"/>
            <w:tcBorders>
              <w:top w:val="nil"/>
              <w:left w:val="nil"/>
              <w:bottom w:val="single" w:sz="8" w:space="0" w:color="7030A0"/>
              <w:right w:val="nil"/>
            </w:tcBorders>
            <w:shd w:val="clear" w:color="auto" w:fill="auto"/>
            <w:noWrap/>
            <w:vAlign w:val="center"/>
            <w:hideMark/>
          </w:tcPr>
          <w:p w:rsidR="00B740A8" w:rsidRPr="00C73365" w:rsidRDefault="00B740A8" w:rsidP="00D1541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33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Néant</w:t>
            </w:r>
          </w:p>
        </w:tc>
        <w:tc>
          <w:tcPr>
            <w:tcW w:w="1038"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Néant</w:t>
            </w:r>
          </w:p>
        </w:tc>
        <w:tc>
          <w:tcPr>
            <w:tcW w:w="1460"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Néant</w:t>
            </w:r>
          </w:p>
        </w:tc>
        <w:tc>
          <w:tcPr>
            <w:tcW w:w="1275" w:type="dxa"/>
            <w:tcBorders>
              <w:top w:val="nil"/>
              <w:left w:val="nil"/>
              <w:bottom w:val="single" w:sz="8" w:space="0" w:color="7030A0"/>
              <w:right w:val="nil"/>
            </w:tcBorders>
            <w:shd w:val="clear" w:color="000000" w:fill="FFFFFF"/>
            <w:vAlign w:val="center"/>
            <w:hideMark/>
          </w:tcPr>
          <w:p w:rsidR="00B740A8" w:rsidRPr="00C73365" w:rsidRDefault="00B740A8" w:rsidP="00D1541A">
            <w:pPr>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Néant</w:t>
            </w:r>
          </w:p>
        </w:tc>
      </w:tr>
    </w:tbl>
    <w:p w:rsidR="00B740A8" w:rsidRPr="00C73365" w:rsidRDefault="00B740A8" w:rsidP="00B740A8">
      <w:pPr>
        <w:pStyle w:val="BlockLeft"/>
        <w:rPr>
          <w:rFonts w:asciiTheme="minorHAnsi" w:hAnsiTheme="minorHAnsi" w:cstheme="minorHAnsi"/>
          <w:i/>
          <w:color w:val="7030A0"/>
          <w:sz w:val="18"/>
          <w:szCs w:val="18"/>
          <w:lang w:val="fr-FR"/>
        </w:rPr>
      </w:pPr>
    </w:p>
    <w:tbl>
      <w:tblPr>
        <w:tblW w:w="9214" w:type="dxa"/>
        <w:tblInd w:w="70" w:type="dxa"/>
        <w:tblLayout w:type="fixed"/>
        <w:tblCellMar>
          <w:left w:w="70" w:type="dxa"/>
          <w:right w:w="70" w:type="dxa"/>
        </w:tblCellMar>
        <w:tblLook w:val="04A0" w:firstRow="1" w:lastRow="0" w:firstColumn="1" w:lastColumn="0" w:noHBand="0" w:noVBand="1"/>
      </w:tblPr>
      <w:tblGrid>
        <w:gridCol w:w="3423"/>
        <w:gridCol w:w="1651"/>
        <w:gridCol w:w="1305"/>
        <w:gridCol w:w="1489"/>
        <w:gridCol w:w="1346"/>
      </w:tblGrid>
      <w:tr w:rsidR="00B740A8" w:rsidRPr="00C73365" w:rsidTr="00D1541A">
        <w:trPr>
          <w:trHeight w:val="214"/>
        </w:trPr>
        <w:tc>
          <w:tcPr>
            <w:tcW w:w="3423" w:type="dxa"/>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sz w:val="24"/>
                <w:szCs w:val="20"/>
                <w:lang w:val="fr-FR" w:eastAsia="fr-FR"/>
              </w:rPr>
            </w:pPr>
          </w:p>
        </w:tc>
        <w:tc>
          <w:tcPr>
            <w:tcW w:w="2956" w:type="dxa"/>
            <w:gridSpan w:val="2"/>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b/>
                <w:bCs/>
                <w:color w:val="7030A0"/>
                <w:sz w:val="22"/>
                <w:szCs w:val="22"/>
                <w:lang w:val="fr-FR" w:eastAsia="fr-FR"/>
              </w:rPr>
            </w:pPr>
            <w:r w:rsidRPr="00C73365">
              <w:rPr>
                <w:rFonts w:asciiTheme="minorHAnsi" w:hAnsiTheme="minorHAnsi" w:cstheme="minorHAnsi"/>
                <w:b/>
                <w:bCs/>
                <w:color w:val="7030A0"/>
                <w:sz w:val="22"/>
                <w:szCs w:val="22"/>
                <w:lang w:val="fr-FR" w:eastAsia="fr-FR"/>
              </w:rPr>
              <w:t>Exercice 2016</w:t>
            </w:r>
          </w:p>
        </w:tc>
        <w:tc>
          <w:tcPr>
            <w:tcW w:w="2835" w:type="dxa"/>
            <w:gridSpan w:val="2"/>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b/>
                <w:bCs/>
                <w:color w:val="7030A0"/>
                <w:sz w:val="22"/>
                <w:szCs w:val="22"/>
                <w:lang w:val="fr-FR" w:eastAsia="fr-FR"/>
              </w:rPr>
            </w:pPr>
            <w:r w:rsidRPr="00C73365">
              <w:rPr>
                <w:rFonts w:asciiTheme="minorHAnsi" w:hAnsiTheme="minorHAnsi" w:cstheme="minorHAnsi"/>
                <w:b/>
                <w:bCs/>
                <w:color w:val="7030A0"/>
                <w:sz w:val="22"/>
                <w:szCs w:val="22"/>
                <w:lang w:val="fr-FR" w:eastAsia="fr-FR"/>
              </w:rPr>
              <w:t>Exercice 2017</w:t>
            </w:r>
          </w:p>
        </w:tc>
      </w:tr>
      <w:tr w:rsidR="00B740A8" w:rsidRPr="00C73365" w:rsidTr="00D1541A">
        <w:trPr>
          <w:trHeight w:val="300"/>
        </w:trPr>
        <w:tc>
          <w:tcPr>
            <w:tcW w:w="3423" w:type="dxa"/>
            <w:tcBorders>
              <w:top w:val="single" w:sz="8" w:space="0" w:color="7030A0"/>
              <w:left w:val="nil"/>
              <w:bottom w:val="nil"/>
              <w:right w:val="nil"/>
            </w:tcBorders>
            <w:shd w:val="clear" w:color="000000" w:fill="FFFFFF"/>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Monsieur Hartmut Ehrlich – Directeur Général</w:t>
            </w:r>
          </w:p>
        </w:tc>
        <w:tc>
          <w:tcPr>
            <w:tcW w:w="1651" w:type="dxa"/>
            <w:vMerge w:val="restart"/>
            <w:tcBorders>
              <w:top w:val="single" w:sz="8" w:space="0" w:color="7030A0"/>
              <w:left w:val="nil"/>
              <w:bottom w:val="single" w:sz="8" w:space="0" w:color="7030A0"/>
              <w:right w:val="nil"/>
            </w:tcBorders>
            <w:shd w:val="clear" w:color="000000" w:fill="FFFFFF"/>
            <w:vAlign w:val="center"/>
            <w:hideMark/>
          </w:tcPr>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Montants </w:t>
            </w:r>
          </w:p>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dus </w:t>
            </w:r>
            <w:r w:rsidRPr="00F55A34">
              <w:rPr>
                <w:rFonts w:asciiTheme="minorHAnsi" w:hAnsiTheme="minorHAnsi" w:cstheme="minorHAnsi"/>
                <w:i/>
                <w:color w:val="7030A0"/>
                <w:szCs w:val="20"/>
                <w:lang w:val="fr-FR"/>
              </w:rPr>
              <w:t>(1)</w:t>
            </w:r>
          </w:p>
        </w:tc>
        <w:tc>
          <w:tcPr>
            <w:tcW w:w="1305" w:type="dxa"/>
            <w:vMerge w:val="restart"/>
            <w:tcBorders>
              <w:top w:val="single" w:sz="8" w:space="0" w:color="7030A0"/>
              <w:left w:val="nil"/>
              <w:bottom w:val="single" w:sz="8" w:space="0" w:color="7030A0"/>
              <w:right w:val="nil"/>
            </w:tcBorders>
            <w:shd w:val="clear" w:color="000000" w:fill="FFFFFF"/>
            <w:vAlign w:val="center"/>
            <w:hideMark/>
          </w:tcPr>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Montants </w:t>
            </w:r>
          </w:p>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versés </w:t>
            </w:r>
            <w:r w:rsidRPr="00F55A34">
              <w:rPr>
                <w:rFonts w:asciiTheme="minorHAnsi" w:hAnsiTheme="minorHAnsi" w:cstheme="minorHAnsi"/>
                <w:i/>
                <w:color w:val="7030A0"/>
                <w:szCs w:val="20"/>
                <w:lang w:val="fr-FR"/>
              </w:rPr>
              <w:t>(2)</w:t>
            </w:r>
          </w:p>
        </w:tc>
        <w:tc>
          <w:tcPr>
            <w:tcW w:w="1489" w:type="dxa"/>
            <w:vMerge w:val="restart"/>
            <w:tcBorders>
              <w:top w:val="single" w:sz="8" w:space="0" w:color="7030A0"/>
              <w:left w:val="nil"/>
              <w:bottom w:val="single" w:sz="8" w:space="0" w:color="7030A0"/>
              <w:right w:val="nil"/>
            </w:tcBorders>
            <w:shd w:val="clear" w:color="000000" w:fill="FFFFFF"/>
            <w:vAlign w:val="center"/>
            <w:hideMark/>
          </w:tcPr>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Montants </w:t>
            </w:r>
          </w:p>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Dus </w:t>
            </w:r>
            <w:r w:rsidRPr="00F55A34">
              <w:rPr>
                <w:rFonts w:asciiTheme="minorHAnsi" w:hAnsiTheme="minorHAnsi" w:cstheme="minorHAnsi"/>
                <w:i/>
                <w:color w:val="7030A0"/>
                <w:szCs w:val="20"/>
                <w:lang w:val="fr-FR"/>
              </w:rPr>
              <w:t>(1)</w:t>
            </w:r>
          </w:p>
        </w:tc>
        <w:tc>
          <w:tcPr>
            <w:tcW w:w="1346" w:type="dxa"/>
            <w:vMerge w:val="restart"/>
            <w:tcBorders>
              <w:top w:val="single" w:sz="8" w:space="0" w:color="7030A0"/>
              <w:left w:val="nil"/>
              <w:bottom w:val="single" w:sz="8" w:space="0" w:color="7030A0"/>
              <w:right w:val="nil"/>
            </w:tcBorders>
            <w:shd w:val="clear" w:color="000000" w:fill="FFFFFF"/>
            <w:vAlign w:val="center"/>
            <w:hideMark/>
          </w:tcPr>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Montants </w:t>
            </w:r>
          </w:p>
          <w:p w:rsidR="00B740A8" w:rsidRPr="00F55A34" w:rsidRDefault="00B740A8" w:rsidP="00D1541A">
            <w:pPr>
              <w:jc w:val="right"/>
              <w:rPr>
                <w:rFonts w:asciiTheme="minorHAnsi" w:hAnsiTheme="minorHAnsi" w:cstheme="minorHAnsi"/>
                <w:b/>
                <w:bCs/>
                <w:color w:val="000000"/>
                <w:szCs w:val="20"/>
                <w:lang w:val="fr-FR" w:eastAsia="fr-FR"/>
              </w:rPr>
            </w:pPr>
            <w:r w:rsidRPr="00F55A34">
              <w:rPr>
                <w:rFonts w:asciiTheme="minorHAnsi" w:hAnsiTheme="minorHAnsi" w:cstheme="minorHAnsi"/>
                <w:b/>
                <w:bCs/>
                <w:color w:val="000000"/>
                <w:szCs w:val="20"/>
                <w:lang w:val="fr-FR" w:eastAsia="fr-FR"/>
              </w:rPr>
              <w:t xml:space="preserve">Versés </w:t>
            </w:r>
            <w:r w:rsidRPr="00F55A34">
              <w:rPr>
                <w:rFonts w:asciiTheme="minorHAnsi" w:hAnsiTheme="minorHAnsi" w:cstheme="minorHAnsi"/>
                <w:i/>
                <w:color w:val="7030A0"/>
                <w:szCs w:val="20"/>
                <w:lang w:val="fr-FR"/>
              </w:rPr>
              <w:t>(2)</w:t>
            </w:r>
          </w:p>
        </w:tc>
      </w:tr>
      <w:tr w:rsidR="00B740A8" w:rsidRPr="00C73365" w:rsidTr="00D1541A">
        <w:trPr>
          <w:trHeight w:val="214"/>
        </w:trPr>
        <w:tc>
          <w:tcPr>
            <w:tcW w:w="3423"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651" w:type="dxa"/>
            <w:vMerge/>
            <w:tcBorders>
              <w:top w:val="single" w:sz="8" w:space="0" w:color="7030A0"/>
              <w:left w:val="nil"/>
              <w:bottom w:val="single" w:sz="8" w:space="0" w:color="7030A0"/>
              <w:right w:val="nil"/>
            </w:tcBorders>
            <w:vAlign w:val="center"/>
            <w:hideMark/>
          </w:tcPr>
          <w:p w:rsidR="00B740A8" w:rsidRPr="00F55A34" w:rsidRDefault="00B740A8" w:rsidP="00D1541A">
            <w:pPr>
              <w:rPr>
                <w:rFonts w:asciiTheme="minorHAnsi" w:hAnsiTheme="minorHAnsi" w:cstheme="minorHAnsi"/>
                <w:b/>
                <w:bCs/>
                <w:color w:val="000000"/>
                <w:szCs w:val="20"/>
                <w:lang w:val="fr-FR" w:eastAsia="fr-FR"/>
              </w:rPr>
            </w:pPr>
          </w:p>
        </w:tc>
        <w:tc>
          <w:tcPr>
            <w:tcW w:w="1305" w:type="dxa"/>
            <w:vMerge/>
            <w:tcBorders>
              <w:top w:val="single" w:sz="8" w:space="0" w:color="7030A0"/>
              <w:left w:val="nil"/>
              <w:bottom w:val="single" w:sz="8" w:space="0" w:color="7030A0"/>
              <w:right w:val="nil"/>
            </w:tcBorders>
            <w:vAlign w:val="center"/>
            <w:hideMark/>
          </w:tcPr>
          <w:p w:rsidR="00B740A8" w:rsidRPr="00F55A34" w:rsidRDefault="00B740A8" w:rsidP="00D1541A">
            <w:pPr>
              <w:rPr>
                <w:rFonts w:asciiTheme="minorHAnsi" w:hAnsiTheme="minorHAnsi" w:cstheme="minorHAnsi"/>
                <w:b/>
                <w:bCs/>
                <w:color w:val="000000"/>
                <w:szCs w:val="20"/>
                <w:lang w:val="fr-FR" w:eastAsia="fr-FR"/>
              </w:rPr>
            </w:pPr>
          </w:p>
        </w:tc>
        <w:tc>
          <w:tcPr>
            <w:tcW w:w="1489" w:type="dxa"/>
            <w:vMerge/>
            <w:tcBorders>
              <w:top w:val="single" w:sz="8" w:space="0" w:color="7030A0"/>
              <w:left w:val="nil"/>
              <w:bottom w:val="single" w:sz="8" w:space="0" w:color="7030A0"/>
              <w:right w:val="nil"/>
            </w:tcBorders>
            <w:vAlign w:val="center"/>
            <w:hideMark/>
          </w:tcPr>
          <w:p w:rsidR="00B740A8" w:rsidRPr="00F55A34" w:rsidRDefault="00B740A8" w:rsidP="00D1541A">
            <w:pPr>
              <w:rPr>
                <w:rFonts w:asciiTheme="minorHAnsi" w:hAnsiTheme="minorHAnsi" w:cstheme="minorHAnsi"/>
                <w:b/>
                <w:bCs/>
                <w:color w:val="000000"/>
                <w:szCs w:val="20"/>
                <w:lang w:val="fr-FR" w:eastAsia="fr-FR"/>
              </w:rPr>
            </w:pPr>
          </w:p>
        </w:tc>
        <w:tc>
          <w:tcPr>
            <w:tcW w:w="1346" w:type="dxa"/>
            <w:vMerge/>
            <w:tcBorders>
              <w:top w:val="single" w:sz="8" w:space="0" w:color="7030A0"/>
              <w:left w:val="nil"/>
              <w:bottom w:val="single" w:sz="8" w:space="0" w:color="7030A0"/>
              <w:right w:val="nil"/>
            </w:tcBorders>
            <w:vAlign w:val="center"/>
            <w:hideMark/>
          </w:tcPr>
          <w:p w:rsidR="00B740A8" w:rsidRPr="00F55A34" w:rsidRDefault="00B740A8" w:rsidP="00D1541A">
            <w:pPr>
              <w:rPr>
                <w:rFonts w:asciiTheme="minorHAnsi" w:hAnsiTheme="minorHAnsi" w:cstheme="minorHAnsi"/>
                <w:b/>
                <w:bCs/>
                <w:color w:val="000000"/>
                <w:szCs w:val="20"/>
                <w:lang w:val="fr-FR" w:eastAsia="fr-FR"/>
              </w:rPr>
            </w:pPr>
          </w:p>
        </w:tc>
      </w:tr>
      <w:tr w:rsidR="00B740A8" w:rsidRPr="00C73365" w:rsidTr="00D1541A">
        <w:trPr>
          <w:trHeight w:val="214"/>
        </w:trPr>
        <w:tc>
          <w:tcPr>
            <w:tcW w:w="3423"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fixe</w:t>
            </w:r>
          </w:p>
        </w:tc>
        <w:tc>
          <w:tcPr>
            <w:tcW w:w="1651"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u w:val="single"/>
                <w:lang w:val="fr-FR" w:eastAsia="fr-FR"/>
              </w:rPr>
            </w:pPr>
            <w:r w:rsidRPr="00F55A34">
              <w:rPr>
                <w:rFonts w:asciiTheme="minorHAnsi" w:hAnsiTheme="minorHAnsi" w:cstheme="minorHAnsi"/>
                <w:szCs w:val="20"/>
                <w:lang w:val="fr-FR" w:eastAsia="fr-FR"/>
              </w:rPr>
              <w:t xml:space="preserve">260 000 </w:t>
            </w:r>
          </w:p>
        </w:tc>
        <w:tc>
          <w:tcPr>
            <w:tcW w:w="1305" w:type="dxa"/>
            <w:tcBorders>
              <w:top w:val="nil"/>
              <w:left w:val="nil"/>
              <w:bottom w:val="single" w:sz="8" w:space="0" w:color="7030A0"/>
              <w:right w:val="nil"/>
            </w:tcBorders>
            <w:shd w:val="clear" w:color="000000" w:fill="FFFFFF"/>
            <w:hideMark/>
          </w:tcPr>
          <w:p w:rsidR="00B740A8" w:rsidRPr="00F55A34" w:rsidRDefault="00C12E6B"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264 987</w:t>
            </w:r>
            <w:r w:rsidRPr="00F55A34">
              <w:rPr>
                <w:rFonts w:asciiTheme="minorHAnsi" w:hAnsiTheme="minorHAnsi" w:cstheme="minorHAnsi"/>
                <w:szCs w:val="20"/>
                <w:vertAlign w:val="superscript"/>
                <w:lang w:val="fr-FR" w:eastAsia="fr-FR"/>
              </w:rPr>
              <w:t>1</w:t>
            </w:r>
          </w:p>
        </w:tc>
        <w:tc>
          <w:tcPr>
            <w:tcW w:w="1489"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vertAlign w:val="superscript"/>
                <w:lang w:val="fr-FR"/>
              </w:rPr>
            </w:pPr>
            <w:r w:rsidRPr="00F55A34">
              <w:rPr>
                <w:rFonts w:asciiTheme="minorHAnsi" w:hAnsiTheme="minorHAnsi" w:cstheme="minorHAnsi"/>
                <w:szCs w:val="20"/>
                <w:lang w:val="fr-FR" w:eastAsia="fr-FR"/>
              </w:rPr>
              <w:t>267</w:t>
            </w:r>
            <w:r w:rsidR="00867006" w:rsidRPr="00F55A34">
              <w:rPr>
                <w:rFonts w:asciiTheme="minorHAnsi" w:hAnsiTheme="minorHAnsi" w:cstheme="minorHAnsi"/>
                <w:szCs w:val="20"/>
                <w:lang w:val="fr-FR" w:eastAsia="fr-FR"/>
              </w:rPr>
              <w:t> </w:t>
            </w:r>
            <w:r w:rsidRPr="00F55A34">
              <w:rPr>
                <w:rFonts w:asciiTheme="minorHAnsi" w:hAnsiTheme="minorHAnsi" w:cstheme="minorHAnsi"/>
                <w:szCs w:val="20"/>
                <w:lang w:val="fr-FR" w:eastAsia="fr-FR"/>
              </w:rPr>
              <w:t>800</w:t>
            </w:r>
            <w:r w:rsidR="00867006" w:rsidRPr="00F55A34">
              <w:rPr>
                <w:rFonts w:asciiTheme="minorHAnsi" w:hAnsiTheme="minorHAnsi" w:cstheme="minorHAnsi"/>
                <w:szCs w:val="20"/>
                <w:vertAlign w:val="superscript"/>
                <w:lang w:val="fr-FR" w:eastAsia="fr-FR"/>
              </w:rPr>
              <w:t>1</w:t>
            </w:r>
          </w:p>
        </w:tc>
        <w:tc>
          <w:tcPr>
            <w:tcW w:w="1346"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267 800</w:t>
            </w:r>
            <w:r w:rsidRPr="00F55A34">
              <w:rPr>
                <w:rFonts w:asciiTheme="minorHAnsi" w:hAnsiTheme="minorHAnsi" w:cstheme="minorHAnsi"/>
                <w:szCs w:val="20"/>
                <w:vertAlign w:val="superscript"/>
                <w:lang w:val="fr-FR" w:eastAsia="fr-FR"/>
              </w:rPr>
              <w:t>1</w:t>
            </w:r>
            <w:r w:rsidRPr="00F55A34">
              <w:rPr>
                <w:rFonts w:asciiTheme="minorHAnsi" w:hAnsiTheme="minorHAnsi" w:cstheme="minorHAnsi"/>
                <w:szCs w:val="20"/>
                <w:lang w:val="fr-FR" w:eastAsia="fr-FR"/>
              </w:rPr>
              <w:t xml:space="preserve">      </w:t>
            </w:r>
          </w:p>
        </w:tc>
      </w:tr>
      <w:tr w:rsidR="00B740A8" w:rsidRPr="00C73365" w:rsidTr="00D1541A">
        <w:trPr>
          <w:trHeight w:val="214"/>
        </w:trPr>
        <w:tc>
          <w:tcPr>
            <w:tcW w:w="3423"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variable annuelle</w:t>
            </w:r>
            <w:r w:rsidR="00666DFD">
              <w:rPr>
                <w:rFonts w:asciiTheme="minorHAnsi" w:hAnsiTheme="minorHAnsi" w:cstheme="minorHAnsi"/>
                <w:color w:val="000000"/>
                <w:szCs w:val="20"/>
                <w:vertAlign w:val="superscript"/>
                <w:lang w:val="fr-FR" w:eastAsia="fr-FR"/>
              </w:rPr>
              <w:t>3</w:t>
            </w:r>
          </w:p>
        </w:tc>
        <w:tc>
          <w:tcPr>
            <w:tcW w:w="1651" w:type="dxa"/>
            <w:tcBorders>
              <w:top w:val="nil"/>
              <w:left w:val="nil"/>
              <w:bottom w:val="single" w:sz="8" w:space="0" w:color="7030A0"/>
              <w:right w:val="nil"/>
            </w:tcBorders>
            <w:shd w:val="clear" w:color="000000" w:fill="FFFFFF"/>
            <w:hideMark/>
          </w:tcPr>
          <w:p w:rsidR="00B740A8" w:rsidRPr="00F55A34" w:rsidRDefault="00F77BC7"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78 000</w:t>
            </w:r>
          </w:p>
        </w:tc>
        <w:tc>
          <w:tcPr>
            <w:tcW w:w="1305" w:type="dxa"/>
            <w:tcBorders>
              <w:top w:val="nil"/>
              <w:left w:val="nil"/>
              <w:bottom w:val="single" w:sz="8" w:space="0" w:color="7030A0"/>
              <w:right w:val="nil"/>
            </w:tcBorders>
            <w:shd w:val="clear" w:color="000000" w:fill="FFFFFF"/>
            <w:hideMark/>
          </w:tcPr>
          <w:p w:rsidR="00B740A8" w:rsidRPr="00F55A34" w:rsidRDefault="00F77BC7" w:rsidP="00D1541A">
            <w:pPr>
              <w:jc w:val="right"/>
              <w:rPr>
                <w:rFonts w:asciiTheme="minorHAnsi" w:hAnsiTheme="minorHAnsi" w:cstheme="minorHAnsi"/>
                <w:szCs w:val="20"/>
                <w:u w:val="single"/>
                <w:lang w:val="fr-FR" w:eastAsia="fr-FR"/>
              </w:rPr>
            </w:pPr>
            <w:r w:rsidRPr="00F55A34">
              <w:rPr>
                <w:rFonts w:asciiTheme="minorHAnsi" w:hAnsiTheme="minorHAnsi" w:cstheme="minorHAnsi"/>
                <w:szCs w:val="20"/>
                <w:lang w:val="fr-FR" w:eastAsia="fr-FR"/>
              </w:rPr>
              <w:t>93 600</w:t>
            </w:r>
          </w:p>
        </w:tc>
        <w:tc>
          <w:tcPr>
            <w:tcW w:w="1489" w:type="dxa"/>
            <w:tcBorders>
              <w:top w:val="nil"/>
              <w:left w:val="nil"/>
              <w:bottom w:val="single" w:sz="8" w:space="0" w:color="7030A0"/>
              <w:right w:val="nil"/>
            </w:tcBorders>
            <w:shd w:val="clear" w:color="000000" w:fill="FFFFFF"/>
          </w:tcPr>
          <w:p w:rsidR="00B740A8" w:rsidRPr="00F55A34" w:rsidRDefault="00F77BC7" w:rsidP="00D1541A">
            <w:pPr>
              <w:jc w:val="right"/>
              <w:rPr>
                <w:rFonts w:asciiTheme="minorHAnsi" w:hAnsiTheme="minorHAnsi" w:cstheme="minorHAnsi"/>
                <w:szCs w:val="20"/>
                <w:lang w:val="fr-FR"/>
              </w:rPr>
            </w:pPr>
            <w:r w:rsidRPr="00F55A34">
              <w:rPr>
                <w:rFonts w:asciiTheme="minorHAnsi" w:hAnsiTheme="minorHAnsi" w:cstheme="minorHAnsi"/>
                <w:szCs w:val="20"/>
                <w:lang w:val="fr-FR" w:eastAsia="fr-FR"/>
              </w:rPr>
              <w:t>96 408</w:t>
            </w:r>
          </w:p>
        </w:tc>
        <w:tc>
          <w:tcPr>
            <w:tcW w:w="1346" w:type="dxa"/>
            <w:tcBorders>
              <w:top w:val="nil"/>
              <w:left w:val="nil"/>
              <w:bottom w:val="single" w:sz="8" w:space="0" w:color="7030A0"/>
              <w:right w:val="nil"/>
            </w:tcBorders>
            <w:shd w:val="clear" w:color="000000" w:fill="FFFFFF"/>
          </w:tcPr>
          <w:p w:rsidR="00B740A8" w:rsidRPr="00F55A34" w:rsidRDefault="00867006" w:rsidP="00D1541A">
            <w:pPr>
              <w:jc w:val="right"/>
              <w:rPr>
                <w:rFonts w:asciiTheme="minorHAnsi" w:hAnsiTheme="minorHAnsi" w:cstheme="minorHAnsi"/>
                <w:szCs w:val="20"/>
                <w:lang w:val="fr-FR"/>
              </w:rPr>
            </w:pPr>
            <w:r w:rsidRPr="00F55A34">
              <w:rPr>
                <w:rFonts w:asciiTheme="minorHAnsi" w:hAnsiTheme="minorHAnsi" w:cstheme="minorHAnsi"/>
                <w:szCs w:val="20"/>
                <w:lang w:val="fr-FR" w:eastAsia="fr-FR"/>
              </w:rPr>
              <w:t>78 000</w:t>
            </w:r>
            <w:r w:rsidRPr="00F55A34">
              <w:rPr>
                <w:rFonts w:asciiTheme="minorHAnsi" w:hAnsiTheme="minorHAnsi" w:cstheme="minorHAnsi"/>
                <w:szCs w:val="20"/>
                <w:vertAlign w:val="superscript"/>
                <w:lang w:val="fr-FR" w:eastAsia="fr-FR"/>
              </w:rPr>
              <w:t>2</w:t>
            </w:r>
          </w:p>
        </w:tc>
      </w:tr>
      <w:tr w:rsidR="00B740A8" w:rsidRPr="00C73365" w:rsidTr="00D1541A">
        <w:trPr>
          <w:trHeight w:val="214"/>
        </w:trPr>
        <w:tc>
          <w:tcPr>
            <w:tcW w:w="3423"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variable pluriannuelle</w:t>
            </w:r>
          </w:p>
        </w:tc>
        <w:tc>
          <w:tcPr>
            <w:tcW w:w="1651"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Néant</w:t>
            </w:r>
          </w:p>
        </w:tc>
        <w:tc>
          <w:tcPr>
            <w:tcW w:w="1305"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Néant</w:t>
            </w:r>
          </w:p>
        </w:tc>
        <w:tc>
          <w:tcPr>
            <w:tcW w:w="1489"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Néant</w:t>
            </w:r>
          </w:p>
        </w:tc>
        <w:tc>
          <w:tcPr>
            <w:tcW w:w="1346"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Néant</w:t>
            </w:r>
          </w:p>
        </w:tc>
      </w:tr>
      <w:tr w:rsidR="00B740A8" w:rsidRPr="00C73365" w:rsidTr="00D1541A">
        <w:trPr>
          <w:trHeight w:val="214"/>
        </w:trPr>
        <w:tc>
          <w:tcPr>
            <w:tcW w:w="3423"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Rémunération variable exceptionnelle</w:t>
            </w:r>
          </w:p>
        </w:tc>
        <w:tc>
          <w:tcPr>
            <w:tcW w:w="1651"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u w:val="single"/>
                <w:lang w:val="fr-FR" w:eastAsia="fr-FR"/>
              </w:rPr>
            </w:pPr>
            <w:r w:rsidRPr="00F55A34">
              <w:rPr>
                <w:rFonts w:asciiTheme="minorHAnsi" w:hAnsiTheme="minorHAnsi" w:cstheme="minorHAnsi"/>
                <w:szCs w:val="20"/>
                <w:lang w:val="fr-FR" w:eastAsia="fr-FR"/>
              </w:rPr>
              <w:t xml:space="preserve">Néant </w:t>
            </w:r>
          </w:p>
        </w:tc>
        <w:tc>
          <w:tcPr>
            <w:tcW w:w="1305"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Néant</w:t>
            </w:r>
          </w:p>
        </w:tc>
        <w:tc>
          <w:tcPr>
            <w:tcW w:w="1489"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 xml:space="preserve">Néant </w:t>
            </w:r>
          </w:p>
        </w:tc>
        <w:tc>
          <w:tcPr>
            <w:tcW w:w="1346"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Néant</w:t>
            </w:r>
          </w:p>
        </w:tc>
      </w:tr>
      <w:tr w:rsidR="00B740A8" w:rsidRPr="00C73365" w:rsidTr="00D1541A">
        <w:trPr>
          <w:trHeight w:hRule="exact" w:val="232"/>
        </w:trPr>
        <w:tc>
          <w:tcPr>
            <w:tcW w:w="3423" w:type="dxa"/>
            <w:tcBorders>
              <w:top w:val="nil"/>
              <w:left w:val="nil"/>
              <w:bottom w:val="single" w:sz="8" w:space="0" w:color="7030A0"/>
              <w:right w:val="nil"/>
            </w:tcBorders>
            <w:shd w:val="clear" w:color="000000" w:fill="FFFFFF"/>
            <w:noWrap/>
            <w:vAlign w:val="center"/>
            <w:hideMark/>
          </w:tcPr>
          <w:p w:rsidR="00B740A8"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Jetons de présence</w:t>
            </w:r>
          </w:p>
          <w:p w:rsidR="00EF46AC" w:rsidRPr="00C73365" w:rsidRDefault="00EF46AC" w:rsidP="00D1541A">
            <w:pPr>
              <w:rPr>
                <w:rFonts w:asciiTheme="minorHAnsi" w:hAnsiTheme="minorHAnsi" w:cstheme="minorHAnsi"/>
                <w:color w:val="000000"/>
                <w:szCs w:val="20"/>
                <w:lang w:val="fr-FR" w:eastAsia="fr-FR"/>
              </w:rPr>
            </w:pPr>
          </w:p>
          <w:p w:rsidR="00B740A8" w:rsidRPr="00C73365" w:rsidRDefault="00B740A8" w:rsidP="00D1541A">
            <w:pPr>
              <w:rPr>
                <w:rFonts w:asciiTheme="minorHAnsi" w:hAnsiTheme="minorHAnsi" w:cstheme="minorHAnsi"/>
                <w:color w:val="000000"/>
                <w:szCs w:val="20"/>
                <w:lang w:val="fr-FR" w:eastAsia="fr-FR"/>
              </w:rPr>
            </w:pPr>
          </w:p>
        </w:tc>
        <w:tc>
          <w:tcPr>
            <w:tcW w:w="1651"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N/A</w:t>
            </w:r>
          </w:p>
        </w:tc>
        <w:tc>
          <w:tcPr>
            <w:tcW w:w="1305"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N/A</w:t>
            </w:r>
          </w:p>
        </w:tc>
        <w:tc>
          <w:tcPr>
            <w:tcW w:w="1489"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N/A</w:t>
            </w:r>
          </w:p>
        </w:tc>
        <w:tc>
          <w:tcPr>
            <w:tcW w:w="1346" w:type="dxa"/>
            <w:tcBorders>
              <w:top w:val="nil"/>
              <w:left w:val="nil"/>
              <w:bottom w:val="single" w:sz="8" w:space="0" w:color="7030A0"/>
              <w:right w:val="nil"/>
            </w:tcBorders>
            <w:shd w:val="clear" w:color="000000" w:fill="FFFFFF"/>
          </w:tcPr>
          <w:p w:rsidR="00B740A8"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N/A</w:t>
            </w:r>
          </w:p>
          <w:p w:rsidR="00EF46AC" w:rsidRPr="00F55A34" w:rsidRDefault="00EF46AC" w:rsidP="00D1541A">
            <w:pPr>
              <w:jc w:val="right"/>
              <w:rPr>
                <w:rFonts w:asciiTheme="minorHAnsi" w:hAnsiTheme="minorHAnsi" w:cstheme="minorHAnsi"/>
                <w:szCs w:val="20"/>
                <w:lang w:val="fr-FR" w:eastAsia="fr-FR"/>
              </w:rPr>
            </w:pPr>
          </w:p>
        </w:tc>
      </w:tr>
      <w:tr w:rsidR="00B740A8" w:rsidRPr="00C73365" w:rsidTr="00D1541A">
        <w:trPr>
          <w:trHeight w:val="214"/>
        </w:trPr>
        <w:tc>
          <w:tcPr>
            <w:tcW w:w="3423" w:type="dxa"/>
            <w:tcBorders>
              <w:top w:val="nil"/>
              <w:left w:val="nil"/>
              <w:bottom w:val="single" w:sz="8" w:space="0" w:color="7030A0"/>
              <w:right w:val="nil"/>
            </w:tcBorders>
            <w:shd w:val="clear" w:color="000000" w:fill="FFFFFF"/>
            <w:noWrap/>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Avantages en nature</w:t>
            </w:r>
            <w:r w:rsidRPr="00C73365">
              <w:rPr>
                <w:rFonts w:asciiTheme="minorHAnsi" w:hAnsiTheme="minorHAnsi" w:cstheme="minorHAnsi"/>
                <w:color w:val="000000"/>
                <w:szCs w:val="20"/>
                <w:vertAlign w:val="superscript"/>
                <w:lang w:val="fr-FR" w:eastAsia="fr-FR"/>
              </w:rPr>
              <w:t>4</w:t>
            </w:r>
          </w:p>
        </w:tc>
        <w:tc>
          <w:tcPr>
            <w:tcW w:w="1651"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u w:val="single"/>
                <w:lang w:val="fr-FR" w:eastAsia="fr-FR"/>
              </w:rPr>
            </w:pPr>
            <w:r w:rsidRPr="00F55A34">
              <w:rPr>
                <w:rFonts w:asciiTheme="minorHAnsi" w:hAnsiTheme="minorHAnsi" w:cstheme="minorHAnsi"/>
                <w:szCs w:val="20"/>
                <w:lang w:val="fr-FR" w:eastAsia="fr-FR"/>
              </w:rPr>
              <w:t>7 172</w:t>
            </w:r>
          </w:p>
        </w:tc>
        <w:tc>
          <w:tcPr>
            <w:tcW w:w="1305" w:type="dxa"/>
            <w:tcBorders>
              <w:top w:val="nil"/>
              <w:left w:val="nil"/>
              <w:bottom w:val="single" w:sz="8" w:space="0" w:color="7030A0"/>
              <w:right w:val="nil"/>
            </w:tcBorders>
            <w:shd w:val="clear" w:color="000000" w:fill="FFFFFF"/>
            <w:hideMark/>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7 172</w:t>
            </w:r>
          </w:p>
        </w:tc>
        <w:tc>
          <w:tcPr>
            <w:tcW w:w="1489"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7 172</w:t>
            </w:r>
          </w:p>
        </w:tc>
        <w:tc>
          <w:tcPr>
            <w:tcW w:w="1346" w:type="dxa"/>
            <w:tcBorders>
              <w:top w:val="nil"/>
              <w:left w:val="nil"/>
              <w:bottom w:val="single" w:sz="8" w:space="0" w:color="7030A0"/>
              <w:right w:val="nil"/>
            </w:tcBorders>
            <w:shd w:val="clear" w:color="000000" w:fill="FFFFFF"/>
          </w:tcPr>
          <w:p w:rsidR="00B740A8" w:rsidRPr="00F55A34" w:rsidRDefault="00B740A8" w:rsidP="00D1541A">
            <w:pPr>
              <w:jc w:val="right"/>
              <w:rPr>
                <w:rFonts w:asciiTheme="minorHAnsi" w:hAnsiTheme="minorHAnsi" w:cstheme="minorHAnsi"/>
                <w:szCs w:val="20"/>
                <w:lang w:val="fr-FR" w:eastAsia="fr-FR"/>
              </w:rPr>
            </w:pPr>
            <w:r w:rsidRPr="00F55A34">
              <w:rPr>
                <w:rFonts w:asciiTheme="minorHAnsi" w:hAnsiTheme="minorHAnsi" w:cstheme="minorHAnsi"/>
                <w:szCs w:val="20"/>
                <w:lang w:val="fr-FR" w:eastAsia="fr-FR"/>
              </w:rPr>
              <w:t>7 172</w:t>
            </w:r>
          </w:p>
        </w:tc>
      </w:tr>
      <w:tr w:rsidR="00B740A8" w:rsidRPr="00C73365" w:rsidTr="00D1541A">
        <w:trPr>
          <w:trHeight w:val="403"/>
        </w:trPr>
        <w:tc>
          <w:tcPr>
            <w:tcW w:w="3423" w:type="dxa"/>
            <w:tcBorders>
              <w:top w:val="nil"/>
              <w:left w:val="nil"/>
              <w:bottom w:val="single" w:sz="8" w:space="0" w:color="7030A0"/>
              <w:right w:val="nil"/>
            </w:tcBorders>
            <w:shd w:val="clear" w:color="auto" w:fill="auto"/>
            <w:noWrap/>
            <w:vAlign w:val="center"/>
            <w:hideMark/>
          </w:tcPr>
          <w:p w:rsidR="00B740A8" w:rsidRPr="00C73365" w:rsidRDefault="00B740A8" w:rsidP="00D1541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651" w:type="dxa"/>
            <w:tcBorders>
              <w:top w:val="nil"/>
              <w:left w:val="nil"/>
              <w:bottom w:val="single" w:sz="8" w:space="0" w:color="7030A0"/>
              <w:right w:val="nil"/>
            </w:tcBorders>
            <w:shd w:val="clear" w:color="000000" w:fill="FFFFFF"/>
            <w:vAlign w:val="center"/>
            <w:hideMark/>
          </w:tcPr>
          <w:p w:rsidR="00B740A8" w:rsidRPr="00F55A34" w:rsidRDefault="00C3153E" w:rsidP="00D1541A">
            <w:pPr>
              <w:jc w:val="right"/>
              <w:rPr>
                <w:rFonts w:asciiTheme="minorHAnsi" w:hAnsiTheme="minorHAnsi" w:cstheme="minorHAnsi"/>
                <w:b/>
                <w:bCs/>
                <w:color w:val="7030A0"/>
                <w:szCs w:val="20"/>
                <w:lang w:val="fr-FR" w:eastAsia="fr-FR"/>
              </w:rPr>
            </w:pPr>
            <w:r w:rsidRPr="00F55A34">
              <w:rPr>
                <w:rFonts w:asciiTheme="minorHAnsi" w:hAnsiTheme="minorHAnsi" w:cstheme="minorHAnsi"/>
                <w:b/>
                <w:bCs/>
                <w:color w:val="7030A0"/>
                <w:szCs w:val="20"/>
                <w:lang w:val="fr-FR" w:eastAsia="fr-FR"/>
              </w:rPr>
              <w:t>345</w:t>
            </w:r>
            <w:r w:rsidR="00C12E6B" w:rsidRPr="00F55A34">
              <w:rPr>
                <w:rFonts w:asciiTheme="minorHAnsi" w:hAnsiTheme="minorHAnsi" w:cstheme="minorHAnsi"/>
                <w:b/>
                <w:bCs/>
                <w:color w:val="7030A0"/>
                <w:szCs w:val="20"/>
                <w:lang w:val="fr-FR" w:eastAsia="fr-FR"/>
              </w:rPr>
              <w:t> </w:t>
            </w:r>
            <w:r w:rsidRPr="00F55A34">
              <w:rPr>
                <w:rFonts w:asciiTheme="minorHAnsi" w:hAnsiTheme="minorHAnsi" w:cstheme="minorHAnsi"/>
                <w:b/>
                <w:bCs/>
                <w:color w:val="7030A0"/>
                <w:szCs w:val="20"/>
                <w:lang w:val="fr-FR" w:eastAsia="fr-FR"/>
              </w:rPr>
              <w:t>172</w:t>
            </w:r>
            <w:r w:rsidR="00C12E6B" w:rsidRPr="00F55A34">
              <w:rPr>
                <w:rFonts w:asciiTheme="minorHAnsi" w:hAnsiTheme="minorHAnsi" w:cstheme="minorHAnsi"/>
                <w:b/>
                <w:bCs/>
                <w:color w:val="7030A0"/>
                <w:szCs w:val="20"/>
                <w:lang w:val="fr-FR" w:eastAsia="fr-FR"/>
              </w:rPr>
              <w:t xml:space="preserve"> </w:t>
            </w:r>
            <w:r w:rsidR="00B740A8" w:rsidRPr="00F55A34">
              <w:rPr>
                <w:rFonts w:asciiTheme="minorHAnsi" w:hAnsiTheme="minorHAnsi" w:cstheme="minorHAnsi"/>
                <w:b/>
                <w:bCs/>
                <w:color w:val="7030A0"/>
                <w:szCs w:val="20"/>
                <w:lang w:val="fr-FR" w:eastAsia="fr-FR"/>
              </w:rPr>
              <w:t>€</w:t>
            </w:r>
          </w:p>
        </w:tc>
        <w:tc>
          <w:tcPr>
            <w:tcW w:w="1305" w:type="dxa"/>
            <w:tcBorders>
              <w:top w:val="nil"/>
              <w:left w:val="nil"/>
              <w:bottom w:val="single" w:sz="8" w:space="0" w:color="7030A0"/>
              <w:right w:val="nil"/>
            </w:tcBorders>
            <w:shd w:val="clear" w:color="000000" w:fill="FFFFFF"/>
            <w:vAlign w:val="center"/>
            <w:hideMark/>
          </w:tcPr>
          <w:p w:rsidR="00B740A8" w:rsidRPr="00F55A34" w:rsidRDefault="00C12E6B" w:rsidP="00D1541A">
            <w:pPr>
              <w:jc w:val="right"/>
              <w:rPr>
                <w:rFonts w:asciiTheme="minorHAnsi" w:hAnsiTheme="minorHAnsi" w:cstheme="minorHAnsi"/>
                <w:b/>
                <w:bCs/>
                <w:color w:val="7030A0"/>
                <w:szCs w:val="20"/>
                <w:lang w:val="fr-FR" w:eastAsia="fr-FR"/>
              </w:rPr>
            </w:pPr>
            <w:r w:rsidRPr="00F55A34">
              <w:rPr>
                <w:rFonts w:asciiTheme="minorHAnsi" w:hAnsiTheme="minorHAnsi" w:cstheme="minorHAnsi"/>
                <w:b/>
                <w:bCs/>
                <w:color w:val="7030A0"/>
                <w:szCs w:val="20"/>
                <w:lang w:val="fr-FR" w:eastAsia="fr-FR"/>
              </w:rPr>
              <w:t xml:space="preserve">365 760 </w:t>
            </w:r>
            <w:r w:rsidR="00B740A8" w:rsidRPr="00F55A34">
              <w:rPr>
                <w:rFonts w:asciiTheme="minorHAnsi" w:hAnsiTheme="minorHAnsi" w:cstheme="minorHAnsi"/>
                <w:b/>
                <w:bCs/>
                <w:color w:val="7030A0"/>
                <w:szCs w:val="20"/>
                <w:lang w:val="fr-FR" w:eastAsia="fr-FR"/>
              </w:rPr>
              <w:t>€</w:t>
            </w:r>
          </w:p>
        </w:tc>
        <w:tc>
          <w:tcPr>
            <w:tcW w:w="1489" w:type="dxa"/>
            <w:tcBorders>
              <w:top w:val="nil"/>
              <w:left w:val="nil"/>
              <w:bottom w:val="single" w:sz="8" w:space="0" w:color="7030A0"/>
              <w:right w:val="nil"/>
            </w:tcBorders>
            <w:shd w:val="clear" w:color="000000" w:fill="FFFFFF"/>
            <w:vAlign w:val="center"/>
          </w:tcPr>
          <w:p w:rsidR="00B740A8" w:rsidRPr="00F55A34" w:rsidRDefault="001577DF" w:rsidP="00D1541A">
            <w:pPr>
              <w:jc w:val="right"/>
              <w:rPr>
                <w:rFonts w:asciiTheme="minorHAnsi" w:hAnsiTheme="minorHAnsi" w:cstheme="minorHAnsi"/>
                <w:b/>
                <w:bCs/>
                <w:color w:val="7030A0"/>
                <w:szCs w:val="20"/>
                <w:lang w:val="fr-FR" w:eastAsia="fr-FR"/>
              </w:rPr>
            </w:pPr>
            <w:r w:rsidRPr="00F55A34">
              <w:rPr>
                <w:rFonts w:asciiTheme="minorHAnsi" w:hAnsiTheme="minorHAnsi" w:cstheme="minorHAnsi"/>
                <w:b/>
                <w:bCs/>
                <w:color w:val="7030A0"/>
                <w:szCs w:val="20"/>
                <w:lang w:val="fr-FR" w:eastAsia="fr-FR"/>
              </w:rPr>
              <w:t>382 092</w:t>
            </w:r>
            <w:r w:rsidR="00B740A8" w:rsidRPr="00F55A34">
              <w:rPr>
                <w:rFonts w:asciiTheme="minorHAnsi" w:hAnsiTheme="minorHAnsi" w:cstheme="minorHAnsi"/>
                <w:b/>
                <w:bCs/>
                <w:color w:val="7030A0"/>
                <w:szCs w:val="20"/>
                <w:lang w:val="fr-FR" w:eastAsia="fr-FR"/>
              </w:rPr>
              <w:t xml:space="preserve"> €</w:t>
            </w:r>
          </w:p>
        </w:tc>
        <w:tc>
          <w:tcPr>
            <w:tcW w:w="1346" w:type="dxa"/>
            <w:tcBorders>
              <w:top w:val="nil"/>
              <w:left w:val="nil"/>
              <w:bottom w:val="single" w:sz="8" w:space="0" w:color="7030A0"/>
              <w:right w:val="nil"/>
            </w:tcBorders>
            <w:shd w:val="clear" w:color="000000" w:fill="FFFFFF"/>
            <w:vAlign w:val="center"/>
          </w:tcPr>
          <w:p w:rsidR="00B740A8" w:rsidRPr="00F55A34" w:rsidRDefault="005C789C" w:rsidP="00D1541A">
            <w:pPr>
              <w:jc w:val="right"/>
              <w:rPr>
                <w:rFonts w:asciiTheme="minorHAnsi" w:hAnsiTheme="minorHAnsi" w:cstheme="minorHAnsi"/>
                <w:b/>
                <w:bCs/>
                <w:color w:val="7030A0"/>
                <w:szCs w:val="20"/>
                <w:lang w:val="fr-FR" w:eastAsia="fr-FR"/>
              </w:rPr>
            </w:pPr>
            <w:r w:rsidRPr="00F55A34">
              <w:rPr>
                <w:rFonts w:asciiTheme="minorHAnsi" w:hAnsiTheme="minorHAnsi" w:cstheme="minorHAnsi"/>
                <w:b/>
                <w:bCs/>
                <w:color w:val="7030A0"/>
                <w:szCs w:val="20"/>
                <w:lang w:val="fr-FR" w:eastAsia="fr-FR"/>
              </w:rPr>
              <w:t>352 972</w:t>
            </w:r>
            <w:r w:rsidR="00B740A8" w:rsidRPr="00F55A34">
              <w:rPr>
                <w:rFonts w:asciiTheme="minorHAnsi" w:hAnsiTheme="minorHAnsi" w:cstheme="minorHAnsi"/>
                <w:b/>
                <w:bCs/>
                <w:color w:val="7030A0"/>
                <w:szCs w:val="20"/>
                <w:lang w:val="fr-FR" w:eastAsia="fr-FR"/>
              </w:rPr>
              <w:t xml:space="preserve"> €</w:t>
            </w:r>
          </w:p>
        </w:tc>
      </w:tr>
    </w:tbl>
    <w:p w:rsidR="00B740A8" w:rsidRPr="008B709B" w:rsidRDefault="008B709B" w:rsidP="008B709B">
      <w:pPr>
        <w:pStyle w:val="BlockLeft"/>
        <w:ind w:left="720"/>
        <w:jc w:val="center"/>
        <w:rPr>
          <w:rFonts w:asciiTheme="minorHAnsi" w:hAnsiTheme="minorHAnsi" w:cstheme="minorHAnsi"/>
          <w:color w:val="000000"/>
          <w:vertAlign w:val="superscript"/>
          <w:lang w:val="fr-FR" w:eastAsia="fr-FR"/>
        </w:rPr>
      </w:pPr>
      <w:r>
        <w:rPr>
          <w:rFonts w:asciiTheme="minorHAnsi" w:hAnsiTheme="minorHAnsi" w:cstheme="minorHAnsi"/>
          <w:i/>
          <w:color w:val="7030A0"/>
          <w:lang w:val="fr-FR"/>
        </w:rPr>
        <w:t xml:space="preserve">(1) </w:t>
      </w:r>
      <w:r w:rsidRPr="001F18A7">
        <w:rPr>
          <w:rFonts w:asciiTheme="minorHAnsi" w:hAnsiTheme="minorHAnsi" w:cstheme="minorHAnsi"/>
          <w:i/>
          <w:color w:val="7030A0"/>
          <w:lang w:val="fr-FR"/>
        </w:rPr>
        <w:t>au titre de l’exercice (2) au cours de l’exercic</w:t>
      </w:r>
      <w:r>
        <w:rPr>
          <w:rFonts w:asciiTheme="minorHAnsi" w:hAnsiTheme="minorHAnsi" w:cstheme="minorHAnsi"/>
          <w:i/>
          <w:color w:val="7030A0"/>
          <w:lang w:val="fr-FR"/>
        </w:rPr>
        <w:t>e</w:t>
      </w:r>
    </w:p>
    <w:p w:rsidR="00B740A8" w:rsidRPr="008B709B" w:rsidRDefault="00B740A8" w:rsidP="008B709B">
      <w:pPr>
        <w:pStyle w:val="BlockLeft"/>
        <w:rPr>
          <w:rFonts w:asciiTheme="minorHAnsi" w:hAnsiTheme="minorHAnsi" w:cstheme="minorHAnsi"/>
          <w:i/>
          <w:color w:val="7030A0"/>
          <w:lang w:val="fr-FR"/>
        </w:rPr>
      </w:pPr>
      <w:r w:rsidRPr="001F18A7">
        <w:rPr>
          <w:rFonts w:asciiTheme="minorHAnsi" w:hAnsiTheme="minorHAnsi" w:cstheme="minorHAnsi"/>
          <w:color w:val="000000"/>
          <w:vertAlign w:val="superscript"/>
          <w:lang w:val="fr-FR" w:eastAsia="fr-FR"/>
        </w:rPr>
        <w:t xml:space="preserve">1 </w:t>
      </w:r>
      <w:r w:rsidRPr="001F18A7">
        <w:rPr>
          <w:rFonts w:asciiTheme="minorHAnsi" w:hAnsiTheme="minorHAnsi" w:cstheme="minorHAnsi"/>
          <w:color w:val="000000"/>
          <w:lang w:val="fr-FR" w:eastAsia="fr-FR"/>
        </w:rPr>
        <w:t>La rémunération annuelle de Monsieur Ehrlich pour l’exercice 2017 comprend une part fixe d’un montant de 267.800 euros brut annuel.</w:t>
      </w:r>
      <w:r w:rsidR="00C12E6B" w:rsidRPr="001F18A7">
        <w:rPr>
          <w:rFonts w:asciiTheme="minorHAnsi" w:hAnsiTheme="minorHAnsi" w:cstheme="minorHAnsi"/>
          <w:color w:val="000000"/>
          <w:lang w:val="fr-FR" w:eastAsia="fr-FR"/>
        </w:rPr>
        <w:t xml:space="preserve"> En 2016, la rémunération fixe de Monsieur Ehrlich</w:t>
      </w:r>
      <w:r w:rsidR="005B066C" w:rsidRPr="001F18A7">
        <w:rPr>
          <w:rFonts w:asciiTheme="minorHAnsi" w:hAnsiTheme="minorHAnsi" w:cstheme="minorHAnsi"/>
          <w:color w:val="000000"/>
          <w:lang w:val="fr-FR" w:eastAsia="fr-FR"/>
        </w:rPr>
        <w:t xml:space="preserve"> était de 260 000 € à laquelle </w:t>
      </w:r>
      <w:r w:rsidR="00C12E6B" w:rsidRPr="001F18A7">
        <w:rPr>
          <w:rFonts w:asciiTheme="minorHAnsi" w:hAnsiTheme="minorHAnsi" w:cstheme="minorHAnsi"/>
          <w:color w:val="000000"/>
          <w:lang w:val="fr-FR" w:eastAsia="fr-FR"/>
        </w:rPr>
        <w:t>s’est ajouté</w:t>
      </w:r>
      <w:r w:rsidR="005B066C" w:rsidRPr="001F18A7">
        <w:rPr>
          <w:rFonts w:asciiTheme="minorHAnsi" w:hAnsiTheme="minorHAnsi" w:cstheme="minorHAnsi"/>
          <w:color w:val="000000"/>
          <w:lang w:val="fr-FR" w:eastAsia="fr-FR"/>
        </w:rPr>
        <w:t>e</w:t>
      </w:r>
      <w:r w:rsidR="00C12E6B" w:rsidRPr="001F18A7">
        <w:rPr>
          <w:rFonts w:asciiTheme="minorHAnsi" w:hAnsiTheme="minorHAnsi" w:cstheme="minorHAnsi"/>
          <w:color w:val="000000"/>
          <w:lang w:val="fr-FR" w:eastAsia="fr-FR"/>
        </w:rPr>
        <w:t xml:space="preserve"> une rectification des salaires 2015 de 4 987 € en mars 2016.</w:t>
      </w:r>
    </w:p>
    <w:p w:rsidR="00B740A8" w:rsidRPr="001F18A7" w:rsidRDefault="00B740A8" w:rsidP="00B740A8">
      <w:pPr>
        <w:pStyle w:val="BlockLeft"/>
        <w:rPr>
          <w:rFonts w:asciiTheme="minorHAnsi" w:hAnsiTheme="minorHAnsi" w:cstheme="minorHAnsi"/>
          <w:color w:val="000000"/>
          <w:lang w:val="fr-FR" w:eastAsia="fr-FR"/>
        </w:rPr>
      </w:pPr>
      <w:r w:rsidRPr="001F18A7">
        <w:rPr>
          <w:rFonts w:asciiTheme="minorHAnsi" w:hAnsiTheme="minorHAnsi" w:cstheme="minorHAnsi"/>
          <w:color w:val="000000"/>
          <w:vertAlign w:val="superscript"/>
          <w:lang w:val="fr-FR" w:eastAsia="fr-FR"/>
        </w:rPr>
        <w:t>2</w:t>
      </w:r>
      <w:r w:rsidR="0088598F">
        <w:rPr>
          <w:rFonts w:asciiTheme="minorHAnsi" w:hAnsiTheme="minorHAnsi" w:cstheme="minorHAnsi"/>
          <w:color w:val="000000"/>
          <w:vertAlign w:val="superscript"/>
          <w:lang w:val="fr-FR" w:eastAsia="fr-FR"/>
        </w:rPr>
        <w:t xml:space="preserve"> </w:t>
      </w:r>
      <w:r w:rsidRPr="001F18A7">
        <w:rPr>
          <w:rFonts w:asciiTheme="minorHAnsi" w:hAnsiTheme="minorHAnsi" w:cstheme="minorHAnsi"/>
          <w:color w:val="000000"/>
          <w:lang w:val="fr-FR" w:eastAsia="fr-FR"/>
        </w:rPr>
        <w:t>Monsieur Ehrlich a perçu, outre la part fixe de sa rémunération, une rémunération variable dont le montant maximum brut a été fixé par le conseil d’administration en date du 13 mars 2017 à 40% de sa rémunération fixe pour l’année 2017 sous réserve de l’atteinte d’objectifs personnels et d’entreprise établis par le conseil d’administration de la Société.</w:t>
      </w:r>
      <w:r w:rsidR="006204E1">
        <w:rPr>
          <w:rFonts w:asciiTheme="minorHAnsi" w:hAnsiTheme="minorHAnsi" w:cstheme="minorHAnsi"/>
          <w:color w:val="000000"/>
          <w:lang w:val="fr-FR" w:eastAsia="fr-FR"/>
        </w:rPr>
        <w:t xml:space="preserve"> </w:t>
      </w:r>
      <w:r w:rsidR="001C4380">
        <w:rPr>
          <w:rFonts w:asciiTheme="minorHAnsi" w:hAnsiTheme="minorHAnsi" w:cstheme="minorHAnsi"/>
          <w:color w:val="000000"/>
          <w:lang w:val="fr-FR" w:eastAsia="fr-FR"/>
        </w:rPr>
        <w:t xml:space="preserve">Ces </w:t>
      </w:r>
      <w:r w:rsidR="006204E1">
        <w:rPr>
          <w:rFonts w:asciiTheme="minorHAnsi" w:hAnsiTheme="minorHAnsi" w:cstheme="minorHAnsi"/>
          <w:color w:val="000000"/>
          <w:lang w:val="fr-FR" w:eastAsia="fr-FR"/>
        </w:rPr>
        <w:t xml:space="preserve">objectifs </w:t>
      </w:r>
      <w:r w:rsidR="00B75294">
        <w:rPr>
          <w:rFonts w:asciiTheme="minorHAnsi" w:hAnsiTheme="minorHAnsi" w:cstheme="minorHAnsi"/>
          <w:color w:val="000000"/>
          <w:lang w:val="fr-FR" w:eastAsia="fr-FR"/>
        </w:rPr>
        <w:t xml:space="preserve">2017 </w:t>
      </w:r>
      <w:r w:rsidR="006204E1">
        <w:rPr>
          <w:rFonts w:asciiTheme="minorHAnsi" w:hAnsiTheme="minorHAnsi" w:cstheme="minorHAnsi"/>
          <w:color w:val="000000"/>
          <w:lang w:val="fr-FR" w:eastAsia="fr-FR"/>
        </w:rPr>
        <w:t>comprenaient des obje</w:t>
      </w:r>
      <w:r w:rsidR="00E20222">
        <w:rPr>
          <w:rFonts w:asciiTheme="minorHAnsi" w:hAnsiTheme="minorHAnsi" w:cstheme="minorHAnsi"/>
          <w:color w:val="000000"/>
          <w:lang w:val="fr-FR" w:eastAsia="fr-FR"/>
        </w:rPr>
        <w:t>c</w:t>
      </w:r>
      <w:r w:rsidR="006204E1">
        <w:rPr>
          <w:rFonts w:asciiTheme="minorHAnsi" w:hAnsiTheme="minorHAnsi" w:cstheme="minorHAnsi"/>
          <w:color w:val="000000"/>
          <w:lang w:val="fr-FR" w:eastAsia="fr-FR"/>
        </w:rPr>
        <w:t>tifs financiers, des o</w:t>
      </w:r>
      <w:r w:rsidR="00E20222">
        <w:rPr>
          <w:rFonts w:asciiTheme="minorHAnsi" w:hAnsiTheme="minorHAnsi" w:cstheme="minorHAnsi"/>
          <w:color w:val="000000"/>
          <w:lang w:val="fr-FR" w:eastAsia="fr-FR"/>
        </w:rPr>
        <w:t>b</w:t>
      </w:r>
      <w:r w:rsidR="006204E1">
        <w:rPr>
          <w:rFonts w:asciiTheme="minorHAnsi" w:hAnsiTheme="minorHAnsi" w:cstheme="minorHAnsi"/>
          <w:color w:val="000000"/>
          <w:lang w:val="fr-FR" w:eastAsia="fr-FR"/>
        </w:rPr>
        <w:t>jectifs liés à l’atteinte de jalons</w:t>
      </w:r>
      <w:r w:rsidR="001C4380">
        <w:rPr>
          <w:rFonts w:asciiTheme="minorHAnsi" w:hAnsiTheme="minorHAnsi" w:cstheme="minorHAnsi"/>
          <w:color w:val="000000"/>
          <w:lang w:val="fr-FR" w:eastAsia="fr-FR"/>
        </w:rPr>
        <w:t xml:space="preserve"> pour le projet ABX464 et un o</w:t>
      </w:r>
      <w:r w:rsidR="00E20222">
        <w:rPr>
          <w:rFonts w:asciiTheme="minorHAnsi" w:hAnsiTheme="minorHAnsi" w:cstheme="minorHAnsi"/>
          <w:color w:val="000000"/>
          <w:lang w:val="fr-FR" w:eastAsia="fr-FR"/>
        </w:rPr>
        <w:t>b</w:t>
      </w:r>
      <w:r w:rsidR="001C4380">
        <w:rPr>
          <w:rFonts w:asciiTheme="minorHAnsi" w:hAnsiTheme="minorHAnsi" w:cstheme="minorHAnsi"/>
          <w:color w:val="000000"/>
          <w:lang w:val="fr-FR" w:eastAsia="fr-FR"/>
        </w:rPr>
        <w:t>jectif de partenariat</w:t>
      </w:r>
      <w:r w:rsidR="00D112B4">
        <w:rPr>
          <w:rFonts w:asciiTheme="minorHAnsi" w:hAnsiTheme="minorHAnsi" w:cstheme="minorHAnsi"/>
          <w:color w:val="000000"/>
          <w:lang w:val="fr-FR" w:eastAsia="fr-FR"/>
        </w:rPr>
        <w:t xml:space="preserve"> sur </w:t>
      </w:r>
      <w:r w:rsidR="001C4380">
        <w:rPr>
          <w:rFonts w:asciiTheme="minorHAnsi" w:hAnsiTheme="minorHAnsi" w:cstheme="minorHAnsi"/>
          <w:color w:val="000000"/>
          <w:lang w:val="fr-FR" w:eastAsia="fr-FR"/>
        </w:rPr>
        <w:t>ABX196.</w:t>
      </w:r>
      <w:r w:rsidRPr="001F18A7">
        <w:rPr>
          <w:rFonts w:asciiTheme="minorHAnsi" w:hAnsiTheme="minorHAnsi" w:cstheme="minorHAnsi"/>
          <w:color w:val="000000"/>
          <w:lang w:val="fr-FR" w:eastAsia="fr-FR"/>
        </w:rPr>
        <w:t xml:space="preserve"> </w:t>
      </w:r>
      <w:r w:rsidR="0040022B">
        <w:rPr>
          <w:rFonts w:asciiTheme="minorHAnsi" w:hAnsiTheme="minorHAnsi" w:cstheme="minorHAnsi"/>
          <w:color w:val="000000"/>
          <w:lang w:val="fr-FR" w:eastAsia="fr-FR"/>
        </w:rPr>
        <w:t>A l’exeption de la réalisation d’un partenariat sur l’ABX196 dont la conclusion est désormais reportée après l’obtention des résultats de l’étude clinique</w:t>
      </w:r>
      <w:r w:rsidR="00652785">
        <w:rPr>
          <w:rFonts w:asciiTheme="minorHAnsi" w:hAnsiTheme="minorHAnsi" w:cstheme="minorHAnsi"/>
          <w:color w:val="000000"/>
          <w:lang w:val="fr-FR" w:eastAsia="fr-FR"/>
        </w:rPr>
        <w:t xml:space="preserve"> sur</w:t>
      </w:r>
      <w:r w:rsidR="0040022B">
        <w:rPr>
          <w:rFonts w:asciiTheme="minorHAnsi" w:hAnsiTheme="minorHAnsi" w:cstheme="minorHAnsi"/>
          <w:color w:val="000000"/>
          <w:lang w:val="fr-FR" w:eastAsia="fr-FR"/>
        </w:rPr>
        <w:t xml:space="preserve"> </w:t>
      </w:r>
      <w:r w:rsidR="0040022B" w:rsidRPr="0040022B">
        <w:rPr>
          <w:rFonts w:asciiTheme="minorHAnsi" w:hAnsiTheme="minorHAnsi" w:cstheme="minorHAnsi"/>
          <w:color w:val="000000"/>
          <w:lang w:val="fr-FR" w:eastAsia="fr-FR"/>
        </w:rPr>
        <w:t xml:space="preserve">l’hépatocarcinome avancé, associant ABX196 </w:t>
      </w:r>
      <w:r w:rsidR="00BF2B05">
        <w:rPr>
          <w:rFonts w:asciiTheme="minorHAnsi" w:hAnsiTheme="minorHAnsi" w:cstheme="minorHAnsi"/>
          <w:color w:val="000000"/>
          <w:lang w:val="fr-FR" w:eastAsia="fr-FR"/>
        </w:rPr>
        <w:t>et</w:t>
      </w:r>
      <w:r w:rsidR="0040022B" w:rsidRPr="0040022B">
        <w:rPr>
          <w:rFonts w:asciiTheme="minorHAnsi" w:hAnsiTheme="minorHAnsi" w:cstheme="minorHAnsi"/>
          <w:color w:val="000000"/>
          <w:lang w:val="fr-FR" w:eastAsia="fr-FR"/>
        </w:rPr>
        <w:t xml:space="preserve"> Anti-PD1</w:t>
      </w:r>
      <w:r w:rsidR="00652785">
        <w:rPr>
          <w:rFonts w:asciiTheme="minorHAnsi" w:hAnsiTheme="minorHAnsi" w:cstheme="minorHAnsi"/>
          <w:color w:val="000000"/>
          <w:lang w:val="fr-FR" w:eastAsia="fr-FR"/>
        </w:rPr>
        <w:t>, l’ensemble des objectifs 2017 ont été réalisés</w:t>
      </w:r>
      <w:r w:rsidR="0040022B">
        <w:rPr>
          <w:rFonts w:asciiTheme="minorHAnsi" w:hAnsiTheme="minorHAnsi" w:cstheme="minorHAnsi"/>
          <w:color w:val="000000"/>
          <w:lang w:val="fr-FR" w:eastAsia="fr-FR"/>
        </w:rPr>
        <w:t>.</w:t>
      </w:r>
      <w:r w:rsidR="00652785">
        <w:rPr>
          <w:rFonts w:asciiTheme="minorHAnsi" w:hAnsiTheme="minorHAnsi" w:cstheme="minorHAnsi"/>
          <w:color w:val="000000"/>
          <w:lang w:val="fr-FR" w:eastAsia="fr-FR"/>
        </w:rPr>
        <w:t xml:space="preserve"> </w:t>
      </w:r>
      <w:r w:rsidRPr="001F18A7">
        <w:rPr>
          <w:rFonts w:asciiTheme="minorHAnsi" w:hAnsiTheme="minorHAnsi" w:cstheme="minorHAnsi"/>
          <w:color w:val="000000"/>
          <w:lang w:val="fr-FR" w:eastAsia="fr-FR"/>
        </w:rPr>
        <w:t xml:space="preserve">Sur proposition du </w:t>
      </w:r>
      <w:r w:rsidR="00AC15E8">
        <w:rPr>
          <w:rFonts w:asciiTheme="minorHAnsi" w:hAnsiTheme="minorHAnsi" w:cstheme="minorHAnsi"/>
          <w:color w:val="000000"/>
          <w:lang w:val="fr-FR" w:eastAsia="fr-FR"/>
        </w:rPr>
        <w:t>comité des recrutements et des rémunérations</w:t>
      </w:r>
      <w:r w:rsidRPr="001F18A7">
        <w:rPr>
          <w:rFonts w:asciiTheme="minorHAnsi" w:hAnsiTheme="minorHAnsi" w:cstheme="minorHAnsi"/>
          <w:color w:val="000000"/>
          <w:lang w:val="fr-FR" w:eastAsia="fr-FR"/>
        </w:rPr>
        <w:t>, le conseil d’administration de la Société en date du 22 janvier 2018 a</w:t>
      </w:r>
      <w:r w:rsidR="00BF2B05">
        <w:rPr>
          <w:rFonts w:asciiTheme="minorHAnsi" w:hAnsiTheme="minorHAnsi" w:cstheme="minorHAnsi"/>
          <w:color w:val="000000"/>
          <w:lang w:val="fr-FR" w:eastAsia="fr-FR"/>
        </w:rPr>
        <w:t xml:space="preserve"> ainsi</w:t>
      </w:r>
      <w:r w:rsidR="006204E1">
        <w:rPr>
          <w:rFonts w:asciiTheme="minorHAnsi" w:hAnsiTheme="minorHAnsi" w:cstheme="minorHAnsi"/>
          <w:color w:val="000000"/>
          <w:lang w:val="fr-FR" w:eastAsia="fr-FR"/>
        </w:rPr>
        <w:t xml:space="preserve"> proposé</w:t>
      </w:r>
      <w:r w:rsidRPr="001F18A7">
        <w:rPr>
          <w:rFonts w:asciiTheme="minorHAnsi" w:hAnsiTheme="minorHAnsi" w:cstheme="minorHAnsi"/>
          <w:color w:val="000000"/>
          <w:lang w:val="fr-FR" w:eastAsia="fr-FR"/>
        </w:rPr>
        <w:t xml:space="preserve"> à Monsieur Ehrlich une rémunération variable brute d’un montant de </w:t>
      </w:r>
      <w:r w:rsidR="00867006" w:rsidRPr="001F18A7">
        <w:rPr>
          <w:rFonts w:asciiTheme="minorHAnsi" w:hAnsiTheme="minorHAnsi" w:cstheme="minorHAnsi"/>
          <w:color w:val="000000"/>
          <w:lang w:val="fr-FR" w:eastAsia="fr-FR"/>
        </w:rPr>
        <w:t>96 408</w:t>
      </w:r>
      <w:r w:rsidRPr="001F18A7">
        <w:rPr>
          <w:rFonts w:asciiTheme="minorHAnsi" w:hAnsiTheme="minorHAnsi" w:cstheme="minorHAnsi"/>
          <w:color w:val="000000"/>
          <w:lang w:val="fr-FR" w:eastAsia="fr-FR"/>
        </w:rPr>
        <w:t xml:space="preserve"> euros pour l’année 2017. Cette rémunération variable </w:t>
      </w:r>
      <w:r w:rsidR="0088598F">
        <w:rPr>
          <w:rFonts w:asciiTheme="minorHAnsi" w:hAnsiTheme="minorHAnsi" w:cstheme="minorHAnsi"/>
          <w:color w:val="000000"/>
          <w:lang w:val="fr-FR" w:eastAsia="fr-FR"/>
        </w:rPr>
        <w:t xml:space="preserve">sera versée </w:t>
      </w:r>
      <w:r w:rsidR="00574C55">
        <w:rPr>
          <w:rFonts w:asciiTheme="minorHAnsi" w:hAnsiTheme="minorHAnsi" w:cstheme="minorHAnsi"/>
          <w:color w:val="000000"/>
          <w:lang w:val="fr-FR" w:eastAsia="fr-FR"/>
        </w:rPr>
        <w:t>en une seule fois sous réserve de l’</w:t>
      </w:r>
      <w:r w:rsidR="006204E1">
        <w:rPr>
          <w:rFonts w:asciiTheme="minorHAnsi" w:hAnsiTheme="minorHAnsi" w:cstheme="minorHAnsi"/>
          <w:color w:val="000000"/>
          <w:lang w:val="fr-FR" w:eastAsia="fr-FR"/>
        </w:rPr>
        <w:t xml:space="preserve">approbation </w:t>
      </w:r>
      <w:r w:rsidR="0088598F">
        <w:rPr>
          <w:rFonts w:asciiTheme="minorHAnsi" w:hAnsiTheme="minorHAnsi" w:cstheme="minorHAnsi"/>
          <w:color w:val="000000"/>
          <w:lang w:val="fr-FR" w:eastAsia="fr-FR"/>
        </w:rPr>
        <w:t xml:space="preserve">de </w:t>
      </w:r>
      <w:r w:rsidR="006204E1">
        <w:rPr>
          <w:rFonts w:asciiTheme="minorHAnsi" w:hAnsiTheme="minorHAnsi" w:cstheme="minorHAnsi"/>
          <w:color w:val="000000"/>
          <w:lang w:val="fr-FR" w:eastAsia="fr-FR"/>
        </w:rPr>
        <w:t>l’assemblée générale 2018.</w:t>
      </w:r>
    </w:p>
    <w:p w:rsidR="00B740A8" w:rsidRPr="001F18A7" w:rsidRDefault="00B740A8" w:rsidP="00B740A8">
      <w:pPr>
        <w:pStyle w:val="BlockLeft"/>
        <w:rPr>
          <w:rFonts w:asciiTheme="minorHAnsi" w:hAnsiTheme="minorHAnsi" w:cstheme="minorHAnsi"/>
          <w:color w:val="000000"/>
          <w:lang w:val="fr-FR" w:eastAsia="fr-FR"/>
        </w:rPr>
      </w:pPr>
      <w:r w:rsidRPr="001F18A7">
        <w:rPr>
          <w:rFonts w:asciiTheme="minorHAnsi" w:hAnsiTheme="minorHAnsi" w:cstheme="minorHAnsi"/>
          <w:color w:val="000000"/>
          <w:vertAlign w:val="superscript"/>
          <w:lang w:val="fr-FR" w:eastAsia="fr-FR"/>
        </w:rPr>
        <w:t>3</w:t>
      </w:r>
      <w:r w:rsidR="001F18A7">
        <w:rPr>
          <w:rFonts w:asciiTheme="minorHAnsi" w:hAnsiTheme="minorHAnsi" w:cstheme="minorHAnsi"/>
          <w:color w:val="000000"/>
          <w:vertAlign w:val="superscript"/>
          <w:lang w:val="fr-FR" w:eastAsia="fr-FR"/>
        </w:rPr>
        <w:t xml:space="preserve"> </w:t>
      </w:r>
      <w:r w:rsidRPr="001F18A7">
        <w:rPr>
          <w:rFonts w:asciiTheme="minorHAnsi" w:hAnsiTheme="minorHAnsi" w:cstheme="minorHAnsi"/>
          <w:color w:val="000000"/>
          <w:lang w:val="fr-FR" w:eastAsia="fr-FR"/>
        </w:rPr>
        <w:t>La rémunération variable versée au titre de l’exercice correspond à celle due au titre de l’exercice précédent.</w:t>
      </w:r>
    </w:p>
    <w:p w:rsidR="00683F51" w:rsidRDefault="00B740A8" w:rsidP="007816CF">
      <w:pPr>
        <w:pStyle w:val="BlockLeft"/>
        <w:rPr>
          <w:lang w:val="fr-FR"/>
        </w:rPr>
      </w:pPr>
      <w:r w:rsidRPr="001F18A7">
        <w:rPr>
          <w:rFonts w:asciiTheme="minorHAnsi" w:hAnsiTheme="minorHAnsi" w:cstheme="minorHAnsi"/>
          <w:color w:val="000000"/>
          <w:vertAlign w:val="superscript"/>
          <w:lang w:val="fr-FR" w:eastAsia="fr-FR"/>
        </w:rPr>
        <w:t>4</w:t>
      </w:r>
      <w:r w:rsidR="0088598F">
        <w:rPr>
          <w:rFonts w:asciiTheme="minorHAnsi" w:hAnsiTheme="minorHAnsi" w:cstheme="minorHAnsi"/>
          <w:color w:val="000000"/>
          <w:vertAlign w:val="superscript"/>
          <w:lang w:val="fr-FR" w:eastAsia="fr-FR"/>
        </w:rPr>
        <w:t xml:space="preserve"> </w:t>
      </w:r>
      <w:r w:rsidRPr="001F18A7">
        <w:rPr>
          <w:rFonts w:asciiTheme="minorHAnsi" w:hAnsiTheme="minorHAnsi" w:cstheme="minorHAnsi"/>
          <w:color w:val="000000"/>
          <w:lang w:val="fr-FR" w:eastAsia="fr-FR"/>
        </w:rPr>
        <w:t>Monsieur Hartmut Ehrlich bénéficie d’une voiture de fonction</w:t>
      </w:r>
      <w:r w:rsidRPr="00C73365">
        <w:rPr>
          <w:rFonts w:asciiTheme="minorHAnsi" w:hAnsiTheme="minorHAnsi" w:cstheme="minorHAnsi"/>
          <w:color w:val="000000"/>
          <w:lang w:val="fr-FR" w:eastAsia="fr-FR"/>
        </w:rPr>
        <w:t>.</w:t>
      </w:r>
    </w:p>
    <w:p w:rsidR="00683F51" w:rsidRDefault="00683F51" w:rsidP="007816CF">
      <w:pPr>
        <w:pStyle w:val="BodyText"/>
        <w:keepNext/>
        <w:spacing w:after="0"/>
        <w:rPr>
          <w:rFonts w:asciiTheme="minorHAnsi" w:hAnsiTheme="minorHAnsi" w:cstheme="minorHAnsi"/>
          <w:b/>
          <w:lang w:val="fr-FR"/>
        </w:rPr>
      </w:pPr>
    </w:p>
    <w:p w:rsidR="00EF46AC" w:rsidRDefault="00EF46AC">
      <w:pPr>
        <w:pStyle w:val="BodyText"/>
        <w:spacing w:after="0"/>
        <w:rPr>
          <w:rFonts w:asciiTheme="minorHAnsi" w:hAnsiTheme="minorHAnsi" w:cstheme="minorHAnsi"/>
          <w:b/>
          <w:lang w:val="fr-FR"/>
        </w:rPr>
      </w:pPr>
    </w:p>
    <w:p w:rsidR="00EF46AC" w:rsidRDefault="00EF46AC">
      <w:pPr>
        <w:pStyle w:val="BodyText"/>
        <w:spacing w:after="0"/>
        <w:rPr>
          <w:rFonts w:asciiTheme="minorHAnsi" w:hAnsiTheme="minorHAnsi" w:cstheme="minorHAnsi"/>
          <w:b/>
          <w:lang w:val="fr-FR"/>
        </w:rPr>
      </w:pPr>
    </w:p>
    <w:p w:rsidR="00EF46AC" w:rsidRDefault="00EF46AC">
      <w:pPr>
        <w:pStyle w:val="BodyText"/>
        <w:spacing w:after="0"/>
        <w:rPr>
          <w:rFonts w:asciiTheme="minorHAnsi" w:hAnsiTheme="minorHAnsi" w:cstheme="minorHAnsi"/>
          <w:b/>
          <w:lang w:val="fr-FR"/>
        </w:rPr>
      </w:pPr>
    </w:p>
    <w:p w:rsidR="00EF46AC" w:rsidRDefault="00EF46AC">
      <w:pPr>
        <w:pStyle w:val="BodyText"/>
        <w:spacing w:after="0"/>
        <w:rPr>
          <w:rFonts w:asciiTheme="minorHAnsi" w:hAnsiTheme="minorHAnsi" w:cstheme="minorHAnsi"/>
          <w:b/>
          <w:lang w:val="fr-FR"/>
        </w:rPr>
      </w:pPr>
    </w:p>
    <w:p w:rsidR="005A55E9" w:rsidRDefault="00B740A8">
      <w:pPr>
        <w:pStyle w:val="BodyText"/>
        <w:spacing w:after="0"/>
        <w:rPr>
          <w:rFonts w:asciiTheme="minorHAnsi" w:hAnsiTheme="minorHAnsi" w:cstheme="minorHAnsi"/>
          <w:b/>
          <w:lang w:val="fr-FR"/>
        </w:rPr>
      </w:pPr>
      <w:r w:rsidRPr="00C73365">
        <w:rPr>
          <w:rFonts w:asciiTheme="minorHAnsi" w:hAnsiTheme="minorHAnsi" w:cstheme="minorHAnsi"/>
          <w:b/>
          <w:lang w:val="fr-FR"/>
        </w:rPr>
        <w:lastRenderedPageBreak/>
        <w:t>Tableau 3 : Tableau sur les jetons de présence et les autres rémunérations perçus par les mandataires sociaux non dirigeants</w:t>
      </w:r>
    </w:p>
    <w:p w:rsidR="00FF5A22" w:rsidRDefault="00FF5A22" w:rsidP="005A55E9">
      <w:pPr>
        <w:pStyle w:val="BodyText"/>
        <w:spacing w:after="0"/>
        <w:rPr>
          <w:rFonts w:asciiTheme="minorHAnsi" w:hAnsiTheme="minorHAnsi" w:cstheme="minorHAnsi"/>
          <w:b/>
          <w:lang w:val="fr-FR"/>
        </w:rPr>
      </w:pPr>
    </w:p>
    <w:p w:rsidR="00B740A8" w:rsidRPr="005A55E9" w:rsidRDefault="00B740A8" w:rsidP="005A55E9">
      <w:pPr>
        <w:pStyle w:val="BodyText"/>
        <w:spacing w:after="0"/>
        <w:rPr>
          <w:rFonts w:asciiTheme="minorHAnsi" w:hAnsiTheme="minorHAnsi" w:cstheme="minorHAnsi"/>
          <w:b/>
          <w:lang w:val="fr-FR"/>
        </w:rPr>
      </w:pPr>
      <w:r w:rsidRPr="00C73365">
        <w:rPr>
          <w:rFonts w:asciiTheme="minorHAnsi" w:hAnsiTheme="minorHAnsi" w:cstheme="minorHAnsi"/>
          <w:spacing w:val="-2"/>
          <w:lang w:val="fr-FR"/>
        </w:rPr>
        <w:t xml:space="preserve">L’assemblée générale mixte en date du 23 juin 2017 a décidé d’allouer aux administrateurs, </w:t>
      </w:r>
      <w:r w:rsidRPr="00C73365">
        <w:rPr>
          <w:rFonts w:asciiTheme="minorHAnsi" w:hAnsiTheme="minorHAnsi" w:cstheme="minorHAnsi"/>
          <w:lang w:val="fr-FR"/>
        </w:rPr>
        <w:t xml:space="preserve">en rémunération de leur activité, une somme annuelle, nette, maximale et globale de 110.000 euros hors forfait social pour l’exercice clos le 31 décembre 2017 à titre de jetons de présence. Le conseil d’administration du </w:t>
      </w:r>
      <w:r w:rsidRPr="00C73365">
        <w:rPr>
          <w:rFonts w:asciiTheme="minorHAnsi" w:hAnsiTheme="minorHAnsi" w:cstheme="minorHAnsi"/>
          <w:iCs/>
          <w:lang w:val="fr-FR"/>
        </w:rPr>
        <w:t>15 mars 2018</w:t>
      </w:r>
      <w:r w:rsidRPr="00C73365">
        <w:rPr>
          <w:rFonts w:asciiTheme="minorHAnsi" w:hAnsiTheme="minorHAnsi" w:cstheme="minorHAnsi"/>
          <w:lang w:val="fr-FR"/>
        </w:rPr>
        <w:t xml:space="preserve"> a décidé de l’affectation des jetons de présence</w:t>
      </w:r>
      <w:r w:rsidRPr="00C73365">
        <w:rPr>
          <w:rFonts w:asciiTheme="minorHAnsi" w:hAnsiTheme="minorHAnsi" w:cstheme="minorHAnsi"/>
          <w:iCs/>
          <w:lang w:val="fr-FR"/>
        </w:rPr>
        <w:t xml:space="preserve"> au titre de l’exercice 2017</w:t>
      </w:r>
      <w:r w:rsidRPr="00C73365">
        <w:rPr>
          <w:rFonts w:asciiTheme="minorHAnsi" w:hAnsiTheme="minorHAnsi" w:cstheme="minorHAnsi"/>
          <w:lang w:val="fr-FR"/>
        </w:rPr>
        <w:t>.</w:t>
      </w:r>
    </w:p>
    <w:tbl>
      <w:tblPr>
        <w:tblW w:w="7519" w:type="dxa"/>
        <w:tblInd w:w="1128" w:type="dxa"/>
        <w:tblCellMar>
          <w:left w:w="70" w:type="dxa"/>
          <w:right w:w="70" w:type="dxa"/>
        </w:tblCellMar>
        <w:tblLook w:val="04A0" w:firstRow="1" w:lastRow="0" w:firstColumn="1" w:lastColumn="0" w:noHBand="0" w:noVBand="1"/>
      </w:tblPr>
      <w:tblGrid>
        <w:gridCol w:w="4184"/>
        <w:gridCol w:w="186"/>
        <w:gridCol w:w="1387"/>
        <w:gridCol w:w="186"/>
        <w:gridCol w:w="1576"/>
      </w:tblGrid>
      <w:tr w:rsidR="00B740A8" w:rsidRPr="008C1A4A" w:rsidTr="008B709B">
        <w:trPr>
          <w:trHeight w:val="599"/>
        </w:trPr>
        <w:tc>
          <w:tcPr>
            <w:tcW w:w="4184" w:type="dxa"/>
            <w:vMerge w:val="restart"/>
            <w:tcBorders>
              <w:top w:val="single" w:sz="8" w:space="0" w:color="7030A0"/>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b/>
                <w:color w:val="000000"/>
                <w:lang w:val="fr-FR"/>
              </w:rPr>
            </w:pPr>
            <w:r w:rsidRPr="00C73365">
              <w:rPr>
                <w:rFonts w:asciiTheme="minorHAnsi" w:hAnsiTheme="minorHAnsi" w:cstheme="minorHAnsi"/>
                <w:b/>
                <w:color w:val="000000"/>
                <w:lang w:val="fr-FR"/>
              </w:rPr>
              <w:t>Mandataires sociaux non dirigeants</w:t>
            </w:r>
          </w:p>
        </w:tc>
        <w:tc>
          <w:tcPr>
            <w:tcW w:w="186" w:type="dxa"/>
            <w:noWrap/>
            <w:vAlign w:val="bottom"/>
            <w:hideMark/>
          </w:tcPr>
          <w:p w:rsidR="00B740A8" w:rsidRPr="00C73365" w:rsidRDefault="00B740A8" w:rsidP="00D1541A">
            <w:pPr>
              <w:rPr>
                <w:rFonts w:asciiTheme="minorHAnsi" w:hAnsiTheme="minorHAnsi" w:cstheme="minorHAnsi"/>
                <w:b/>
                <w:color w:val="000000"/>
                <w:lang w:val="fr-FR"/>
              </w:rPr>
            </w:pPr>
          </w:p>
        </w:tc>
        <w:tc>
          <w:tcPr>
            <w:tcW w:w="1387" w:type="dxa"/>
            <w:vMerge w:val="restart"/>
            <w:tcBorders>
              <w:top w:val="single" w:sz="8" w:space="0" w:color="7030A0"/>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b/>
                <w:color w:val="000000"/>
                <w:lang w:val="fr-FR"/>
              </w:rPr>
            </w:pPr>
            <w:r w:rsidRPr="00C73365">
              <w:rPr>
                <w:rFonts w:asciiTheme="minorHAnsi" w:hAnsiTheme="minorHAnsi" w:cstheme="minorHAnsi"/>
                <w:b/>
                <w:color w:val="000000"/>
                <w:lang w:val="fr-FR"/>
              </w:rPr>
              <w:t>Montants versés au cours de l</w:t>
            </w:r>
            <w:r w:rsidR="004572A0" w:rsidRPr="00C73365">
              <w:rPr>
                <w:rFonts w:asciiTheme="minorHAnsi" w:hAnsiTheme="minorHAnsi" w:cstheme="minorHAnsi"/>
                <w:b/>
                <w:color w:val="000000"/>
                <w:lang w:val="fr-FR"/>
              </w:rPr>
              <w:t>’</w:t>
            </w:r>
            <w:r w:rsidRPr="00C73365">
              <w:rPr>
                <w:rFonts w:asciiTheme="minorHAnsi" w:hAnsiTheme="minorHAnsi" w:cstheme="minorHAnsi"/>
                <w:b/>
                <w:color w:val="000000"/>
                <w:lang w:val="fr-FR"/>
              </w:rPr>
              <w:t>exercice 2016</w:t>
            </w:r>
          </w:p>
        </w:tc>
        <w:tc>
          <w:tcPr>
            <w:tcW w:w="186" w:type="dxa"/>
            <w:noWrap/>
            <w:vAlign w:val="bottom"/>
            <w:hideMark/>
          </w:tcPr>
          <w:p w:rsidR="00B740A8" w:rsidRPr="00C73365" w:rsidRDefault="00B740A8" w:rsidP="00D1541A">
            <w:pPr>
              <w:rPr>
                <w:rFonts w:asciiTheme="minorHAnsi" w:hAnsiTheme="minorHAnsi" w:cstheme="minorHAnsi"/>
                <w:b/>
                <w:color w:val="000000"/>
                <w:lang w:val="fr-FR"/>
              </w:rPr>
            </w:pPr>
          </w:p>
        </w:tc>
        <w:tc>
          <w:tcPr>
            <w:tcW w:w="1576" w:type="dxa"/>
            <w:vMerge w:val="restart"/>
            <w:tcBorders>
              <w:top w:val="single" w:sz="8" w:space="0" w:color="7030A0"/>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b/>
                <w:color w:val="000000"/>
                <w:lang w:val="fr-FR"/>
              </w:rPr>
            </w:pPr>
            <w:r w:rsidRPr="00C73365">
              <w:rPr>
                <w:rFonts w:asciiTheme="minorHAnsi" w:hAnsiTheme="minorHAnsi" w:cstheme="minorHAnsi"/>
                <w:b/>
                <w:color w:val="000000"/>
                <w:lang w:val="fr-FR"/>
              </w:rPr>
              <w:t>Montants versés au cours de l</w:t>
            </w:r>
            <w:r w:rsidR="004572A0" w:rsidRPr="00C73365">
              <w:rPr>
                <w:rFonts w:asciiTheme="minorHAnsi" w:hAnsiTheme="minorHAnsi" w:cstheme="minorHAnsi"/>
                <w:b/>
                <w:color w:val="000000"/>
                <w:lang w:val="fr-FR"/>
              </w:rPr>
              <w:t>’</w:t>
            </w:r>
            <w:r w:rsidRPr="00C73365">
              <w:rPr>
                <w:rFonts w:asciiTheme="minorHAnsi" w:hAnsiTheme="minorHAnsi" w:cstheme="minorHAnsi"/>
                <w:b/>
                <w:color w:val="000000"/>
                <w:lang w:val="fr-FR"/>
              </w:rPr>
              <w:t>exercice 2017</w:t>
            </w:r>
          </w:p>
        </w:tc>
      </w:tr>
      <w:tr w:rsidR="00B740A8" w:rsidRPr="008C1A4A" w:rsidTr="008B709B">
        <w:trPr>
          <w:trHeight w:val="34"/>
        </w:trPr>
        <w:tc>
          <w:tcPr>
            <w:tcW w:w="0" w:type="auto"/>
            <w:vMerge/>
            <w:tcBorders>
              <w:top w:val="single" w:sz="8" w:space="0" w:color="7030A0"/>
              <w:left w:val="nil"/>
              <w:bottom w:val="single" w:sz="8" w:space="0" w:color="7030A0"/>
              <w:right w:val="nil"/>
            </w:tcBorders>
            <w:vAlign w:val="center"/>
            <w:hideMark/>
          </w:tcPr>
          <w:p w:rsidR="00B740A8" w:rsidRPr="00C73365" w:rsidRDefault="00B740A8" w:rsidP="00D1541A">
            <w:pPr>
              <w:rPr>
                <w:rFonts w:asciiTheme="minorHAnsi" w:hAnsiTheme="minorHAnsi" w:cstheme="minorHAnsi"/>
                <w:b/>
                <w:color w:val="000000"/>
                <w:lang w:val="fr-FR"/>
              </w:rPr>
            </w:pP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0" w:type="auto"/>
            <w:vMerge/>
            <w:tcBorders>
              <w:top w:val="single" w:sz="8" w:space="0" w:color="7030A0"/>
              <w:left w:val="nil"/>
              <w:bottom w:val="single" w:sz="8" w:space="0" w:color="7030A0"/>
              <w:right w:val="nil"/>
            </w:tcBorders>
            <w:vAlign w:val="center"/>
            <w:hideMark/>
          </w:tcPr>
          <w:p w:rsidR="00B740A8" w:rsidRPr="00C73365" w:rsidRDefault="00B740A8" w:rsidP="00D1541A">
            <w:pPr>
              <w:rPr>
                <w:rFonts w:asciiTheme="minorHAnsi" w:hAnsiTheme="minorHAnsi" w:cstheme="minorHAnsi"/>
                <w:b/>
                <w:color w:val="000000"/>
                <w:lang w:val="fr-FR"/>
              </w:rPr>
            </w:pPr>
          </w:p>
        </w:tc>
        <w:tc>
          <w:tcPr>
            <w:tcW w:w="186" w:type="dxa"/>
            <w:shd w:val="clear" w:color="auto" w:fill="FFFFFF"/>
            <w:hideMark/>
          </w:tcPr>
          <w:p w:rsidR="00B740A8" w:rsidRPr="00C73365" w:rsidRDefault="00B740A8" w:rsidP="00D1541A">
            <w:pPr>
              <w:jc w:val="right"/>
              <w:rPr>
                <w:rFonts w:asciiTheme="minorHAnsi" w:hAnsiTheme="minorHAnsi" w:cstheme="minorHAnsi"/>
                <w:b/>
                <w:color w:val="000000"/>
                <w:lang w:val="fr-FR"/>
              </w:rPr>
            </w:pPr>
            <w:r w:rsidRPr="00C73365">
              <w:rPr>
                <w:rFonts w:asciiTheme="minorHAnsi" w:hAnsiTheme="minorHAnsi" w:cstheme="minorHAnsi"/>
                <w:b/>
                <w:color w:val="000000"/>
                <w:lang w:val="fr-FR"/>
              </w:rPr>
              <w:t> </w:t>
            </w:r>
          </w:p>
        </w:tc>
        <w:tc>
          <w:tcPr>
            <w:tcW w:w="1576" w:type="dxa"/>
            <w:vMerge/>
            <w:tcBorders>
              <w:top w:val="single" w:sz="8" w:space="0" w:color="7030A0"/>
              <w:left w:val="nil"/>
              <w:bottom w:val="single" w:sz="8" w:space="0" w:color="7030A0"/>
              <w:right w:val="nil"/>
            </w:tcBorders>
            <w:vAlign w:val="center"/>
            <w:hideMark/>
          </w:tcPr>
          <w:p w:rsidR="00B740A8" w:rsidRPr="00C73365" w:rsidRDefault="00B740A8" w:rsidP="00D1541A">
            <w:pPr>
              <w:rPr>
                <w:rFonts w:asciiTheme="minorHAnsi" w:hAnsiTheme="minorHAnsi" w:cstheme="minorHAnsi"/>
                <w:b/>
                <w:color w:val="000000"/>
                <w:lang w:val="fr-FR"/>
              </w:rPr>
            </w:pP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rPr>
            </w:pPr>
            <w:r w:rsidRPr="00C73365">
              <w:rPr>
                <w:rFonts w:asciiTheme="minorHAnsi" w:hAnsiTheme="minorHAnsi" w:cstheme="minorHAnsi"/>
                <w:b/>
              </w:rPr>
              <w:t xml:space="preserve">Madame Joy Amundson </w:t>
            </w:r>
          </w:p>
        </w:tc>
        <w:tc>
          <w:tcPr>
            <w:tcW w:w="186" w:type="dxa"/>
            <w:shd w:val="clear" w:color="auto" w:fill="FFFFFF"/>
            <w:hideMark/>
          </w:tcPr>
          <w:p w:rsidR="00B740A8" w:rsidRPr="00C73365" w:rsidRDefault="00B740A8" w:rsidP="00D1541A">
            <w:pPr>
              <w:rPr>
                <w:rFonts w:asciiTheme="minorHAnsi" w:hAnsiTheme="minorHAnsi" w:cstheme="minorHAnsi"/>
                <w:color w:val="000000"/>
              </w:rPr>
            </w:pPr>
            <w:r w:rsidRPr="00C73365">
              <w:rPr>
                <w:rFonts w:asciiTheme="minorHAnsi" w:hAnsiTheme="minorHAnsi" w:cstheme="minorHAnsi"/>
                <w:color w:val="000000"/>
              </w:rPr>
              <w:t> </w:t>
            </w:r>
          </w:p>
        </w:tc>
        <w:tc>
          <w:tcPr>
            <w:tcW w:w="1387" w:type="dxa"/>
            <w:noWrap/>
            <w:vAlign w:val="bottom"/>
            <w:hideMark/>
          </w:tcPr>
          <w:p w:rsidR="00B740A8" w:rsidRPr="00C73365" w:rsidRDefault="00B740A8" w:rsidP="00D1541A">
            <w:pPr>
              <w:rPr>
                <w:rFonts w:asciiTheme="minorHAnsi" w:hAnsiTheme="minorHAnsi" w:cstheme="minorHAnsi"/>
                <w:color w:val="000000"/>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eastAsia="fr-FR"/>
              </w:rPr>
            </w:pPr>
          </w:p>
        </w:tc>
        <w:tc>
          <w:tcPr>
            <w:tcW w:w="1576" w:type="dxa"/>
            <w:noWrap/>
            <w:vAlign w:val="bottom"/>
            <w:hideMark/>
          </w:tcPr>
          <w:p w:rsidR="00B740A8" w:rsidRPr="00C73365" w:rsidRDefault="00B740A8" w:rsidP="00D1541A">
            <w:pPr>
              <w:rPr>
                <w:rFonts w:asciiTheme="minorHAnsi" w:hAnsiTheme="minorHAnsi" w:cstheme="minorHAnsi"/>
                <w:szCs w:val="20"/>
                <w:highlight w:val="yellow"/>
                <w:lang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2 800 €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2 275 €</w:t>
            </w:r>
          </w:p>
        </w:tc>
      </w:tr>
      <w:tr w:rsidR="00B740A8" w:rsidRPr="00C73365" w:rsidTr="008B709B">
        <w:trPr>
          <w:trHeight w:val="326"/>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lang w:val="fr-FR" w:eastAsia="fr-FR"/>
              </w:rPr>
            </w:pPr>
            <w:r w:rsidRPr="00C73365">
              <w:rPr>
                <w:rFonts w:asciiTheme="minorHAnsi" w:hAnsiTheme="minorHAnsi" w:cstheme="minorHAnsi"/>
                <w:lang w:val="fr-FR"/>
              </w:rPr>
              <w:t>Néant</w:t>
            </w: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Claude Bertrand</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hideMark/>
          </w:tcPr>
          <w:p w:rsidR="00B740A8" w:rsidRPr="00C73365" w:rsidRDefault="00B740A8" w:rsidP="00D1541A">
            <w:pPr>
              <w:rPr>
                <w:rFonts w:asciiTheme="minorHAnsi" w:hAnsiTheme="minorHAnsi" w:cstheme="minorHAnsi"/>
                <w:szCs w:val="20"/>
                <w:lang w:val="fr-FR"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7 900 €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2 900 €</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lang w:val="fr-FR" w:eastAsia="fr-FR"/>
              </w:rPr>
            </w:pPr>
            <w:r w:rsidRPr="00C73365">
              <w:rPr>
                <w:rFonts w:asciiTheme="minorHAnsi" w:hAnsiTheme="minorHAnsi" w:cstheme="minorHAnsi"/>
                <w:lang w:val="fr-FR"/>
              </w:rPr>
              <w:t>Néant</w:t>
            </w: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Jean-Jacques Bertrand</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rsidR="00B740A8" w:rsidRPr="00C73365" w:rsidRDefault="00B740A8" w:rsidP="00D1541A">
            <w:pPr>
              <w:rPr>
                <w:rFonts w:asciiTheme="minorHAnsi" w:hAnsiTheme="minorHAnsi" w:cstheme="minorHAnsi"/>
                <w:szCs w:val="20"/>
                <w:lang w:val="fr-FR"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6 650 €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6 250 €</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lang w:val="fr-FR" w:eastAsia="fr-FR"/>
              </w:rPr>
            </w:pPr>
            <w:r w:rsidRPr="00C73365">
              <w:rPr>
                <w:rFonts w:asciiTheme="minorHAnsi" w:hAnsiTheme="minorHAnsi" w:cstheme="minorHAnsi"/>
                <w:lang w:val="fr-FR"/>
              </w:rPr>
              <w:t>Néant</w:t>
            </w:r>
          </w:p>
        </w:tc>
      </w:tr>
      <w:tr w:rsidR="00B740A8" w:rsidRPr="008C1A4A"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Antoine Pau (Truffle Capital)</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rsidR="00B740A8" w:rsidRPr="00C73365" w:rsidRDefault="00B740A8" w:rsidP="00D1541A">
            <w:pPr>
              <w:rPr>
                <w:rFonts w:asciiTheme="minorHAnsi" w:hAnsiTheme="minorHAnsi" w:cstheme="minorHAnsi"/>
                <w:szCs w:val="20"/>
                <w:lang w:val="fr-FR"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0 €</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lang w:val="fr-FR" w:eastAsia="fr-FR"/>
              </w:rPr>
            </w:pPr>
            <w:r w:rsidRPr="00C73365">
              <w:rPr>
                <w:rFonts w:asciiTheme="minorHAnsi" w:hAnsiTheme="minorHAnsi" w:cstheme="minorHAnsi"/>
                <w:lang w:val="fr-FR"/>
              </w:rPr>
              <w:t>Néant</w:t>
            </w: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Christian Pierret</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rsidR="00B740A8" w:rsidRPr="00C73365" w:rsidRDefault="00B740A8" w:rsidP="00D1541A">
            <w:pPr>
              <w:rPr>
                <w:rFonts w:asciiTheme="minorHAnsi" w:hAnsiTheme="minorHAnsi" w:cstheme="minorHAnsi"/>
                <w:szCs w:val="20"/>
                <w:lang w:val="fr-FR"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10 400 €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6 650 €</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highlight w:val="yellow"/>
                <w:lang w:val="fr-FR" w:eastAsia="fr-FR"/>
              </w:rPr>
            </w:pPr>
            <w:r w:rsidRPr="00C73365">
              <w:rPr>
                <w:rFonts w:asciiTheme="minorHAnsi" w:hAnsiTheme="minorHAnsi" w:cstheme="minorHAnsi"/>
                <w:lang w:val="fr-FR"/>
              </w:rPr>
              <w:t>Néant</w:t>
            </w: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Jean-Paul Prieels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rsidR="00B740A8" w:rsidRPr="00C73365" w:rsidRDefault="00B740A8" w:rsidP="00D1541A">
            <w:pPr>
              <w:rPr>
                <w:rFonts w:asciiTheme="minorHAnsi" w:hAnsiTheme="minorHAnsi" w:cstheme="minorHAnsi"/>
                <w:szCs w:val="20"/>
                <w:highlight w:val="yellow"/>
                <w:lang w:val="fr-FR"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4 950 €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2 870 €</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highlight w:val="yellow"/>
                <w:lang w:val="fr-FR" w:eastAsia="fr-FR"/>
              </w:rPr>
            </w:pPr>
            <w:r w:rsidRPr="00C73365">
              <w:rPr>
                <w:rFonts w:asciiTheme="minorHAnsi" w:hAnsiTheme="minorHAnsi" w:cstheme="minorHAnsi"/>
                <w:lang w:val="fr-FR"/>
              </w:rPr>
              <w:t>Néant</w:t>
            </w: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Miguel Sieler</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rsidR="00B740A8" w:rsidRPr="00C73365" w:rsidRDefault="00B740A8" w:rsidP="00D1541A">
            <w:pPr>
              <w:rPr>
                <w:rFonts w:asciiTheme="minorHAnsi" w:hAnsiTheme="minorHAnsi" w:cstheme="minorHAnsi"/>
                <w:szCs w:val="20"/>
                <w:highlight w:val="yellow"/>
                <w:lang w:val="fr-FR" w:eastAsia="fr-FR"/>
              </w:rPr>
            </w:pPr>
          </w:p>
        </w:tc>
      </w:tr>
      <w:tr w:rsidR="00B740A8" w:rsidRPr="00C73365" w:rsidTr="008B709B">
        <w:trPr>
          <w:trHeight w:val="6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center"/>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lang w:val="fr-FR"/>
              </w:rPr>
              <w:t>Néant</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lang w:val="fr-FR"/>
              </w:rPr>
              <w:t>Néant</w:t>
            </w: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Monsieur Antonino Ligresti (</w:t>
            </w:r>
            <w:r w:rsidRPr="00C73365">
              <w:rPr>
                <w:rFonts w:asciiTheme="minorHAnsi" w:hAnsiTheme="minorHAnsi" w:cstheme="minorHAnsi"/>
                <w:b/>
                <w:bCs/>
                <w:szCs w:val="20"/>
                <w:lang w:val="fr-FR" w:eastAsia="fr-FR"/>
              </w:rPr>
              <w:t>Santé</w:t>
            </w:r>
            <w:r w:rsidRPr="00C73365">
              <w:rPr>
                <w:rFonts w:asciiTheme="minorHAnsi" w:hAnsiTheme="minorHAnsi" w:cstheme="minorHAnsi"/>
                <w:b/>
                <w:lang w:val="fr-FR"/>
              </w:rPr>
              <w:t xml:space="preserve"> Holding SRL)</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rsidR="00B740A8" w:rsidRPr="00C73365" w:rsidRDefault="00B740A8" w:rsidP="00D1541A">
            <w:pPr>
              <w:rPr>
                <w:rFonts w:asciiTheme="minorHAnsi" w:hAnsiTheme="minorHAnsi" w:cstheme="minorHAnsi"/>
                <w:szCs w:val="20"/>
                <w:highlight w:val="yellow"/>
                <w:lang w:val="fr-FR"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4 950 €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560 €</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Néant</w:t>
            </w:r>
          </w:p>
        </w:tc>
      </w:tr>
      <w:tr w:rsidR="00B740A8" w:rsidRPr="00C73365" w:rsidTr="008B709B">
        <w:trPr>
          <w:trHeight w:val="245"/>
        </w:trPr>
        <w:tc>
          <w:tcPr>
            <w:tcW w:w="4184" w:type="dxa"/>
            <w:shd w:val="clear" w:color="auto" w:fill="FFFFFF"/>
            <w:noWrap/>
            <w:vAlign w:val="center"/>
            <w:hideMark/>
          </w:tcPr>
          <w:p w:rsidR="00B740A8" w:rsidRPr="00C73365" w:rsidRDefault="00B740A8" w:rsidP="00D1541A">
            <w:pPr>
              <w:rPr>
                <w:rFonts w:asciiTheme="minorHAnsi" w:hAnsiTheme="minorHAnsi" w:cstheme="minorHAnsi"/>
                <w:b/>
                <w:lang w:val="fr-FR"/>
              </w:rPr>
            </w:pPr>
            <w:r w:rsidRPr="00C73365">
              <w:rPr>
                <w:rFonts w:asciiTheme="minorHAnsi" w:hAnsiTheme="minorHAnsi" w:cstheme="minorHAnsi"/>
                <w:b/>
                <w:lang w:val="fr-FR"/>
              </w:rPr>
              <w:t>Madame Dominique Costantini</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rPr>
                <w:rFonts w:asciiTheme="minorHAnsi" w:hAnsiTheme="minorHAnsi" w:cstheme="minorHAnsi"/>
                <w:color w:val="000000"/>
                <w:lang w:val="fr-FR"/>
              </w:rPr>
            </w:pP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noWrap/>
            <w:vAlign w:val="bottom"/>
          </w:tcPr>
          <w:p w:rsidR="00B740A8" w:rsidRPr="00C73365" w:rsidRDefault="00B740A8" w:rsidP="00D1541A">
            <w:pPr>
              <w:rPr>
                <w:rFonts w:asciiTheme="minorHAnsi" w:hAnsiTheme="minorHAnsi" w:cstheme="minorHAnsi"/>
                <w:szCs w:val="20"/>
                <w:lang w:val="fr-FR" w:eastAsia="fr-FR"/>
              </w:rPr>
            </w:pPr>
          </w:p>
        </w:tc>
      </w:tr>
      <w:tr w:rsidR="00B740A8" w:rsidRPr="00C73365" w:rsidTr="008B709B">
        <w:trPr>
          <w:trHeight w:val="245"/>
        </w:trPr>
        <w:tc>
          <w:tcPr>
            <w:tcW w:w="4184" w:type="dxa"/>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Jetons de présence</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noWrap/>
            <w:vAlign w:val="bottom"/>
            <w:hideMark/>
          </w:tcPr>
          <w:p w:rsidR="00B740A8" w:rsidRPr="00C73365" w:rsidRDefault="00B740A8" w:rsidP="00D1541A">
            <w:pPr>
              <w:jc w:val="right"/>
              <w:rPr>
                <w:rFonts w:asciiTheme="minorHAnsi" w:hAnsiTheme="minorHAnsi" w:cstheme="minorHAnsi"/>
                <w:color w:val="000000"/>
                <w:lang w:val="fr-FR"/>
              </w:rPr>
            </w:pPr>
            <w:r w:rsidRPr="00C73365">
              <w:rPr>
                <w:rFonts w:asciiTheme="minorHAnsi" w:hAnsiTheme="minorHAnsi" w:cstheme="minorHAnsi"/>
                <w:color w:val="000000"/>
                <w:lang w:val="fr-FR"/>
              </w:rPr>
              <w:t>3 750 €</w:t>
            </w:r>
          </w:p>
        </w:tc>
        <w:tc>
          <w:tcPr>
            <w:tcW w:w="186" w:type="dxa"/>
            <w:noWrap/>
            <w:vAlign w:val="bottom"/>
            <w:hideMark/>
          </w:tcPr>
          <w:p w:rsidR="00B740A8" w:rsidRPr="00C73365" w:rsidRDefault="00B740A8" w:rsidP="00D1541A">
            <w:pPr>
              <w:rPr>
                <w:rFonts w:asciiTheme="minorHAnsi" w:hAnsiTheme="minorHAnsi" w:cstheme="minorHAnsi"/>
                <w:color w:val="000000"/>
                <w:szCs w:val="20"/>
                <w:highlight w:val="yellow"/>
                <w:lang w:val="fr-FR" w:eastAsia="fr-FR"/>
              </w:rPr>
            </w:pPr>
          </w:p>
        </w:tc>
        <w:tc>
          <w:tcPr>
            <w:tcW w:w="1576" w:type="dxa"/>
            <w:noWrap/>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2 500 €</w:t>
            </w:r>
          </w:p>
        </w:tc>
      </w:tr>
      <w:tr w:rsidR="00B740A8" w:rsidRPr="00C73365" w:rsidTr="008B709B">
        <w:trPr>
          <w:trHeight w:val="255"/>
        </w:trPr>
        <w:tc>
          <w:tcPr>
            <w:tcW w:w="4184" w:type="dxa"/>
            <w:tcBorders>
              <w:top w:val="nil"/>
              <w:left w:val="nil"/>
              <w:bottom w:val="single" w:sz="8" w:space="0" w:color="7030A0"/>
              <w:right w:val="nil"/>
            </w:tcBorders>
            <w:shd w:val="clear" w:color="auto" w:fill="FFFFFF"/>
            <w:vAlign w:val="center"/>
            <w:hideMark/>
          </w:tcPr>
          <w:p w:rsidR="00B740A8" w:rsidRPr="00C73365" w:rsidRDefault="00B740A8" w:rsidP="00D1541A">
            <w:pPr>
              <w:rPr>
                <w:rFonts w:asciiTheme="minorHAnsi" w:hAnsiTheme="minorHAnsi" w:cstheme="minorHAnsi"/>
                <w:lang w:val="fr-FR"/>
              </w:rPr>
            </w:pPr>
            <w:r w:rsidRPr="00C73365">
              <w:rPr>
                <w:rFonts w:asciiTheme="minorHAnsi" w:hAnsiTheme="minorHAnsi" w:cstheme="minorHAnsi"/>
                <w:lang w:val="fr-FR"/>
              </w:rPr>
              <w:t>Autres rémunérations</w:t>
            </w:r>
          </w:p>
        </w:tc>
        <w:tc>
          <w:tcPr>
            <w:tcW w:w="186" w:type="dxa"/>
            <w:shd w:val="clear" w:color="auto" w:fill="FFFFFF"/>
            <w:hideMark/>
          </w:tcPr>
          <w:p w:rsidR="00B740A8" w:rsidRPr="00C73365" w:rsidRDefault="00B740A8" w:rsidP="00D1541A">
            <w:pPr>
              <w:rPr>
                <w:rFonts w:asciiTheme="minorHAnsi" w:hAnsiTheme="minorHAnsi" w:cstheme="minorHAnsi"/>
                <w:color w:val="000000"/>
                <w:lang w:val="fr-FR"/>
              </w:rPr>
            </w:pPr>
            <w:r w:rsidRPr="00C73365">
              <w:rPr>
                <w:rFonts w:asciiTheme="minorHAnsi" w:hAnsiTheme="minorHAnsi" w:cstheme="minorHAnsi"/>
                <w:color w:val="000000"/>
                <w:lang w:val="fr-FR"/>
              </w:rPr>
              <w:t> </w:t>
            </w: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lang w:val="fr-FR"/>
              </w:rPr>
            </w:pPr>
            <w:r w:rsidRPr="00C73365">
              <w:rPr>
                <w:rFonts w:asciiTheme="minorHAnsi" w:hAnsiTheme="minorHAnsi" w:cstheme="minorHAnsi"/>
                <w:lang w:val="fr-FR"/>
              </w:rPr>
              <w:t>Néant</w:t>
            </w:r>
          </w:p>
        </w:tc>
        <w:tc>
          <w:tcPr>
            <w:tcW w:w="186" w:type="dxa"/>
            <w:noWrap/>
            <w:vAlign w:val="bottom"/>
            <w:hideMark/>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nil"/>
              <w:left w:val="nil"/>
              <w:bottom w:val="single" w:sz="8" w:space="0" w:color="7030A0"/>
              <w:right w:val="nil"/>
            </w:tcBorders>
            <w:shd w:val="clear" w:color="auto" w:fill="FFFFFF"/>
            <w:vAlign w:val="center"/>
          </w:tcPr>
          <w:p w:rsidR="00B740A8" w:rsidRPr="00C73365" w:rsidRDefault="00B740A8" w:rsidP="00D1541A">
            <w:pPr>
              <w:jc w:val="right"/>
              <w:rPr>
                <w:rFonts w:asciiTheme="minorHAnsi" w:hAnsiTheme="minorHAnsi" w:cstheme="minorHAnsi"/>
                <w:szCs w:val="20"/>
                <w:highlight w:val="yellow"/>
                <w:lang w:val="fr-FR" w:eastAsia="fr-FR"/>
              </w:rPr>
            </w:pPr>
            <w:r w:rsidRPr="00C73365">
              <w:rPr>
                <w:rFonts w:asciiTheme="minorHAnsi" w:hAnsiTheme="minorHAnsi" w:cstheme="minorHAnsi"/>
                <w:lang w:val="fr-FR"/>
              </w:rPr>
              <w:t>Néant</w:t>
            </w:r>
          </w:p>
        </w:tc>
      </w:tr>
      <w:tr w:rsidR="00B740A8" w:rsidRPr="00C73365" w:rsidTr="008B709B">
        <w:trPr>
          <w:trHeight w:val="255"/>
        </w:trPr>
        <w:tc>
          <w:tcPr>
            <w:tcW w:w="4184" w:type="dxa"/>
            <w:tcBorders>
              <w:top w:val="single" w:sz="8" w:space="0" w:color="7030A0"/>
              <w:left w:val="nil"/>
              <w:bottom w:val="single" w:sz="4" w:space="0" w:color="FFFFFF" w:themeColor="background1"/>
              <w:right w:val="nil"/>
            </w:tcBorders>
            <w:shd w:val="clear" w:color="auto" w:fill="FFFFFF"/>
          </w:tcPr>
          <w:p w:rsidR="00B740A8" w:rsidRPr="00C73365" w:rsidRDefault="00B740A8" w:rsidP="00D1541A">
            <w:pPr>
              <w:rPr>
                <w:rFonts w:asciiTheme="minorHAnsi" w:hAnsiTheme="minorHAnsi" w:cstheme="minorHAnsi"/>
                <w:b/>
                <w:szCs w:val="20"/>
                <w:highlight w:val="yellow"/>
                <w:lang w:eastAsia="fr-FR"/>
              </w:rPr>
            </w:pPr>
            <w:r w:rsidRPr="00C73365">
              <w:rPr>
                <w:rFonts w:asciiTheme="minorHAnsi" w:hAnsiTheme="minorHAnsi" w:cstheme="minorHAnsi"/>
                <w:b/>
              </w:rPr>
              <w:t>Madame Corinna zur Bonsen-Thomas</w:t>
            </w:r>
          </w:p>
        </w:tc>
        <w:tc>
          <w:tcPr>
            <w:tcW w:w="186" w:type="dxa"/>
            <w:shd w:val="clear" w:color="auto" w:fill="FFFFFF"/>
          </w:tcPr>
          <w:p w:rsidR="00B740A8" w:rsidRPr="00C73365" w:rsidRDefault="00B740A8" w:rsidP="00D1541A">
            <w:pPr>
              <w:rPr>
                <w:rFonts w:asciiTheme="minorHAnsi" w:hAnsiTheme="minorHAnsi" w:cstheme="minorHAnsi"/>
                <w:color w:val="000000"/>
                <w:szCs w:val="20"/>
                <w:highlight w:val="yellow"/>
                <w:lang w:eastAsia="fr-FR"/>
              </w:rPr>
            </w:pPr>
            <w:r w:rsidRPr="00C73365">
              <w:rPr>
                <w:rFonts w:asciiTheme="minorHAnsi" w:hAnsiTheme="minorHAnsi" w:cstheme="minorHAnsi"/>
              </w:rPr>
              <w:t xml:space="preserve"> </w:t>
            </w:r>
          </w:p>
        </w:tc>
        <w:tc>
          <w:tcPr>
            <w:tcW w:w="1387" w:type="dxa"/>
            <w:tcBorders>
              <w:top w:val="single" w:sz="8" w:space="0" w:color="7030A0"/>
              <w:left w:val="nil"/>
              <w:bottom w:val="single" w:sz="4" w:space="0" w:color="FFFFFF" w:themeColor="background1"/>
              <w:right w:val="nil"/>
            </w:tcBorders>
            <w:shd w:val="clear" w:color="auto" w:fill="FFFFFF"/>
          </w:tcPr>
          <w:p w:rsidR="00B740A8" w:rsidRPr="00C73365" w:rsidRDefault="00B740A8" w:rsidP="00D1541A">
            <w:pPr>
              <w:jc w:val="right"/>
              <w:rPr>
                <w:rFonts w:asciiTheme="minorHAnsi" w:hAnsiTheme="minorHAnsi" w:cstheme="minorHAnsi"/>
                <w:szCs w:val="20"/>
                <w:highlight w:val="yellow"/>
                <w:lang w:eastAsia="fr-FR"/>
              </w:rPr>
            </w:pPr>
          </w:p>
        </w:tc>
        <w:tc>
          <w:tcPr>
            <w:tcW w:w="186" w:type="dxa"/>
            <w:noWrap/>
          </w:tcPr>
          <w:p w:rsidR="00B740A8" w:rsidRPr="00C73365" w:rsidRDefault="00B740A8" w:rsidP="00D1541A">
            <w:pPr>
              <w:rPr>
                <w:rFonts w:asciiTheme="minorHAnsi" w:hAnsiTheme="minorHAnsi" w:cstheme="minorHAnsi"/>
                <w:szCs w:val="20"/>
                <w:highlight w:val="yellow"/>
                <w:lang w:eastAsia="fr-FR"/>
              </w:rPr>
            </w:pPr>
          </w:p>
        </w:tc>
        <w:tc>
          <w:tcPr>
            <w:tcW w:w="1576" w:type="dxa"/>
            <w:tcBorders>
              <w:top w:val="single" w:sz="8" w:space="0" w:color="7030A0"/>
              <w:left w:val="nil"/>
              <w:bottom w:val="single" w:sz="4" w:space="0" w:color="FFFFFF" w:themeColor="background1"/>
              <w:right w:val="nil"/>
            </w:tcBorders>
            <w:shd w:val="clear" w:color="auto" w:fill="FFFFFF"/>
          </w:tcPr>
          <w:p w:rsidR="00B740A8" w:rsidRPr="00C73365" w:rsidDel="006E30A2" w:rsidRDefault="00B740A8" w:rsidP="00D1541A">
            <w:pPr>
              <w:jc w:val="right"/>
              <w:rPr>
                <w:rFonts w:asciiTheme="minorHAnsi" w:hAnsiTheme="minorHAnsi" w:cstheme="minorHAnsi"/>
                <w:szCs w:val="20"/>
                <w:highlight w:val="yellow"/>
                <w:lang w:eastAsia="fr-FR"/>
              </w:rPr>
            </w:pPr>
          </w:p>
        </w:tc>
      </w:tr>
      <w:tr w:rsidR="00B740A8" w:rsidRPr="00C73365" w:rsidTr="008B709B">
        <w:trPr>
          <w:trHeight w:val="255"/>
        </w:trPr>
        <w:tc>
          <w:tcPr>
            <w:tcW w:w="4184" w:type="dxa"/>
            <w:tcBorders>
              <w:top w:val="single" w:sz="4" w:space="0" w:color="FFFFFF" w:themeColor="background1"/>
              <w:left w:val="nil"/>
              <w:bottom w:val="single" w:sz="4" w:space="0" w:color="FFFFFF" w:themeColor="background1"/>
              <w:right w:val="nil"/>
            </w:tcBorders>
            <w:shd w:val="clear" w:color="auto" w:fill="FFFFFF"/>
          </w:tcPr>
          <w:p w:rsidR="00B740A8" w:rsidRPr="00C73365" w:rsidRDefault="00B740A8" w:rsidP="00D1541A">
            <w:pPr>
              <w:rPr>
                <w:rFonts w:asciiTheme="minorHAnsi" w:hAnsiTheme="minorHAnsi" w:cstheme="minorHAnsi"/>
                <w:szCs w:val="20"/>
                <w:highlight w:val="yellow"/>
                <w:lang w:val="fr-FR" w:eastAsia="fr-FR"/>
              </w:rPr>
            </w:pPr>
            <w:r w:rsidRPr="00C73365">
              <w:rPr>
                <w:rFonts w:asciiTheme="minorHAnsi" w:hAnsiTheme="minorHAnsi" w:cstheme="minorHAnsi"/>
                <w:lang w:val="fr-FR"/>
              </w:rPr>
              <w:t>Jetons de présence</w:t>
            </w:r>
          </w:p>
        </w:tc>
        <w:tc>
          <w:tcPr>
            <w:tcW w:w="186" w:type="dxa"/>
            <w:shd w:val="clear" w:color="auto" w:fill="FFFFFF"/>
          </w:tcPr>
          <w:p w:rsidR="00B740A8" w:rsidRPr="00C73365" w:rsidRDefault="00B740A8" w:rsidP="00D1541A">
            <w:pPr>
              <w:rPr>
                <w:rFonts w:asciiTheme="minorHAnsi" w:hAnsiTheme="minorHAnsi" w:cstheme="minorHAnsi"/>
                <w:color w:val="000000"/>
                <w:szCs w:val="20"/>
                <w:highlight w:val="yellow"/>
                <w:lang w:val="fr-FR" w:eastAsia="fr-FR"/>
              </w:rPr>
            </w:pPr>
            <w:r w:rsidRPr="00C73365">
              <w:rPr>
                <w:rFonts w:asciiTheme="minorHAnsi" w:hAnsiTheme="minorHAnsi" w:cstheme="minorHAnsi"/>
              </w:rPr>
              <w:t xml:space="preserve"> </w:t>
            </w:r>
          </w:p>
        </w:tc>
        <w:tc>
          <w:tcPr>
            <w:tcW w:w="1387" w:type="dxa"/>
            <w:tcBorders>
              <w:top w:val="single" w:sz="4" w:space="0" w:color="FFFFFF" w:themeColor="background1"/>
              <w:left w:val="nil"/>
              <w:bottom w:val="single" w:sz="4" w:space="0" w:color="FFFFFF" w:themeColor="background1"/>
              <w:right w:val="nil"/>
            </w:tcBorders>
            <w:shd w:val="clear" w:color="auto" w:fill="FFFFFF"/>
            <w:vAlign w:val="bottom"/>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N/A</w:t>
            </w:r>
          </w:p>
        </w:tc>
        <w:tc>
          <w:tcPr>
            <w:tcW w:w="186" w:type="dxa"/>
            <w:tcBorders>
              <w:bottom w:val="single" w:sz="4" w:space="0" w:color="FFFFFF" w:themeColor="background1"/>
            </w:tcBorders>
            <w:noWrap/>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single" w:sz="4" w:space="0" w:color="FFFFFF" w:themeColor="background1"/>
              <w:left w:val="nil"/>
              <w:bottom w:val="single" w:sz="4" w:space="0" w:color="FFFFFF" w:themeColor="background1"/>
              <w:right w:val="nil"/>
            </w:tcBorders>
            <w:shd w:val="clear" w:color="auto" w:fill="FFFFFF"/>
          </w:tcPr>
          <w:p w:rsidR="00B740A8" w:rsidRPr="00C73365" w:rsidDel="006E30A2" w:rsidRDefault="00B740A8" w:rsidP="00D1541A">
            <w:pPr>
              <w:jc w:val="right"/>
              <w:rPr>
                <w:rFonts w:asciiTheme="minorHAnsi" w:hAnsiTheme="minorHAnsi" w:cstheme="minorHAnsi"/>
                <w:szCs w:val="20"/>
                <w:highlight w:val="yellow"/>
                <w:lang w:val="fr-FR" w:eastAsia="fr-FR"/>
              </w:rPr>
            </w:pPr>
            <w:r w:rsidRPr="00C73365">
              <w:rPr>
                <w:rFonts w:asciiTheme="minorHAnsi" w:hAnsiTheme="minorHAnsi" w:cstheme="minorHAnsi"/>
                <w:lang w:val="fr-FR"/>
              </w:rPr>
              <w:t>Néant</w:t>
            </w:r>
          </w:p>
        </w:tc>
      </w:tr>
      <w:tr w:rsidR="00B740A8" w:rsidRPr="005A55E9" w:rsidTr="008B709B">
        <w:trPr>
          <w:trHeight w:val="255"/>
        </w:trPr>
        <w:tc>
          <w:tcPr>
            <w:tcW w:w="4184" w:type="dxa"/>
            <w:tcBorders>
              <w:top w:val="single" w:sz="4" w:space="0" w:color="FFFFFF" w:themeColor="background1"/>
              <w:left w:val="nil"/>
              <w:bottom w:val="single" w:sz="8" w:space="0" w:color="7030A0"/>
              <w:right w:val="nil"/>
            </w:tcBorders>
            <w:shd w:val="clear" w:color="auto" w:fill="FFFFFF"/>
          </w:tcPr>
          <w:p w:rsidR="00B740A8" w:rsidRPr="00C73365" w:rsidRDefault="00B740A8" w:rsidP="00D1541A">
            <w:pPr>
              <w:rPr>
                <w:rFonts w:asciiTheme="minorHAnsi" w:hAnsiTheme="minorHAnsi" w:cstheme="minorHAnsi"/>
                <w:szCs w:val="20"/>
                <w:highlight w:val="yellow"/>
                <w:lang w:val="fr-FR" w:eastAsia="fr-FR"/>
              </w:rPr>
            </w:pPr>
            <w:r w:rsidRPr="00C73365">
              <w:rPr>
                <w:rFonts w:asciiTheme="minorHAnsi" w:hAnsiTheme="minorHAnsi" w:cstheme="minorHAnsi"/>
                <w:lang w:val="fr-FR"/>
              </w:rPr>
              <w:t>Autres rémunérations</w:t>
            </w:r>
          </w:p>
        </w:tc>
        <w:tc>
          <w:tcPr>
            <w:tcW w:w="186" w:type="dxa"/>
            <w:shd w:val="clear" w:color="auto" w:fill="FFFFFF"/>
          </w:tcPr>
          <w:p w:rsidR="00B740A8" w:rsidRPr="00C73365" w:rsidRDefault="00B740A8" w:rsidP="00D1541A">
            <w:pPr>
              <w:rPr>
                <w:rFonts w:asciiTheme="minorHAnsi" w:hAnsiTheme="minorHAnsi" w:cstheme="minorHAnsi"/>
                <w:color w:val="000000"/>
                <w:szCs w:val="20"/>
                <w:highlight w:val="yellow"/>
                <w:lang w:val="fr-FR" w:eastAsia="fr-FR"/>
              </w:rPr>
            </w:pPr>
            <w:r w:rsidRPr="00C73365">
              <w:rPr>
                <w:rFonts w:asciiTheme="minorHAnsi" w:hAnsiTheme="minorHAnsi" w:cstheme="minorHAnsi"/>
              </w:rPr>
              <w:t xml:space="preserve"> </w:t>
            </w:r>
          </w:p>
        </w:tc>
        <w:tc>
          <w:tcPr>
            <w:tcW w:w="1387" w:type="dxa"/>
            <w:tcBorders>
              <w:top w:val="single" w:sz="4" w:space="0" w:color="FFFFFF" w:themeColor="background1"/>
              <w:left w:val="nil"/>
              <w:bottom w:val="single" w:sz="8"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N/A</w:t>
            </w:r>
          </w:p>
        </w:tc>
        <w:tc>
          <w:tcPr>
            <w:tcW w:w="186" w:type="dxa"/>
            <w:tcBorders>
              <w:top w:val="single" w:sz="4" w:space="0" w:color="FFFFFF" w:themeColor="background1"/>
            </w:tcBorders>
            <w:noWrap/>
          </w:tcPr>
          <w:p w:rsidR="00B740A8" w:rsidRPr="00C73365" w:rsidRDefault="00B740A8" w:rsidP="00D1541A">
            <w:pPr>
              <w:rPr>
                <w:rFonts w:asciiTheme="minorHAnsi" w:hAnsiTheme="minorHAnsi" w:cstheme="minorHAnsi"/>
                <w:szCs w:val="20"/>
                <w:highlight w:val="yellow"/>
                <w:lang w:val="fr-FR" w:eastAsia="fr-FR"/>
              </w:rPr>
            </w:pPr>
          </w:p>
        </w:tc>
        <w:tc>
          <w:tcPr>
            <w:tcW w:w="1576" w:type="dxa"/>
            <w:tcBorders>
              <w:top w:val="single" w:sz="4" w:space="0" w:color="FFFFFF" w:themeColor="background1"/>
              <w:left w:val="nil"/>
              <w:bottom w:val="single" w:sz="8" w:space="0" w:color="7030A0"/>
              <w:right w:val="nil"/>
            </w:tcBorders>
            <w:shd w:val="clear" w:color="auto" w:fill="auto"/>
          </w:tcPr>
          <w:p w:rsidR="00432FBC" w:rsidRPr="005A55E9" w:rsidDel="006E30A2" w:rsidRDefault="001F18A7" w:rsidP="005B066C">
            <w:pPr>
              <w:jc w:val="right"/>
              <w:rPr>
                <w:rFonts w:asciiTheme="minorHAnsi" w:hAnsiTheme="minorHAnsi" w:cstheme="minorHAnsi"/>
                <w:szCs w:val="20"/>
                <w:highlight w:val="yellow"/>
                <w:lang w:val="fr-FR" w:eastAsia="fr-FR"/>
              </w:rPr>
            </w:pPr>
            <w:r w:rsidRPr="001F18A7">
              <w:rPr>
                <w:rFonts w:asciiTheme="minorHAnsi" w:hAnsiTheme="minorHAnsi" w:cstheme="minorHAnsi"/>
                <w:szCs w:val="20"/>
                <w:lang w:val="fr-FR" w:eastAsia="fr-FR"/>
              </w:rPr>
              <w:t>(1)</w:t>
            </w:r>
            <w:r w:rsidR="005B066C" w:rsidRPr="001F18A7">
              <w:rPr>
                <w:rFonts w:asciiTheme="minorHAnsi" w:hAnsiTheme="minorHAnsi" w:cstheme="minorHAnsi"/>
                <w:szCs w:val="20"/>
                <w:lang w:val="fr-FR" w:eastAsia="fr-FR"/>
              </w:rPr>
              <w:t xml:space="preserve"> </w:t>
            </w:r>
          </w:p>
        </w:tc>
      </w:tr>
      <w:tr w:rsidR="00B740A8" w:rsidRPr="008B709B" w:rsidTr="008B709B">
        <w:trPr>
          <w:trHeight w:val="350"/>
        </w:trPr>
        <w:tc>
          <w:tcPr>
            <w:tcW w:w="4184" w:type="dxa"/>
            <w:tcBorders>
              <w:top w:val="nil"/>
              <w:left w:val="nil"/>
              <w:bottom w:val="single" w:sz="8" w:space="0" w:color="7030A0"/>
              <w:right w:val="nil"/>
            </w:tcBorders>
            <w:noWrap/>
            <w:vAlign w:val="center"/>
            <w:hideMark/>
          </w:tcPr>
          <w:p w:rsidR="00B740A8" w:rsidRPr="00C73365" w:rsidRDefault="00B740A8" w:rsidP="00D1541A">
            <w:pPr>
              <w:rPr>
                <w:rFonts w:asciiTheme="minorHAnsi" w:hAnsiTheme="minorHAnsi" w:cstheme="minorHAnsi"/>
                <w:b/>
                <w:color w:val="7030A0"/>
                <w:lang w:val="fr-FR"/>
              </w:rPr>
            </w:pPr>
            <w:r w:rsidRPr="00C73365">
              <w:rPr>
                <w:rFonts w:asciiTheme="minorHAnsi" w:hAnsiTheme="minorHAnsi" w:cstheme="minorHAnsi"/>
                <w:b/>
                <w:color w:val="7030A0"/>
                <w:lang w:val="fr-FR"/>
              </w:rPr>
              <w:t>Total</w:t>
            </w:r>
          </w:p>
        </w:tc>
        <w:tc>
          <w:tcPr>
            <w:tcW w:w="186" w:type="dxa"/>
            <w:vAlign w:val="center"/>
            <w:hideMark/>
          </w:tcPr>
          <w:p w:rsidR="00B740A8" w:rsidRPr="00C73365" w:rsidRDefault="00B740A8" w:rsidP="00D1541A">
            <w:pPr>
              <w:rPr>
                <w:rFonts w:asciiTheme="minorHAnsi" w:hAnsiTheme="minorHAnsi" w:cstheme="minorHAnsi"/>
                <w:b/>
                <w:color w:val="7030A0"/>
                <w:lang w:val="fr-FR"/>
              </w:rPr>
            </w:pPr>
          </w:p>
        </w:tc>
        <w:tc>
          <w:tcPr>
            <w:tcW w:w="1387" w:type="dxa"/>
            <w:tcBorders>
              <w:top w:val="nil"/>
              <w:left w:val="nil"/>
              <w:bottom w:val="single" w:sz="8" w:space="0" w:color="7030A0"/>
              <w:right w:val="nil"/>
            </w:tcBorders>
            <w:shd w:val="clear" w:color="auto" w:fill="FFFFFF"/>
            <w:vAlign w:val="center"/>
            <w:hideMark/>
          </w:tcPr>
          <w:p w:rsidR="00B740A8" w:rsidRPr="00C73365" w:rsidRDefault="00B740A8" w:rsidP="00D1541A">
            <w:pPr>
              <w:jc w:val="right"/>
              <w:rPr>
                <w:rFonts w:asciiTheme="minorHAnsi" w:hAnsiTheme="minorHAnsi" w:cstheme="minorHAnsi"/>
                <w:b/>
                <w:color w:val="7030A0"/>
                <w:lang w:val="fr-FR"/>
              </w:rPr>
            </w:pPr>
            <w:r w:rsidRPr="00C73365">
              <w:rPr>
                <w:rFonts w:asciiTheme="minorHAnsi" w:hAnsiTheme="minorHAnsi" w:cstheme="minorHAnsi"/>
                <w:b/>
                <w:color w:val="7030A0"/>
                <w:lang w:val="fr-FR"/>
              </w:rPr>
              <w:t>41</w:t>
            </w:r>
            <w:r w:rsidR="008B709B">
              <w:rPr>
                <w:rFonts w:asciiTheme="minorHAnsi" w:hAnsiTheme="minorHAnsi" w:cstheme="minorHAnsi"/>
                <w:b/>
                <w:color w:val="7030A0"/>
                <w:lang w:val="fr-FR"/>
              </w:rPr>
              <w:t> </w:t>
            </w:r>
            <w:r w:rsidRPr="00C73365">
              <w:rPr>
                <w:rFonts w:asciiTheme="minorHAnsi" w:hAnsiTheme="minorHAnsi" w:cstheme="minorHAnsi"/>
                <w:b/>
                <w:color w:val="7030A0"/>
                <w:lang w:val="fr-FR"/>
              </w:rPr>
              <w:t>400</w:t>
            </w:r>
            <w:r w:rsidR="008B709B">
              <w:rPr>
                <w:rFonts w:asciiTheme="minorHAnsi" w:hAnsiTheme="minorHAnsi" w:cstheme="minorHAnsi"/>
                <w:b/>
                <w:color w:val="7030A0"/>
                <w:lang w:val="fr-FR"/>
              </w:rPr>
              <w:t xml:space="preserve"> </w:t>
            </w:r>
            <w:r w:rsidRPr="00C73365">
              <w:rPr>
                <w:rFonts w:asciiTheme="minorHAnsi" w:hAnsiTheme="minorHAnsi" w:cstheme="minorHAnsi"/>
                <w:b/>
                <w:color w:val="7030A0"/>
                <w:lang w:val="fr-FR"/>
              </w:rPr>
              <w:t>€</w:t>
            </w:r>
            <w:r w:rsidR="00810FB0">
              <w:rPr>
                <w:rFonts w:asciiTheme="minorHAnsi" w:hAnsiTheme="minorHAnsi" w:cstheme="minorHAnsi"/>
                <w:b/>
                <w:color w:val="7030A0"/>
                <w:lang w:val="fr-FR"/>
              </w:rPr>
              <w:t xml:space="preserve"> </w:t>
            </w:r>
            <w:r w:rsidR="00810FB0" w:rsidRPr="002B2B3D">
              <w:rPr>
                <w:rFonts w:asciiTheme="minorHAnsi" w:hAnsiTheme="minorHAnsi" w:cstheme="minorHAnsi"/>
                <w:lang w:val="fr-FR"/>
              </w:rPr>
              <w:t>(2)</w:t>
            </w:r>
          </w:p>
        </w:tc>
        <w:tc>
          <w:tcPr>
            <w:tcW w:w="186" w:type="dxa"/>
            <w:noWrap/>
            <w:vAlign w:val="center"/>
            <w:hideMark/>
          </w:tcPr>
          <w:p w:rsidR="00B740A8" w:rsidRPr="00C73365" w:rsidRDefault="00B740A8" w:rsidP="00D1541A">
            <w:pPr>
              <w:rPr>
                <w:rFonts w:asciiTheme="minorHAnsi" w:hAnsiTheme="minorHAnsi" w:cstheme="minorHAnsi"/>
                <w:b/>
                <w:bCs/>
                <w:color w:val="7030A0"/>
                <w:szCs w:val="20"/>
                <w:highlight w:val="yellow"/>
                <w:lang w:val="fr-FR" w:eastAsia="fr-FR"/>
              </w:rPr>
            </w:pPr>
          </w:p>
        </w:tc>
        <w:tc>
          <w:tcPr>
            <w:tcW w:w="1576" w:type="dxa"/>
            <w:tcBorders>
              <w:top w:val="nil"/>
              <w:left w:val="nil"/>
              <w:bottom w:val="single" w:sz="8" w:space="0" w:color="7030A0"/>
              <w:right w:val="nil"/>
            </w:tcBorders>
            <w:shd w:val="clear" w:color="auto" w:fill="auto"/>
            <w:vAlign w:val="center"/>
          </w:tcPr>
          <w:p w:rsidR="00B740A8" w:rsidRPr="008B709B" w:rsidRDefault="008B709B" w:rsidP="00D1541A">
            <w:pPr>
              <w:jc w:val="right"/>
              <w:rPr>
                <w:rFonts w:asciiTheme="minorHAnsi" w:hAnsiTheme="minorHAnsi" w:cstheme="minorHAnsi"/>
                <w:b/>
                <w:bCs/>
                <w:color w:val="7030A0"/>
                <w:szCs w:val="20"/>
                <w:lang w:val="fr-FR" w:eastAsia="fr-FR"/>
              </w:rPr>
            </w:pPr>
            <w:r w:rsidRPr="008B709B">
              <w:rPr>
                <w:rFonts w:asciiTheme="minorHAnsi" w:hAnsiTheme="minorHAnsi" w:cstheme="minorHAnsi"/>
                <w:b/>
                <w:bCs/>
                <w:color w:val="7030A0"/>
                <w:szCs w:val="20"/>
                <w:lang w:val="fr-FR" w:eastAsia="fr-FR"/>
              </w:rPr>
              <w:t>24 005</w:t>
            </w:r>
            <w:r w:rsidR="005B066C" w:rsidRPr="008B709B">
              <w:rPr>
                <w:rFonts w:asciiTheme="minorHAnsi" w:hAnsiTheme="minorHAnsi" w:cstheme="minorHAnsi"/>
                <w:b/>
                <w:bCs/>
                <w:color w:val="7030A0"/>
                <w:szCs w:val="20"/>
                <w:lang w:val="fr-FR" w:eastAsia="fr-FR"/>
              </w:rPr>
              <w:t xml:space="preserve"> € </w:t>
            </w:r>
          </w:p>
        </w:tc>
      </w:tr>
    </w:tbl>
    <w:p w:rsidR="00872F5A" w:rsidRPr="008B709B" w:rsidRDefault="00EF46AC" w:rsidP="00FF5A22">
      <w:pPr>
        <w:tabs>
          <w:tab w:val="left" w:pos="5736"/>
        </w:tabs>
        <w:spacing w:line="264" w:lineRule="auto"/>
        <w:rPr>
          <w:rFonts w:asciiTheme="minorHAnsi" w:hAnsiTheme="minorHAnsi" w:cstheme="minorHAnsi"/>
          <w:szCs w:val="20"/>
          <w:lang w:val="fr-FR"/>
        </w:rPr>
      </w:pPr>
      <w:r w:rsidDel="00EF46AC">
        <w:rPr>
          <w:rFonts w:asciiTheme="minorHAnsi" w:hAnsiTheme="minorHAnsi" w:cstheme="minorHAnsi"/>
          <w:sz w:val="18"/>
          <w:lang w:val="fr-FR"/>
        </w:rPr>
        <w:lastRenderedPageBreak/>
        <w:t xml:space="preserve"> </w:t>
      </w:r>
      <w:r w:rsidR="00872F5A" w:rsidRPr="008B709B">
        <w:rPr>
          <w:rFonts w:asciiTheme="minorHAnsi" w:hAnsiTheme="minorHAnsi" w:cstheme="minorHAnsi"/>
          <w:szCs w:val="20"/>
          <w:lang w:val="fr-FR"/>
        </w:rPr>
        <w:t>(1)</w:t>
      </w:r>
      <w:r w:rsidR="008B709B" w:rsidRPr="008B709B">
        <w:rPr>
          <w:rFonts w:asciiTheme="minorHAnsi" w:hAnsiTheme="minorHAnsi" w:cstheme="minorHAnsi"/>
          <w:szCs w:val="20"/>
          <w:lang w:val="fr-FR"/>
        </w:rPr>
        <w:t xml:space="preserve"> Corinna zur Bonsen-Thomas a reçu </w:t>
      </w:r>
      <w:r w:rsidR="008B709B">
        <w:rPr>
          <w:rFonts w:asciiTheme="minorHAnsi" w:hAnsiTheme="minorHAnsi" w:cstheme="minorHAnsi"/>
          <w:szCs w:val="20"/>
          <w:lang w:val="fr-FR"/>
        </w:rPr>
        <w:t>16 400 titres BSA</w:t>
      </w:r>
      <w:r w:rsidR="00574C55">
        <w:rPr>
          <w:rFonts w:asciiTheme="minorHAnsi" w:hAnsiTheme="minorHAnsi" w:cstheme="minorHAnsi"/>
          <w:szCs w:val="20"/>
          <w:lang w:val="fr-FR"/>
        </w:rPr>
        <w:t xml:space="preserve"> aux termes de</w:t>
      </w:r>
      <w:r w:rsidR="008B709B" w:rsidRPr="008B709B">
        <w:rPr>
          <w:rFonts w:asciiTheme="minorHAnsi" w:hAnsiTheme="minorHAnsi" w:cstheme="minorHAnsi"/>
          <w:szCs w:val="20"/>
          <w:lang w:val="fr-FR"/>
        </w:rPr>
        <w:t xml:space="preserve"> la décision du conseil d’administration</w:t>
      </w:r>
      <w:r w:rsidR="008B709B">
        <w:rPr>
          <w:rFonts w:asciiTheme="minorHAnsi" w:hAnsiTheme="minorHAnsi" w:cstheme="minorHAnsi"/>
          <w:szCs w:val="20"/>
          <w:lang w:val="fr-FR"/>
        </w:rPr>
        <w:t xml:space="preserve"> du</w:t>
      </w:r>
      <w:r w:rsidR="008B709B" w:rsidRPr="008B709B">
        <w:rPr>
          <w:rFonts w:asciiTheme="minorHAnsi" w:hAnsiTheme="minorHAnsi" w:cstheme="minorHAnsi"/>
          <w:szCs w:val="20"/>
          <w:lang w:val="fr-FR"/>
        </w:rPr>
        <w:t xml:space="preserve"> 18</w:t>
      </w:r>
      <w:r w:rsidR="008B709B">
        <w:rPr>
          <w:rFonts w:asciiTheme="minorHAnsi" w:hAnsiTheme="minorHAnsi" w:cstheme="minorHAnsi"/>
          <w:szCs w:val="20"/>
          <w:lang w:val="fr-FR"/>
        </w:rPr>
        <w:t xml:space="preserve"> </w:t>
      </w:r>
      <w:r w:rsidR="00E73A7C">
        <w:rPr>
          <w:rFonts w:asciiTheme="minorHAnsi" w:hAnsiTheme="minorHAnsi" w:cstheme="minorHAnsi"/>
          <w:szCs w:val="20"/>
          <w:lang w:val="fr-FR"/>
        </w:rPr>
        <w:t>septembre</w:t>
      </w:r>
      <w:r w:rsidR="008B709B">
        <w:rPr>
          <w:rFonts w:asciiTheme="minorHAnsi" w:hAnsiTheme="minorHAnsi" w:cstheme="minorHAnsi"/>
          <w:szCs w:val="20"/>
          <w:lang w:val="fr-FR"/>
        </w:rPr>
        <w:t xml:space="preserve"> </w:t>
      </w:r>
      <w:r w:rsidR="008B709B" w:rsidRPr="008B709B">
        <w:rPr>
          <w:rFonts w:asciiTheme="minorHAnsi" w:hAnsiTheme="minorHAnsi" w:cstheme="minorHAnsi"/>
          <w:szCs w:val="20"/>
          <w:lang w:val="fr-FR"/>
        </w:rPr>
        <w:t>2017</w:t>
      </w:r>
      <w:r w:rsidR="00682970">
        <w:rPr>
          <w:rFonts w:asciiTheme="minorHAnsi" w:hAnsiTheme="minorHAnsi" w:cstheme="minorHAnsi"/>
          <w:szCs w:val="20"/>
          <w:lang w:val="fr-FR"/>
        </w:rPr>
        <w:t xml:space="preserve">. </w:t>
      </w:r>
      <w:r w:rsidR="008B709B" w:rsidRPr="008B709B">
        <w:rPr>
          <w:rFonts w:asciiTheme="minorHAnsi" w:hAnsiTheme="minorHAnsi" w:cstheme="minorHAnsi"/>
          <w:szCs w:val="20"/>
          <w:lang w:val="fr-FR"/>
        </w:rPr>
        <w:t xml:space="preserve">Le prix </w:t>
      </w:r>
      <w:r w:rsidR="008B709B">
        <w:rPr>
          <w:rFonts w:asciiTheme="minorHAnsi" w:hAnsiTheme="minorHAnsi" w:cstheme="minorHAnsi"/>
          <w:szCs w:val="20"/>
          <w:lang w:val="fr-FR"/>
        </w:rPr>
        <w:t xml:space="preserve">d’achat de ces BSA est de 1.29€ par titre et le prix </w:t>
      </w:r>
      <w:r w:rsidR="008B709B" w:rsidRPr="008B709B">
        <w:rPr>
          <w:rFonts w:asciiTheme="minorHAnsi" w:hAnsiTheme="minorHAnsi" w:cstheme="minorHAnsi"/>
          <w:szCs w:val="20"/>
          <w:lang w:val="fr-FR"/>
        </w:rPr>
        <w:t>d’exercice de 11.</w:t>
      </w:r>
      <w:r w:rsidR="008B709B">
        <w:rPr>
          <w:rFonts w:asciiTheme="minorHAnsi" w:hAnsiTheme="minorHAnsi" w:cstheme="minorHAnsi"/>
          <w:szCs w:val="20"/>
          <w:lang w:val="fr-FR"/>
        </w:rPr>
        <w:t>57</w:t>
      </w:r>
      <w:r w:rsidR="008B709B" w:rsidRPr="008B709B">
        <w:rPr>
          <w:rFonts w:asciiTheme="minorHAnsi" w:hAnsiTheme="minorHAnsi" w:cstheme="minorHAnsi"/>
          <w:szCs w:val="20"/>
          <w:lang w:val="fr-FR"/>
        </w:rPr>
        <w:t>€</w:t>
      </w:r>
      <w:r w:rsidR="00682970">
        <w:rPr>
          <w:rFonts w:asciiTheme="minorHAnsi" w:hAnsiTheme="minorHAnsi" w:cstheme="minorHAnsi"/>
          <w:szCs w:val="20"/>
          <w:lang w:val="fr-FR"/>
        </w:rPr>
        <w:t xml:space="preserve">, </w:t>
      </w:r>
      <w:r w:rsidR="008B709B" w:rsidRPr="008B709B">
        <w:rPr>
          <w:rFonts w:asciiTheme="minorHAnsi" w:hAnsiTheme="minorHAnsi" w:cstheme="minorHAnsi"/>
          <w:szCs w:val="20"/>
          <w:lang w:val="fr-FR"/>
        </w:rPr>
        <w:t>la maturité de 10 années</w:t>
      </w:r>
      <w:r w:rsidR="001C4380">
        <w:rPr>
          <w:rFonts w:asciiTheme="minorHAnsi" w:hAnsiTheme="minorHAnsi" w:cstheme="minorHAnsi"/>
          <w:szCs w:val="20"/>
          <w:lang w:val="fr-FR"/>
        </w:rPr>
        <w:t>.</w:t>
      </w:r>
      <w:r w:rsidR="00872F5A" w:rsidRPr="008B709B">
        <w:rPr>
          <w:rFonts w:asciiTheme="minorHAnsi" w:hAnsiTheme="minorHAnsi" w:cstheme="minorHAnsi"/>
          <w:szCs w:val="20"/>
          <w:lang w:val="fr-FR"/>
        </w:rPr>
        <w:t xml:space="preserve"> Ces BSA sont exerçables progressivement en trois tranches (se référer au paragraphe 21.1.5 du présent document de référence).</w:t>
      </w:r>
    </w:p>
    <w:p w:rsidR="00B740A8" w:rsidRPr="008B709B" w:rsidRDefault="00B46293" w:rsidP="00FF5A22">
      <w:pPr>
        <w:tabs>
          <w:tab w:val="left" w:pos="5736"/>
        </w:tabs>
        <w:spacing w:line="264" w:lineRule="auto"/>
        <w:rPr>
          <w:rFonts w:asciiTheme="minorHAnsi" w:hAnsiTheme="minorHAnsi" w:cstheme="minorHAnsi"/>
          <w:b/>
          <w:color w:val="7030A0"/>
          <w:szCs w:val="20"/>
          <w:lang w:val="fr-FR"/>
        </w:rPr>
      </w:pPr>
      <w:r w:rsidRPr="008B709B">
        <w:rPr>
          <w:rStyle w:val="FootnoteReference"/>
          <w:rFonts w:asciiTheme="minorHAnsi" w:hAnsiTheme="minorHAnsi" w:cstheme="minorHAnsi"/>
          <w:szCs w:val="20"/>
          <w:lang w:val="fr-FR"/>
        </w:rPr>
        <w:t xml:space="preserve"> </w:t>
      </w:r>
      <w:r w:rsidRPr="008B709B">
        <w:rPr>
          <w:rFonts w:asciiTheme="minorHAnsi" w:hAnsiTheme="minorHAnsi" w:cstheme="minorHAnsi"/>
          <w:szCs w:val="20"/>
          <w:lang w:val="fr-FR"/>
        </w:rPr>
        <w:t xml:space="preserve">(2) </w:t>
      </w:r>
      <w:r w:rsidR="00B740A8" w:rsidRPr="008B709B">
        <w:rPr>
          <w:rFonts w:asciiTheme="minorHAnsi" w:hAnsiTheme="minorHAnsi" w:cstheme="minorHAnsi"/>
          <w:szCs w:val="20"/>
          <w:lang w:val="fr-FR"/>
        </w:rPr>
        <w:t xml:space="preserve">Dont 5 800 </w:t>
      </w:r>
      <w:r w:rsidR="00EF089C" w:rsidRPr="008B709B">
        <w:rPr>
          <w:rFonts w:asciiTheme="minorHAnsi" w:hAnsiTheme="minorHAnsi" w:cstheme="minorHAnsi"/>
          <w:szCs w:val="20"/>
          <w:lang w:val="fr-FR"/>
        </w:rPr>
        <w:t>K€</w:t>
      </w:r>
      <w:r w:rsidR="00B740A8" w:rsidRPr="008B709B">
        <w:rPr>
          <w:rFonts w:asciiTheme="minorHAnsi" w:hAnsiTheme="minorHAnsi" w:cstheme="minorHAnsi"/>
          <w:szCs w:val="20"/>
          <w:lang w:val="fr-FR"/>
        </w:rPr>
        <w:t xml:space="preserve"> versés sur le premier trimestre 2017.</w:t>
      </w:r>
    </w:p>
    <w:p w:rsidR="00B740A8" w:rsidRPr="00C73365" w:rsidRDefault="00B740A8" w:rsidP="00B740A8">
      <w:pPr>
        <w:spacing w:line="264" w:lineRule="auto"/>
        <w:rPr>
          <w:rFonts w:asciiTheme="minorHAnsi" w:hAnsiTheme="minorHAnsi" w:cstheme="minorHAnsi"/>
          <w:b/>
          <w:color w:val="7030A0"/>
          <w:szCs w:val="20"/>
          <w:lang w:val="fr-FR"/>
        </w:rPr>
      </w:pPr>
    </w:p>
    <w:p w:rsidR="00B740A8" w:rsidRPr="00FF5A22" w:rsidRDefault="00B740A8" w:rsidP="00FF5A22">
      <w:pPr>
        <w:pStyle w:val="BodyText"/>
        <w:rPr>
          <w:rFonts w:asciiTheme="minorHAnsi" w:hAnsiTheme="minorHAnsi" w:cstheme="minorHAnsi"/>
          <w:b/>
          <w:lang w:val="fr-FR"/>
        </w:rPr>
      </w:pPr>
      <w:r w:rsidRPr="00C73365">
        <w:rPr>
          <w:rFonts w:asciiTheme="minorHAnsi" w:hAnsiTheme="minorHAnsi" w:cstheme="minorHAnsi"/>
          <w:b/>
          <w:lang w:val="fr-FR"/>
        </w:rPr>
        <w:t>Tableau 4 : Options de souscription ou d’achat d’actions attribuées durant l’exercice à chaque dirigeant mandataire social par l’émetteur et par toutes les sociétés du groupe</w:t>
      </w:r>
    </w:p>
    <w:tbl>
      <w:tblPr>
        <w:tblStyle w:val="TableGrid"/>
        <w:tblW w:w="0" w:type="auto"/>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344"/>
        <w:gridCol w:w="1563"/>
        <w:gridCol w:w="1363"/>
        <w:gridCol w:w="1352"/>
        <w:gridCol w:w="1328"/>
        <w:gridCol w:w="1326"/>
        <w:gridCol w:w="1353"/>
      </w:tblGrid>
      <w:tr w:rsidR="00B740A8" w:rsidRPr="00C73365" w:rsidTr="00D1541A">
        <w:trPr>
          <w:trHeight w:val="1647"/>
          <w:jc w:val="center"/>
        </w:trPr>
        <w:tc>
          <w:tcPr>
            <w:tcW w:w="1375" w:type="dxa"/>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Nom du dirigeant mandataire social</w:t>
            </w:r>
          </w:p>
        </w:tc>
        <w:tc>
          <w:tcPr>
            <w:tcW w:w="1375" w:type="dxa"/>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 xml:space="preserve">N° et date du plan </w:t>
            </w:r>
          </w:p>
        </w:tc>
        <w:tc>
          <w:tcPr>
            <w:tcW w:w="1375" w:type="dxa"/>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Nature des options (achat ou souscription)</w:t>
            </w:r>
          </w:p>
        </w:tc>
        <w:tc>
          <w:tcPr>
            <w:tcW w:w="1376" w:type="dxa"/>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Valorisation des options selon la méthode retenue pour les comptes consolidés</w:t>
            </w:r>
          </w:p>
        </w:tc>
        <w:tc>
          <w:tcPr>
            <w:tcW w:w="1376" w:type="dxa"/>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Nombre d’options attribuées durant l’exercice</w:t>
            </w:r>
          </w:p>
        </w:tc>
        <w:tc>
          <w:tcPr>
            <w:tcW w:w="1376" w:type="dxa"/>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Prix d’exercice</w:t>
            </w:r>
          </w:p>
        </w:tc>
        <w:tc>
          <w:tcPr>
            <w:tcW w:w="1376" w:type="dxa"/>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Période d’exercice / Date d’expiration</w:t>
            </w:r>
          </w:p>
        </w:tc>
      </w:tr>
      <w:tr w:rsidR="00B740A8" w:rsidRPr="00C73365" w:rsidTr="00D1541A">
        <w:trPr>
          <w:trHeight w:val="704"/>
          <w:jc w:val="center"/>
        </w:trPr>
        <w:tc>
          <w:tcPr>
            <w:tcW w:w="1375" w:type="dxa"/>
            <w:vAlign w:val="center"/>
          </w:tcPr>
          <w:p w:rsidR="00B740A8" w:rsidRPr="00C73365" w:rsidRDefault="00B740A8" w:rsidP="00D1541A">
            <w:pPr>
              <w:spacing w:line="264" w:lineRule="auto"/>
              <w:rPr>
                <w:rFonts w:asciiTheme="minorHAnsi" w:hAnsiTheme="minorHAnsi" w:cstheme="minorHAnsi"/>
                <w:szCs w:val="20"/>
                <w:lang w:val="fr-FR"/>
              </w:rPr>
            </w:pPr>
            <w:r w:rsidRPr="00C73365">
              <w:rPr>
                <w:rFonts w:asciiTheme="minorHAnsi" w:hAnsiTheme="minorHAnsi" w:cstheme="minorHAnsi"/>
                <w:szCs w:val="20"/>
                <w:lang w:val="fr-FR"/>
              </w:rPr>
              <w:t xml:space="preserve">Monsieur Hartmut Ehrlich </w:t>
            </w:r>
          </w:p>
        </w:tc>
        <w:tc>
          <w:tcPr>
            <w:tcW w:w="1375" w:type="dxa"/>
            <w:vAlign w:val="center"/>
          </w:tcPr>
          <w:p w:rsidR="00B740A8" w:rsidRPr="00C73365" w:rsidRDefault="00B740A8" w:rsidP="00D1541A">
            <w:pPr>
              <w:spacing w:line="264" w:lineRule="auto"/>
              <w:rPr>
                <w:rFonts w:asciiTheme="minorHAnsi" w:hAnsiTheme="minorHAnsi" w:cstheme="minorHAnsi"/>
                <w:szCs w:val="20"/>
                <w:lang w:val="fr-FR"/>
              </w:rPr>
            </w:pPr>
            <w:r w:rsidRPr="00C73365">
              <w:rPr>
                <w:rFonts w:asciiTheme="minorHAnsi" w:hAnsiTheme="minorHAnsi" w:cstheme="minorHAnsi"/>
                <w:szCs w:val="20"/>
                <w:lang w:val="fr-FR"/>
              </w:rPr>
              <w:t>BCE 2017-2</w:t>
            </w:r>
          </w:p>
          <w:p w:rsidR="00B740A8" w:rsidRPr="00C73365" w:rsidRDefault="00B740A8" w:rsidP="00D1541A">
            <w:pPr>
              <w:spacing w:line="264" w:lineRule="auto"/>
              <w:rPr>
                <w:rFonts w:asciiTheme="minorHAnsi" w:hAnsiTheme="minorHAnsi" w:cstheme="minorHAnsi"/>
                <w:szCs w:val="20"/>
                <w:lang w:val="fr-FR"/>
              </w:rPr>
            </w:pPr>
            <w:r w:rsidRPr="00C73365">
              <w:rPr>
                <w:rFonts w:asciiTheme="minorHAnsi" w:hAnsiTheme="minorHAnsi" w:cstheme="minorHAnsi"/>
                <w:szCs w:val="20"/>
                <w:lang w:val="fr-FR"/>
              </w:rPr>
              <w:t>(Conseil d’administration du 20/11/2017)</w:t>
            </w:r>
          </w:p>
        </w:tc>
        <w:tc>
          <w:tcPr>
            <w:tcW w:w="1375" w:type="dxa"/>
            <w:vAlign w:val="center"/>
          </w:tcPr>
          <w:p w:rsidR="00B740A8" w:rsidRPr="00C73365" w:rsidRDefault="00656913" w:rsidP="00D1541A">
            <w:pPr>
              <w:spacing w:line="264" w:lineRule="auto"/>
              <w:rPr>
                <w:rFonts w:asciiTheme="minorHAnsi" w:hAnsiTheme="minorHAnsi" w:cstheme="minorHAnsi"/>
                <w:szCs w:val="20"/>
                <w:lang w:val="fr-FR"/>
              </w:rPr>
            </w:pPr>
            <w:r>
              <w:rPr>
                <w:rFonts w:asciiTheme="minorHAnsi" w:hAnsiTheme="minorHAnsi" w:cstheme="minorHAnsi"/>
                <w:szCs w:val="20"/>
                <w:lang w:val="fr-FR"/>
              </w:rPr>
              <w:t>BCE</w:t>
            </w:r>
          </w:p>
        </w:tc>
        <w:tc>
          <w:tcPr>
            <w:tcW w:w="1376" w:type="dxa"/>
            <w:vAlign w:val="center"/>
          </w:tcPr>
          <w:p w:rsidR="00B740A8" w:rsidRPr="00C73365" w:rsidRDefault="00682970" w:rsidP="005B066C">
            <w:pPr>
              <w:spacing w:line="264" w:lineRule="auto"/>
              <w:jc w:val="center"/>
              <w:rPr>
                <w:rFonts w:asciiTheme="minorHAnsi" w:hAnsiTheme="minorHAnsi" w:cstheme="minorHAnsi"/>
                <w:szCs w:val="20"/>
                <w:lang w:val="fr-FR"/>
              </w:rPr>
            </w:pPr>
            <w:r w:rsidRPr="00682970">
              <w:rPr>
                <w:rFonts w:asciiTheme="minorHAnsi" w:hAnsiTheme="minorHAnsi" w:cstheme="minorHAnsi"/>
                <w:szCs w:val="20"/>
                <w:lang w:val="fr-FR"/>
              </w:rPr>
              <w:t>-</w:t>
            </w:r>
          </w:p>
        </w:tc>
        <w:tc>
          <w:tcPr>
            <w:tcW w:w="1376" w:type="dxa"/>
            <w:vAlign w:val="center"/>
          </w:tcPr>
          <w:p w:rsidR="00B740A8" w:rsidRPr="00C73365" w:rsidRDefault="00B740A8" w:rsidP="00D1541A">
            <w:pPr>
              <w:spacing w:line="264" w:lineRule="auto"/>
              <w:jc w:val="right"/>
              <w:rPr>
                <w:rFonts w:asciiTheme="minorHAnsi" w:hAnsiTheme="minorHAnsi" w:cstheme="minorHAnsi"/>
                <w:szCs w:val="20"/>
                <w:lang w:val="fr-FR"/>
              </w:rPr>
            </w:pPr>
            <w:r w:rsidRPr="00C73365">
              <w:rPr>
                <w:rFonts w:asciiTheme="minorHAnsi" w:hAnsiTheme="minorHAnsi" w:cstheme="minorHAnsi"/>
                <w:szCs w:val="20"/>
                <w:lang w:val="fr-FR"/>
              </w:rPr>
              <w:t>150 000</w:t>
            </w:r>
          </w:p>
        </w:tc>
        <w:tc>
          <w:tcPr>
            <w:tcW w:w="1376" w:type="dxa"/>
            <w:vAlign w:val="center"/>
          </w:tcPr>
          <w:p w:rsidR="00B740A8" w:rsidRPr="00C73365" w:rsidRDefault="00B740A8" w:rsidP="00D1541A">
            <w:pPr>
              <w:spacing w:line="264" w:lineRule="auto"/>
              <w:jc w:val="right"/>
              <w:rPr>
                <w:rFonts w:asciiTheme="minorHAnsi" w:hAnsiTheme="minorHAnsi" w:cstheme="minorHAnsi"/>
                <w:szCs w:val="20"/>
                <w:lang w:val="fr-FR"/>
              </w:rPr>
            </w:pPr>
            <w:r w:rsidRPr="00C73365">
              <w:rPr>
                <w:rFonts w:asciiTheme="minorHAnsi" w:hAnsiTheme="minorHAnsi" w:cstheme="minorHAnsi"/>
                <w:szCs w:val="20"/>
                <w:lang w:val="fr-FR"/>
              </w:rPr>
              <w:t>11,14€</w:t>
            </w:r>
          </w:p>
        </w:tc>
        <w:tc>
          <w:tcPr>
            <w:tcW w:w="1376" w:type="dxa"/>
            <w:vAlign w:val="center"/>
          </w:tcPr>
          <w:p w:rsidR="00B740A8" w:rsidRPr="00C73365" w:rsidRDefault="00B740A8" w:rsidP="00D1541A">
            <w:pPr>
              <w:spacing w:line="264" w:lineRule="auto"/>
              <w:jc w:val="right"/>
              <w:rPr>
                <w:rFonts w:asciiTheme="minorHAnsi" w:hAnsiTheme="minorHAnsi" w:cstheme="minorHAnsi"/>
                <w:szCs w:val="20"/>
                <w:lang w:val="fr-FR"/>
              </w:rPr>
            </w:pPr>
            <w:r w:rsidRPr="00C73365">
              <w:rPr>
                <w:rFonts w:asciiTheme="minorHAnsi" w:hAnsiTheme="minorHAnsi" w:cstheme="minorHAnsi"/>
                <w:szCs w:val="20"/>
                <w:lang w:val="fr-FR"/>
              </w:rPr>
              <w:t>20/11/2027</w:t>
            </w:r>
          </w:p>
        </w:tc>
      </w:tr>
      <w:tr w:rsidR="00B740A8" w:rsidRPr="00C73365" w:rsidTr="00D1541A">
        <w:trPr>
          <w:trHeight w:val="226"/>
          <w:jc w:val="center"/>
        </w:trPr>
        <w:tc>
          <w:tcPr>
            <w:tcW w:w="1375" w:type="dxa"/>
            <w:tcBorders>
              <w:bottom w:val="single" w:sz="4" w:space="0" w:color="7030A0"/>
            </w:tcBorders>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Total</w:t>
            </w:r>
          </w:p>
        </w:tc>
        <w:tc>
          <w:tcPr>
            <w:tcW w:w="1375" w:type="dxa"/>
            <w:tcBorders>
              <w:bottom w:val="single" w:sz="4" w:space="0" w:color="7030A0"/>
            </w:tcBorders>
            <w:vAlign w:val="center"/>
          </w:tcPr>
          <w:p w:rsidR="00B740A8" w:rsidRPr="00C73365" w:rsidRDefault="00B740A8" w:rsidP="00D1541A">
            <w:pPr>
              <w:spacing w:line="264" w:lineRule="auto"/>
              <w:rPr>
                <w:rFonts w:asciiTheme="minorHAnsi" w:hAnsiTheme="minorHAnsi" w:cstheme="minorHAnsi"/>
                <w:szCs w:val="20"/>
                <w:lang w:val="fr-FR"/>
              </w:rPr>
            </w:pPr>
          </w:p>
        </w:tc>
        <w:tc>
          <w:tcPr>
            <w:tcW w:w="1375" w:type="dxa"/>
            <w:tcBorders>
              <w:bottom w:val="single" w:sz="4" w:space="0" w:color="7030A0"/>
            </w:tcBorders>
            <w:vAlign w:val="center"/>
          </w:tcPr>
          <w:p w:rsidR="00B740A8" w:rsidRPr="00C73365" w:rsidRDefault="00B740A8" w:rsidP="00D1541A">
            <w:pPr>
              <w:spacing w:line="264" w:lineRule="auto"/>
              <w:rPr>
                <w:rFonts w:asciiTheme="minorHAnsi" w:hAnsiTheme="minorHAnsi" w:cstheme="minorHAnsi"/>
                <w:szCs w:val="20"/>
                <w:lang w:val="fr-FR"/>
              </w:rPr>
            </w:pPr>
          </w:p>
        </w:tc>
        <w:tc>
          <w:tcPr>
            <w:tcW w:w="1376" w:type="dxa"/>
            <w:tcBorders>
              <w:bottom w:val="single" w:sz="4" w:space="0" w:color="7030A0"/>
            </w:tcBorders>
            <w:vAlign w:val="center"/>
          </w:tcPr>
          <w:p w:rsidR="00B740A8" w:rsidRPr="00C73365" w:rsidRDefault="00B740A8" w:rsidP="00D1541A">
            <w:pPr>
              <w:spacing w:line="264" w:lineRule="auto"/>
              <w:rPr>
                <w:rFonts w:asciiTheme="minorHAnsi" w:hAnsiTheme="minorHAnsi" w:cstheme="minorHAnsi"/>
                <w:szCs w:val="20"/>
                <w:lang w:val="fr-FR"/>
              </w:rPr>
            </w:pPr>
          </w:p>
        </w:tc>
        <w:tc>
          <w:tcPr>
            <w:tcW w:w="1376" w:type="dxa"/>
            <w:tcBorders>
              <w:bottom w:val="single" w:sz="4" w:space="0" w:color="7030A0"/>
            </w:tcBorders>
            <w:vAlign w:val="center"/>
          </w:tcPr>
          <w:p w:rsidR="00B740A8" w:rsidRPr="00C73365" w:rsidRDefault="00B740A8" w:rsidP="004834A9">
            <w:pPr>
              <w:spacing w:line="264" w:lineRule="auto"/>
              <w:jc w:val="right"/>
              <w:rPr>
                <w:rFonts w:asciiTheme="minorHAnsi" w:hAnsiTheme="minorHAnsi" w:cstheme="minorHAnsi"/>
                <w:b/>
                <w:szCs w:val="20"/>
                <w:lang w:val="fr-FR"/>
              </w:rPr>
            </w:pPr>
            <w:r w:rsidRPr="00C73365">
              <w:rPr>
                <w:rFonts w:asciiTheme="minorHAnsi" w:hAnsiTheme="minorHAnsi" w:cstheme="minorHAnsi"/>
                <w:b/>
                <w:szCs w:val="20"/>
                <w:lang w:val="fr-FR"/>
              </w:rPr>
              <w:t>150 000</w:t>
            </w:r>
          </w:p>
        </w:tc>
        <w:tc>
          <w:tcPr>
            <w:tcW w:w="1376" w:type="dxa"/>
            <w:tcBorders>
              <w:bottom w:val="single" w:sz="4" w:space="0" w:color="7030A0"/>
            </w:tcBorders>
            <w:vAlign w:val="center"/>
          </w:tcPr>
          <w:p w:rsidR="00B740A8" w:rsidRPr="00C73365" w:rsidRDefault="00B740A8" w:rsidP="00D1541A">
            <w:pPr>
              <w:spacing w:line="264" w:lineRule="auto"/>
              <w:rPr>
                <w:rFonts w:asciiTheme="minorHAnsi" w:hAnsiTheme="minorHAnsi" w:cstheme="minorHAnsi"/>
                <w:szCs w:val="20"/>
                <w:lang w:val="fr-FR"/>
              </w:rPr>
            </w:pPr>
          </w:p>
        </w:tc>
        <w:tc>
          <w:tcPr>
            <w:tcW w:w="1376" w:type="dxa"/>
            <w:tcBorders>
              <w:bottom w:val="single" w:sz="4" w:space="0" w:color="7030A0"/>
            </w:tcBorders>
            <w:vAlign w:val="center"/>
          </w:tcPr>
          <w:p w:rsidR="00B740A8" w:rsidRPr="00C73365" w:rsidRDefault="00B740A8" w:rsidP="00D1541A">
            <w:pPr>
              <w:spacing w:line="264" w:lineRule="auto"/>
              <w:rPr>
                <w:rFonts w:asciiTheme="minorHAnsi" w:hAnsiTheme="minorHAnsi" w:cstheme="minorHAnsi"/>
                <w:szCs w:val="20"/>
                <w:lang w:val="fr-FR"/>
              </w:rPr>
            </w:pPr>
          </w:p>
        </w:tc>
      </w:tr>
    </w:tbl>
    <w:p w:rsidR="00B740A8" w:rsidRPr="00C73365" w:rsidRDefault="00B740A8" w:rsidP="00B740A8">
      <w:pPr>
        <w:spacing w:line="264" w:lineRule="auto"/>
        <w:rPr>
          <w:rFonts w:asciiTheme="minorHAnsi" w:hAnsiTheme="minorHAnsi" w:cstheme="minorHAnsi"/>
          <w:szCs w:val="20"/>
          <w:lang w:val="fr-FR"/>
        </w:rPr>
      </w:pPr>
    </w:p>
    <w:p w:rsidR="00B740A8" w:rsidRPr="00C73365" w:rsidRDefault="00B740A8" w:rsidP="00B740A8">
      <w:pPr>
        <w:spacing w:line="264" w:lineRule="auto"/>
        <w:rPr>
          <w:rFonts w:asciiTheme="minorHAnsi" w:hAnsiTheme="minorHAnsi" w:cstheme="minorHAnsi"/>
          <w:szCs w:val="20"/>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Tableau 5 : Options de souscription ou d’achat d’actions levées durant l’exercice par chaque dirigeant mandataire social</w:t>
      </w:r>
    </w:p>
    <w:tbl>
      <w:tblPr>
        <w:tblStyle w:val="TableGrid"/>
        <w:tblW w:w="5000" w:type="pct"/>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408"/>
        <w:gridCol w:w="2407"/>
        <w:gridCol w:w="2407"/>
        <w:gridCol w:w="2407"/>
      </w:tblGrid>
      <w:tr w:rsidR="00B740A8" w:rsidRPr="00C73365" w:rsidTr="00D1541A">
        <w:trPr>
          <w:jc w:val="center"/>
        </w:trPr>
        <w:tc>
          <w:tcPr>
            <w:tcW w:w="1250" w:type="pct"/>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Nom du dirigeant mandataire social</w:t>
            </w:r>
          </w:p>
        </w:tc>
        <w:tc>
          <w:tcPr>
            <w:tcW w:w="1250" w:type="pct"/>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 xml:space="preserve">N° et date du plan </w:t>
            </w:r>
          </w:p>
        </w:tc>
        <w:tc>
          <w:tcPr>
            <w:tcW w:w="1250" w:type="pct"/>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Nombre d’options levées durant l’exercice</w:t>
            </w:r>
          </w:p>
        </w:tc>
        <w:tc>
          <w:tcPr>
            <w:tcW w:w="1250" w:type="pct"/>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Prix d’exercice</w:t>
            </w:r>
          </w:p>
        </w:tc>
      </w:tr>
      <w:tr w:rsidR="00B740A8" w:rsidRPr="00574C55" w:rsidTr="00D1541A">
        <w:trPr>
          <w:jc w:val="center"/>
        </w:trPr>
        <w:tc>
          <w:tcPr>
            <w:tcW w:w="1250" w:type="pct"/>
            <w:vAlign w:val="center"/>
          </w:tcPr>
          <w:p w:rsidR="00B740A8" w:rsidRPr="00C73365" w:rsidRDefault="00B740A8" w:rsidP="00D1541A">
            <w:pPr>
              <w:spacing w:line="264" w:lineRule="auto"/>
              <w:rPr>
                <w:rFonts w:asciiTheme="minorHAnsi" w:hAnsiTheme="minorHAnsi" w:cstheme="minorHAnsi"/>
                <w:szCs w:val="20"/>
                <w:lang w:val="fr-FR"/>
              </w:rPr>
            </w:pPr>
            <w:r w:rsidRPr="00C73365">
              <w:rPr>
                <w:rFonts w:asciiTheme="minorHAnsi" w:hAnsiTheme="minorHAnsi" w:cstheme="minorHAnsi"/>
                <w:szCs w:val="20"/>
                <w:lang w:val="fr-FR"/>
              </w:rPr>
              <w:t xml:space="preserve">Monsieur Hartmut Ehrlich </w:t>
            </w:r>
          </w:p>
        </w:tc>
        <w:tc>
          <w:tcPr>
            <w:tcW w:w="1250" w:type="pct"/>
            <w:vAlign w:val="center"/>
          </w:tcPr>
          <w:p w:rsidR="00B740A8" w:rsidRPr="00C73365" w:rsidRDefault="00B740A8" w:rsidP="007816CF">
            <w:pPr>
              <w:spacing w:line="264" w:lineRule="auto"/>
              <w:jc w:val="left"/>
              <w:rPr>
                <w:rFonts w:asciiTheme="minorHAnsi" w:hAnsiTheme="minorHAnsi" w:cstheme="minorHAnsi"/>
                <w:szCs w:val="20"/>
                <w:lang w:val="fr-FR"/>
              </w:rPr>
            </w:pPr>
            <w:r w:rsidRPr="00C73365">
              <w:rPr>
                <w:rFonts w:asciiTheme="minorHAnsi" w:hAnsiTheme="minorHAnsi" w:cstheme="minorHAnsi"/>
                <w:szCs w:val="20"/>
                <w:lang w:val="fr-FR"/>
              </w:rPr>
              <w:t xml:space="preserve">BCE 2014-2 </w:t>
            </w:r>
            <w:r w:rsidR="00574C55">
              <w:rPr>
                <w:rFonts w:asciiTheme="minorHAnsi" w:hAnsiTheme="minorHAnsi" w:cstheme="minorHAnsi"/>
                <w:szCs w:val="20"/>
                <w:lang w:val="fr-FR"/>
              </w:rPr>
              <w:br/>
            </w:r>
            <w:r w:rsidRPr="00C73365">
              <w:rPr>
                <w:rFonts w:asciiTheme="minorHAnsi" w:hAnsiTheme="minorHAnsi" w:cstheme="minorHAnsi"/>
                <w:szCs w:val="20"/>
                <w:lang w:val="fr-FR"/>
              </w:rPr>
              <w:t>(Conseil d’administration du 11/03/2014)</w:t>
            </w:r>
          </w:p>
        </w:tc>
        <w:tc>
          <w:tcPr>
            <w:tcW w:w="1250" w:type="pct"/>
            <w:vAlign w:val="center"/>
          </w:tcPr>
          <w:p w:rsidR="00B740A8" w:rsidRPr="00C73365" w:rsidRDefault="00B740A8" w:rsidP="00D1541A">
            <w:pPr>
              <w:spacing w:line="264" w:lineRule="auto"/>
              <w:jc w:val="right"/>
              <w:rPr>
                <w:rFonts w:asciiTheme="minorHAnsi" w:hAnsiTheme="minorHAnsi" w:cstheme="minorHAnsi"/>
                <w:szCs w:val="20"/>
                <w:lang w:val="fr-FR"/>
              </w:rPr>
            </w:pPr>
            <w:r w:rsidRPr="00C73365">
              <w:rPr>
                <w:rFonts w:asciiTheme="minorHAnsi" w:hAnsiTheme="minorHAnsi" w:cstheme="minorHAnsi"/>
                <w:szCs w:val="20"/>
                <w:lang w:val="fr-FR"/>
              </w:rPr>
              <w:t>40 000</w:t>
            </w:r>
          </w:p>
        </w:tc>
        <w:tc>
          <w:tcPr>
            <w:tcW w:w="1250" w:type="pct"/>
            <w:vAlign w:val="center"/>
          </w:tcPr>
          <w:p w:rsidR="00B740A8" w:rsidRPr="00C73365" w:rsidRDefault="00B740A8" w:rsidP="00D1541A">
            <w:pPr>
              <w:spacing w:line="264" w:lineRule="auto"/>
              <w:jc w:val="right"/>
              <w:rPr>
                <w:rFonts w:asciiTheme="minorHAnsi" w:hAnsiTheme="minorHAnsi" w:cstheme="minorHAnsi"/>
                <w:szCs w:val="20"/>
                <w:lang w:val="fr-FR"/>
              </w:rPr>
            </w:pPr>
            <w:r w:rsidRPr="00C73365">
              <w:rPr>
                <w:rFonts w:asciiTheme="minorHAnsi" w:hAnsiTheme="minorHAnsi" w:cstheme="minorHAnsi"/>
                <w:szCs w:val="20"/>
                <w:lang w:val="fr-FR"/>
              </w:rPr>
              <w:t>0,01€</w:t>
            </w:r>
          </w:p>
        </w:tc>
      </w:tr>
      <w:tr w:rsidR="00B740A8" w:rsidRPr="00574C55" w:rsidTr="00D1541A">
        <w:trPr>
          <w:jc w:val="center"/>
        </w:trPr>
        <w:tc>
          <w:tcPr>
            <w:tcW w:w="1250" w:type="pct"/>
            <w:vAlign w:val="center"/>
          </w:tcPr>
          <w:p w:rsidR="00B740A8" w:rsidRPr="00C73365" w:rsidRDefault="00B740A8" w:rsidP="00D1541A">
            <w:pPr>
              <w:spacing w:line="264" w:lineRule="auto"/>
              <w:rPr>
                <w:rFonts w:asciiTheme="minorHAnsi" w:hAnsiTheme="minorHAnsi" w:cstheme="minorHAnsi"/>
                <w:b/>
                <w:szCs w:val="20"/>
                <w:lang w:val="fr-FR"/>
              </w:rPr>
            </w:pPr>
            <w:r w:rsidRPr="00C73365">
              <w:rPr>
                <w:rFonts w:asciiTheme="minorHAnsi" w:hAnsiTheme="minorHAnsi" w:cstheme="minorHAnsi"/>
                <w:b/>
                <w:szCs w:val="20"/>
                <w:lang w:val="fr-FR"/>
              </w:rPr>
              <w:t>Total</w:t>
            </w:r>
          </w:p>
        </w:tc>
        <w:tc>
          <w:tcPr>
            <w:tcW w:w="1250" w:type="pct"/>
            <w:vAlign w:val="center"/>
          </w:tcPr>
          <w:p w:rsidR="00B740A8" w:rsidRPr="00C73365" w:rsidRDefault="00B740A8" w:rsidP="00D1541A">
            <w:pPr>
              <w:spacing w:line="264" w:lineRule="auto"/>
              <w:rPr>
                <w:rFonts w:asciiTheme="minorHAnsi" w:hAnsiTheme="minorHAnsi" w:cstheme="minorHAnsi"/>
                <w:szCs w:val="20"/>
                <w:lang w:val="fr-FR"/>
              </w:rPr>
            </w:pPr>
          </w:p>
        </w:tc>
        <w:tc>
          <w:tcPr>
            <w:tcW w:w="1250" w:type="pct"/>
            <w:vAlign w:val="center"/>
          </w:tcPr>
          <w:p w:rsidR="00B740A8" w:rsidRPr="00C73365" w:rsidRDefault="00B740A8" w:rsidP="00D1541A">
            <w:pPr>
              <w:spacing w:line="264" w:lineRule="auto"/>
              <w:jc w:val="right"/>
              <w:rPr>
                <w:rFonts w:asciiTheme="minorHAnsi" w:hAnsiTheme="minorHAnsi" w:cstheme="minorHAnsi"/>
                <w:b/>
                <w:szCs w:val="20"/>
                <w:lang w:val="fr-FR"/>
              </w:rPr>
            </w:pPr>
            <w:r w:rsidRPr="00C73365">
              <w:rPr>
                <w:rFonts w:asciiTheme="minorHAnsi" w:hAnsiTheme="minorHAnsi" w:cstheme="minorHAnsi"/>
                <w:b/>
                <w:szCs w:val="20"/>
                <w:lang w:val="fr-FR"/>
              </w:rPr>
              <w:t>40 000</w:t>
            </w:r>
          </w:p>
        </w:tc>
        <w:tc>
          <w:tcPr>
            <w:tcW w:w="1250" w:type="pct"/>
            <w:vAlign w:val="center"/>
          </w:tcPr>
          <w:p w:rsidR="00B740A8" w:rsidRPr="00C73365" w:rsidRDefault="00B740A8" w:rsidP="00D1541A">
            <w:pPr>
              <w:spacing w:line="264" w:lineRule="auto"/>
              <w:rPr>
                <w:rFonts w:asciiTheme="minorHAnsi" w:hAnsiTheme="minorHAnsi" w:cstheme="minorHAnsi"/>
                <w:szCs w:val="20"/>
                <w:lang w:val="fr-FR"/>
              </w:rPr>
            </w:pPr>
          </w:p>
        </w:tc>
      </w:tr>
    </w:tbl>
    <w:p w:rsidR="00B740A8" w:rsidRPr="00C73365" w:rsidRDefault="00B740A8" w:rsidP="00B740A8">
      <w:pPr>
        <w:rPr>
          <w:rFonts w:asciiTheme="minorHAnsi" w:hAnsiTheme="minorHAnsi" w:cstheme="minorHAnsi"/>
          <w:szCs w:val="20"/>
          <w:lang w:val="fr-FR"/>
        </w:rPr>
      </w:pPr>
    </w:p>
    <w:p w:rsidR="00B740A8" w:rsidRPr="00C73365" w:rsidRDefault="00B740A8" w:rsidP="00B740A8">
      <w:pPr>
        <w:rPr>
          <w:rFonts w:asciiTheme="minorHAnsi" w:hAnsiTheme="minorHAnsi" w:cstheme="minorHAnsi"/>
          <w:szCs w:val="20"/>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Tableau 6 : Actions attribuées gratuitement durant l’exercice à chaque mandataire social</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Néant.</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Tableau 7 : Actions attribuées gratuitement devenues disponibles pour chaque mandataire social</w:t>
      </w:r>
    </w:p>
    <w:p w:rsidR="00B740A8"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Néant.</w:t>
      </w:r>
    </w:p>
    <w:p w:rsidR="004834A9" w:rsidRPr="00C73365" w:rsidRDefault="004834A9" w:rsidP="004572A0">
      <w:pPr>
        <w:pStyle w:val="BodyText"/>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Tableau 8 : Historique des attributions d’options de souscriptions ou d’achat d’actions – Informations sur les bons de souscription d’actions (BSA) et les bons de souscription de parts de créateur d’entreprise (</w:t>
      </w:r>
      <w:r w:rsidR="00656913">
        <w:rPr>
          <w:rFonts w:asciiTheme="minorHAnsi" w:hAnsiTheme="minorHAnsi" w:cstheme="minorHAnsi"/>
          <w:b/>
          <w:lang w:val="fr-FR"/>
        </w:rPr>
        <w:t>BCE</w:t>
      </w:r>
      <w:r w:rsidRPr="00C73365">
        <w:rPr>
          <w:rFonts w:asciiTheme="minorHAnsi" w:hAnsiTheme="minorHAnsi" w:cstheme="minorHAnsi"/>
          <w:b/>
          <w:lang w:val="fr-FR"/>
        </w:rPr>
        <w:t>) attribués aux mandataires sociaux</w:t>
      </w:r>
    </w:p>
    <w:p w:rsidR="00B740A8" w:rsidRPr="00C73365" w:rsidRDefault="00B740A8" w:rsidP="00710D60">
      <w:pPr>
        <w:pStyle w:val="BodyText"/>
        <w:rPr>
          <w:rFonts w:asciiTheme="minorHAnsi" w:hAnsiTheme="minorHAnsi" w:cstheme="minorHAnsi"/>
          <w:lang w:val="fr-FR"/>
        </w:rPr>
      </w:pPr>
      <w:r w:rsidRPr="00C73365">
        <w:rPr>
          <w:rFonts w:asciiTheme="minorHAnsi" w:hAnsiTheme="minorHAnsi" w:cstheme="minorHAnsi"/>
          <w:lang w:val="fr-FR"/>
        </w:rPr>
        <w:lastRenderedPageBreak/>
        <w:t>Se reporter aux tableaux figurant au paragraphe 21.1.5</w:t>
      </w:r>
      <w:r w:rsidR="00CA545C">
        <w:rPr>
          <w:rFonts w:asciiTheme="minorHAnsi" w:hAnsiTheme="minorHAnsi" w:cstheme="minorHAnsi"/>
          <w:lang w:val="fr-FR"/>
        </w:rPr>
        <w:t xml:space="preserve"> (</w:t>
      </w:r>
      <w:r w:rsidR="00CA545C" w:rsidRPr="00CA545C">
        <w:rPr>
          <w:rFonts w:asciiTheme="minorHAnsi" w:hAnsiTheme="minorHAnsi" w:cstheme="minorHAnsi"/>
          <w:lang w:val="fr-FR"/>
        </w:rPr>
        <w:t>Valeurs mobilières convertibles, échangeables ou assorties de bons de souscription</w:t>
      </w:r>
      <w:r w:rsidR="00CA545C">
        <w:rPr>
          <w:rFonts w:asciiTheme="minorHAnsi" w:hAnsiTheme="minorHAnsi" w:cstheme="minorHAnsi"/>
          <w:lang w:val="fr-FR"/>
        </w:rPr>
        <w:t>)</w:t>
      </w:r>
      <w:r w:rsidRPr="00C73365">
        <w:rPr>
          <w:rFonts w:asciiTheme="minorHAnsi" w:hAnsiTheme="minorHAnsi" w:cstheme="minorHAnsi"/>
          <w:lang w:val="fr-FR"/>
        </w:rPr>
        <w:t>.</w:t>
      </w:r>
    </w:p>
    <w:p w:rsidR="00B740A8" w:rsidRPr="00C73365" w:rsidRDefault="00B740A8" w:rsidP="00B740A8">
      <w:pPr>
        <w:spacing w:before="120"/>
        <w:contextualSpacing/>
        <w:rPr>
          <w:rFonts w:asciiTheme="minorHAnsi" w:hAnsiTheme="minorHAnsi" w:cstheme="minorHAnsi"/>
          <w:b/>
          <w:color w:val="7030A0"/>
          <w:szCs w:val="20"/>
          <w:lang w:val="fr-FR"/>
        </w:rPr>
      </w:pPr>
    </w:p>
    <w:p w:rsidR="00B740A8" w:rsidRPr="00C73365" w:rsidRDefault="00B740A8" w:rsidP="004572A0">
      <w:pPr>
        <w:pStyle w:val="BodyText"/>
        <w:rPr>
          <w:rFonts w:asciiTheme="minorHAnsi" w:hAnsiTheme="minorHAnsi" w:cstheme="minorHAnsi"/>
          <w:b/>
          <w:lang w:val="fr-FR"/>
        </w:rPr>
      </w:pPr>
      <w:bookmarkStart w:id="778" w:name="_Toc401594109"/>
      <w:r w:rsidRPr="00C73365">
        <w:rPr>
          <w:rFonts w:asciiTheme="minorHAnsi" w:hAnsiTheme="minorHAnsi" w:cstheme="minorHAnsi"/>
          <w:b/>
          <w:lang w:val="fr-FR"/>
        </w:rPr>
        <w:t xml:space="preserve">Tableau N°9 : Options de souscription ou d’achat d’actions consenties aux dix premiers salariés non mandataires sociaux attributaires et options levées par ces derniers au cours de l’exercice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1"/>
        <w:gridCol w:w="1415"/>
        <w:gridCol w:w="1077"/>
        <w:gridCol w:w="1077"/>
        <w:gridCol w:w="1077"/>
        <w:gridCol w:w="1077"/>
        <w:gridCol w:w="1075"/>
      </w:tblGrid>
      <w:tr w:rsidR="00B740A8" w:rsidRPr="00C73365" w:rsidTr="00D1541A">
        <w:trPr>
          <w:trHeight w:val="175"/>
          <w:jc w:val="center"/>
        </w:trPr>
        <w:tc>
          <w:tcPr>
            <w:tcW w:w="1470" w:type="pct"/>
            <w:vMerge w:val="restart"/>
            <w:tcBorders>
              <w:top w:val="single" w:sz="4" w:space="0" w:color="7030A0"/>
              <w:left w:val="single" w:sz="4" w:space="0" w:color="7030A0"/>
              <w:right w:val="single" w:sz="4" w:space="0" w:color="7030A0"/>
            </w:tcBorders>
            <w:shd w:val="clear" w:color="auto" w:fill="FFFFFF"/>
            <w:hideMark/>
          </w:tcPr>
          <w:p w:rsidR="00B740A8" w:rsidRPr="00C73365" w:rsidRDefault="00B740A8" w:rsidP="00D1541A">
            <w:pP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Options de souscription ou d’achat d’actions, </w:t>
            </w:r>
            <w:r w:rsidR="00656913">
              <w:rPr>
                <w:rFonts w:asciiTheme="minorHAnsi" w:hAnsiTheme="minorHAnsi" w:cstheme="minorHAnsi"/>
                <w:b/>
                <w:bCs/>
                <w:color w:val="000000"/>
                <w:szCs w:val="20"/>
                <w:lang w:val="fr-FR" w:eastAsia="fr-FR"/>
              </w:rPr>
              <w:t>BCE</w:t>
            </w:r>
            <w:r w:rsidRPr="00C73365">
              <w:rPr>
                <w:rFonts w:asciiTheme="minorHAnsi" w:hAnsiTheme="minorHAnsi" w:cstheme="minorHAnsi"/>
                <w:b/>
                <w:bCs/>
                <w:color w:val="000000"/>
                <w:szCs w:val="20"/>
                <w:lang w:val="fr-FR" w:eastAsia="fr-FR"/>
              </w:rPr>
              <w:t xml:space="preserve"> et BSA consentis aux dix premiers salariés non mandataires sociaux et attributaires et options, </w:t>
            </w:r>
            <w:r w:rsidR="00656913">
              <w:rPr>
                <w:rFonts w:asciiTheme="minorHAnsi" w:hAnsiTheme="minorHAnsi" w:cstheme="minorHAnsi"/>
                <w:b/>
                <w:bCs/>
                <w:color w:val="000000"/>
                <w:szCs w:val="20"/>
                <w:lang w:val="fr-FR" w:eastAsia="fr-FR"/>
              </w:rPr>
              <w:t>BCE</w:t>
            </w:r>
            <w:r w:rsidRPr="00C73365">
              <w:rPr>
                <w:rFonts w:asciiTheme="minorHAnsi" w:hAnsiTheme="minorHAnsi" w:cstheme="minorHAnsi"/>
                <w:b/>
                <w:bCs/>
                <w:color w:val="000000"/>
                <w:szCs w:val="20"/>
                <w:lang w:val="fr-FR" w:eastAsia="fr-FR"/>
              </w:rPr>
              <w:t xml:space="preserve"> et BSA levés par ces derniers</w:t>
            </w:r>
          </w:p>
        </w:tc>
        <w:tc>
          <w:tcPr>
            <w:tcW w:w="735" w:type="pct"/>
            <w:tcBorders>
              <w:top w:val="single" w:sz="4" w:space="0" w:color="7030A0"/>
              <w:left w:val="single" w:sz="4" w:space="0" w:color="7030A0"/>
              <w:bottom w:val="nil"/>
              <w:right w:val="single" w:sz="4" w:space="0" w:color="7030A0"/>
            </w:tcBorders>
            <w:noWrap/>
            <w:hideMark/>
          </w:tcPr>
          <w:p w:rsidR="00B740A8" w:rsidRPr="00C73365" w:rsidRDefault="00B740A8" w:rsidP="00D1541A">
            <w:pPr>
              <w:rPr>
                <w:rFonts w:asciiTheme="minorHAnsi" w:hAnsiTheme="minorHAnsi" w:cstheme="minorHAnsi"/>
                <w:b/>
                <w:color w:val="000000"/>
                <w:highlight w:val="yellow"/>
                <w:lang w:val="fr-FR"/>
              </w:rPr>
            </w:pPr>
            <w:r w:rsidRPr="00C73365">
              <w:rPr>
                <w:rFonts w:asciiTheme="minorHAnsi" w:hAnsiTheme="minorHAnsi" w:cstheme="minorHAnsi"/>
                <w:b/>
                <w:bCs/>
                <w:color w:val="000000"/>
                <w:szCs w:val="20"/>
                <w:lang w:val="fr-FR" w:eastAsia="fr-FR"/>
              </w:rPr>
              <w:t xml:space="preserve">Nombre total d’options, </w:t>
            </w:r>
            <w:r w:rsidR="00656913">
              <w:rPr>
                <w:rFonts w:asciiTheme="minorHAnsi" w:hAnsiTheme="minorHAnsi" w:cstheme="minorHAnsi"/>
                <w:b/>
                <w:bCs/>
                <w:color w:val="000000"/>
                <w:szCs w:val="20"/>
                <w:lang w:val="fr-FR" w:eastAsia="fr-FR"/>
              </w:rPr>
              <w:t>BCE</w:t>
            </w:r>
            <w:r w:rsidRPr="00C73365">
              <w:rPr>
                <w:rFonts w:asciiTheme="minorHAnsi" w:hAnsiTheme="minorHAnsi" w:cstheme="minorHAnsi"/>
                <w:b/>
                <w:bCs/>
                <w:color w:val="000000"/>
                <w:szCs w:val="20"/>
                <w:lang w:val="fr-FR" w:eastAsia="fr-FR"/>
              </w:rPr>
              <w:t xml:space="preserve"> et BSA attribués / d’actions souscrites ou achetées</w:t>
            </w:r>
          </w:p>
        </w:tc>
        <w:tc>
          <w:tcPr>
            <w:tcW w:w="559" w:type="pct"/>
            <w:vMerge w:val="restart"/>
            <w:tcBorders>
              <w:top w:val="single" w:sz="4" w:space="0" w:color="7030A0"/>
              <w:left w:val="single" w:sz="4" w:space="0" w:color="7030A0"/>
              <w:right w:val="single" w:sz="4" w:space="0" w:color="7030A0"/>
            </w:tcBorders>
            <w:shd w:val="clear" w:color="auto" w:fill="FFFFFF"/>
            <w:hideMark/>
          </w:tcPr>
          <w:p w:rsidR="00B740A8" w:rsidRPr="00C73365" w:rsidRDefault="00B740A8" w:rsidP="00D1541A">
            <w:pPr>
              <w:jc w:val="center"/>
              <w:rPr>
                <w:rFonts w:asciiTheme="minorHAnsi" w:hAnsiTheme="minorHAnsi" w:cstheme="minorHAnsi"/>
                <w:b/>
                <w:color w:val="000000"/>
                <w:lang w:val="fr-FR"/>
              </w:rPr>
            </w:pPr>
            <w:r w:rsidRPr="00C73365">
              <w:rPr>
                <w:rFonts w:asciiTheme="minorHAnsi" w:hAnsiTheme="minorHAnsi" w:cstheme="minorHAnsi"/>
                <w:b/>
                <w:color w:val="000000"/>
                <w:lang w:val="fr-FR"/>
              </w:rPr>
              <w:t>Prix moyen pondéré</w:t>
            </w:r>
          </w:p>
        </w:tc>
        <w:tc>
          <w:tcPr>
            <w:tcW w:w="559" w:type="pct"/>
            <w:tcBorders>
              <w:top w:val="single" w:sz="4" w:space="0" w:color="7030A0"/>
              <w:left w:val="single" w:sz="4" w:space="0" w:color="7030A0"/>
              <w:bottom w:val="nil"/>
              <w:right w:val="single" w:sz="4" w:space="0" w:color="7030A0"/>
            </w:tcBorders>
            <w:noWrap/>
            <w:hideMark/>
          </w:tcPr>
          <w:p w:rsidR="00B740A8" w:rsidRPr="00C73365" w:rsidRDefault="00B740A8" w:rsidP="00D1541A">
            <w:pPr>
              <w:jc w:val="center"/>
              <w:rPr>
                <w:rFonts w:asciiTheme="minorHAnsi" w:hAnsiTheme="minorHAnsi" w:cstheme="minorHAnsi"/>
                <w:b/>
                <w:color w:val="000000"/>
                <w:lang w:val="fr-FR"/>
              </w:rPr>
            </w:pPr>
            <w:r w:rsidRPr="00C73365">
              <w:rPr>
                <w:rFonts w:asciiTheme="minorHAnsi" w:hAnsiTheme="minorHAnsi" w:cstheme="minorHAnsi"/>
                <w:b/>
                <w:color w:val="000000"/>
                <w:lang w:val="fr-FR"/>
              </w:rPr>
              <w:t>BCE 2017-1</w:t>
            </w:r>
          </w:p>
          <w:p w:rsidR="00B740A8" w:rsidRPr="00C73365" w:rsidRDefault="00B740A8" w:rsidP="00D1541A">
            <w:pPr>
              <w:jc w:val="center"/>
              <w:rPr>
                <w:rFonts w:asciiTheme="minorHAnsi" w:hAnsiTheme="minorHAnsi" w:cstheme="minorHAnsi"/>
                <w:b/>
                <w:color w:val="000000"/>
                <w:lang w:val="fr-FR"/>
              </w:rPr>
            </w:pPr>
          </w:p>
        </w:tc>
        <w:tc>
          <w:tcPr>
            <w:tcW w:w="559" w:type="pct"/>
            <w:vMerge w:val="restart"/>
            <w:tcBorders>
              <w:left w:val="single" w:sz="4" w:space="0" w:color="7030A0"/>
              <w:right w:val="single" w:sz="4" w:space="0" w:color="7030A0"/>
            </w:tcBorders>
            <w:shd w:val="clear" w:color="auto" w:fill="FFFFFF"/>
            <w:hideMark/>
          </w:tcPr>
          <w:p w:rsidR="00B740A8" w:rsidRPr="00C73365" w:rsidRDefault="00B740A8" w:rsidP="00D1541A">
            <w:pPr>
              <w:jc w:val="center"/>
              <w:rPr>
                <w:rFonts w:asciiTheme="minorHAnsi" w:hAnsiTheme="minorHAnsi" w:cstheme="minorHAnsi"/>
                <w:b/>
                <w:color w:val="000000"/>
                <w:lang w:val="fr-FR"/>
              </w:rPr>
            </w:pPr>
            <w:r w:rsidRPr="00C73365">
              <w:rPr>
                <w:rFonts w:asciiTheme="minorHAnsi" w:hAnsiTheme="minorHAnsi" w:cstheme="minorHAnsi"/>
                <w:b/>
                <w:color w:val="000000"/>
                <w:lang w:val="fr-FR"/>
              </w:rPr>
              <w:t>BCE 2017-3</w:t>
            </w:r>
          </w:p>
        </w:tc>
        <w:tc>
          <w:tcPr>
            <w:tcW w:w="559" w:type="pct"/>
            <w:tcBorders>
              <w:left w:val="single" w:sz="4" w:space="0" w:color="7030A0"/>
              <w:bottom w:val="nil"/>
              <w:right w:val="single" w:sz="4" w:space="0" w:color="7030A0"/>
            </w:tcBorders>
            <w:shd w:val="clear" w:color="auto" w:fill="FFFFFF"/>
          </w:tcPr>
          <w:p w:rsidR="00B740A8" w:rsidRPr="00C73365" w:rsidRDefault="00B740A8" w:rsidP="00D1541A">
            <w:pPr>
              <w:jc w:val="center"/>
              <w:rPr>
                <w:rFonts w:asciiTheme="minorHAnsi" w:hAnsiTheme="minorHAnsi" w:cstheme="minorHAnsi"/>
                <w:b/>
                <w:color w:val="000000"/>
                <w:lang w:val="fr-FR"/>
              </w:rPr>
            </w:pPr>
            <w:r w:rsidRPr="00C73365">
              <w:rPr>
                <w:rFonts w:asciiTheme="minorHAnsi" w:hAnsiTheme="minorHAnsi" w:cstheme="minorHAnsi"/>
                <w:b/>
                <w:color w:val="000000"/>
                <w:lang w:val="fr-FR"/>
              </w:rPr>
              <w:t>BCE 2017-4</w:t>
            </w:r>
          </w:p>
        </w:tc>
        <w:tc>
          <w:tcPr>
            <w:tcW w:w="558" w:type="pct"/>
            <w:tcBorders>
              <w:left w:val="single" w:sz="4" w:space="0" w:color="7030A0"/>
              <w:bottom w:val="nil"/>
              <w:right w:val="single" w:sz="4" w:space="0" w:color="7030A0"/>
            </w:tcBorders>
            <w:shd w:val="clear" w:color="auto" w:fill="FFFFFF"/>
          </w:tcPr>
          <w:p w:rsidR="00B740A8" w:rsidRPr="00C73365" w:rsidRDefault="00B740A8" w:rsidP="00D1541A">
            <w:pPr>
              <w:jc w:val="center"/>
              <w:rPr>
                <w:rFonts w:asciiTheme="minorHAnsi" w:hAnsiTheme="minorHAnsi" w:cstheme="minorHAnsi"/>
                <w:b/>
                <w:color w:val="000000"/>
                <w:lang w:val="fr-FR"/>
              </w:rPr>
            </w:pPr>
            <w:r w:rsidRPr="00C73365">
              <w:rPr>
                <w:rFonts w:asciiTheme="minorHAnsi" w:hAnsiTheme="minorHAnsi" w:cstheme="minorHAnsi"/>
                <w:b/>
                <w:color w:val="000000"/>
                <w:lang w:val="fr-FR"/>
              </w:rPr>
              <w:t>BCE 2017-5</w:t>
            </w:r>
          </w:p>
        </w:tc>
      </w:tr>
      <w:tr w:rsidR="00B740A8" w:rsidRPr="00C73365" w:rsidTr="00D1541A">
        <w:trPr>
          <w:trHeight w:val="175"/>
          <w:jc w:val="center"/>
        </w:trPr>
        <w:tc>
          <w:tcPr>
            <w:tcW w:w="1470" w:type="pct"/>
            <w:vMerge/>
            <w:tcBorders>
              <w:left w:val="single" w:sz="4" w:space="0" w:color="7030A0"/>
              <w:bottom w:val="single" w:sz="4" w:space="0" w:color="7030A0"/>
              <w:right w:val="single" w:sz="4" w:space="0" w:color="7030A0"/>
            </w:tcBorders>
            <w:hideMark/>
          </w:tcPr>
          <w:p w:rsidR="00B740A8" w:rsidRPr="00C73365" w:rsidRDefault="00B740A8" w:rsidP="00D1541A">
            <w:pPr>
              <w:rPr>
                <w:rFonts w:asciiTheme="minorHAnsi" w:hAnsiTheme="minorHAnsi" w:cstheme="minorHAnsi"/>
                <w:b/>
                <w:bCs/>
                <w:color w:val="000000"/>
                <w:szCs w:val="20"/>
                <w:lang w:val="fr-FR" w:eastAsia="fr-FR"/>
              </w:rPr>
            </w:pPr>
          </w:p>
        </w:tc>
        <w:tc>
          <w:tcPr>
            <w:tcW w:w="735" w:type="pct"/>
            <w:tcBorders>
              <w:top w:val="nil"/>
              <w:left w:val="single" w:sz="4" w:space="0" w:color="7030A0"/>
              <w:bottom w:val="single" w:sz="4" w:space="0" w:color="7030A0"/>
              <w:right w:val="single" w:sz="4" w:space="0" w:color="7030A0"/>
            </w:tcBorders>
            <w:shd w:val="clear" w:color="auto" w:fill="FFFFFF"/>
            <w:hideMark/>
          </w:tcPr>
          <w:p w:rsidR="00B740A8" w:rsidRPr="00C73365" w:rsidRDefault="00B740A8" w:rsidP="00D1541A">
            <w:pPr>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559" w:type="pct"/>
            <w:vMerge/>
            <w:tcBorders>
              <w:left w:val="single" w:sz="4" w:space="0" w:color="7030A0"/>
              <w:bottom w:val="single" w:sz="4" w:space="0" w:color="7030A0"/>
              <w:right w:val="single" w:sz="4" w:space="0" w:color="7030A0"/>
            </w:tcBorders>
            <w:hideMark/>
          </w:tcPr>
          <w:p w:rsidR="00B740A8" w:rsidRPr="00C73365" w:rsidRDefault="00B740A8" w:rsidP="00D1541A">
            <w:pPr>
              <w:rPr>
                <w:rFonts w:asciiTheme="minorHAnsi" w:hAnsiTheme="minorHAnsi" w:cstheme="minorHAnsi"/>
                <w:b/>
                <w:color w:val="000000"/>
                <w:lang w:val="fr-FR"/>
              </w:rPr>
            </w:pPr>
          </w:p>
        </w:tc>
        <w:tc>
          <w:tcPr>
            <w:tcW w:w="559" w:type="pct"/>
            <w:tcBorders>
              <w:top w:val="nil"/>
              <w:left w:val="single" w:sz="4" w:space="0" w:color="7030A0"/>
              <w:bottom w:val="single" w:sz="4" w:space="0" w:color="7030A0"/>
              <w:right w:val="single" w:sz="4" w:space="0" w:color="7030A0"/>
            </w:tcBorders>
            <w:noWrap/>
            <w:hideMark/>
          </w:tcPr>
          <w:p w:rsidR="00B740A8" w:rsidRPr="00C73365" w:rsidRDefault="00B740A8" w:rsidP="00D1541A">
            <w:pPr>
              <w:rPr>
                <w:rFonts w:asciiTheme="minorHAnsi" w:hAnsiTheme="minorHAnsi" w:cstheme="minorHAnsi"/>
                <w:b/>
                <w:color w:val="000000"/>
                <w:lang w:val="fr-FR"/>
              </w:rPr>
            </w:pPr>
          </w:p>
        </w:tc>
        <w:tc>
          <w:tcPr>
            <w:tcW w:w="559" w:type="pct"/>
            <w:vMerge/>
            <w:tcBorders>
              <w:left w:val="single" w:sz="4" w:space="0" w:color="7030A0"/>
              <w:bottom w:val="single" w:sz="4" w:space="0" w:color="7030A0"/>
              <w:right w:val="single" w:sz="4" w:space="0" w:color="7030A0"/>
            </w:tcBorders>
            <w:hideMark/>
          </w:tcPr>
          <w:p w:rsidR="00B740A8" w:rsidRPr="00C73365" w:rsidRDefault="00B740A8" w:rsidP="00D1541A">
            <w:pPr>
              <w:rPr>
                <w:rFonts w:asciiTheme="minorHAnsi" w:hAnsiTheme="minorHAnsi" w:cstheme="minorHAnsi"/>
                <w:b/>
                <w:color w:val="000000"/>
                <w:lang w:val="fr-FR"/>
              </w:rPr>
            </w:pPr>
          </w:p>
        </w:tc>
        <w:tc>
          <w:tcPr>
            <w:tcW w:w="559" w:type="pct"/>
            <w:tcBorders>
              <w:top w:val="nil"/>
              <w:left w:val="single" w:sz="4" w:space="0" w:color="7030A0"/>
              <w:bottom w:val="single" w:sz="4" w:space="0" w:color="7030A0"/>
            </w:tcBorders>
          </w:tcPr>
          <w:p w:rsidR="00B740A8" w:rsidRPr="00C73365" w:rsidRDefault="00B740A8" w:rsidP="00D1541A">
            <w:pPr>
              <w:rPr>
                <w:rFonts w:asciiTheme="minorHAnsi" w:hAnsiTheme="minorHAnsi" w:cstheme="minorHAnsi"/>
                <w:b/>
                <w:color w:val="000000"/>
                <w:lang w:val="fr-FR"/>
              </w:rPr>
            </w:pPr>
          </w:p>
        </w:tc>
        <w:tc>
          <w:tcPr>
            <w:tcW w:w="558" w:type="pct"/>
            <w:tcBorders>
              <w:top w:val="nil"/>
            </w:tcBorders>
          </w:tcPr>
          <w:p w:rsidR="00B740A8" w:rsidRPr="00C73365" w:rsidRDefault="00B740A8" w:rsidP="00D1541A">
            <w:pPr>
              <w:rPr>
                <w:rFonts w:asciiTheme="minorHAnsi" w:hAnsiTheme="minorHAnsi" w:cstheme="minorHAnsi"/>
                <w:b/>
                <w:color w:val="000000"/>
                <w:lang w:val="fr-FR"/>
              </w:rPr>
            </w:pPr>
          </w:p>
        </w:tc>
      </w:tr>
      <w:tr w:rsidR="00B740A8" w:rsidRPr="00C73365" w:rsidTr="00D1541A">
        <w:trPr>
          <w:trHeight w:val="646"/>
          <w:jc w:val="center"/>
        </w:trPr>
        <w:tc>
          <w:tcPr>
            <w:tcW w:w="1470" w:type="pct"/>
            <w:tcBorders>
              <w:top w:val="single" w:sz="4" w:space="0" w:color="7030A0"/>
              <w:left w:val="single" w:sz="4" w:space="0" w:color="7030A0"/>
              <w:bottom w:val="single" w:sz="4" w:space="0" w:color="7030A0"/>
              <w:right w:val="single" w:sz="4" w:space="0" w:color="7030A0"/>
            </w:tcBorders>
            <w:shd w:val="clear" w:color="auto" w:fill="FFFFFF"/>
            <w:hideMark/>
          </w:tcPr>
          <w:p w:rsidR="00B740A8" w:rsidRPr="00C73365" w:rsidRDefault="00B740A8" w:rsidP="00AB71BE">
            <w:pPr>
              <w:autoSpaceDE w:val="0"/>
              <w:autoSpaceDN w:val="0"/>
              <w:adjustRightInd w:val="0"/>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Options consenties, du</w:t>
            </w:r>
            <w:r w:rsidR="00AB71BE">
              <w:rPr>
                <w:rFonts w:asciiTheme="minorHAnsi" w:hAnsiTheme="minorHAnsi" w:cstheme="minorHAnsi"/>
                <w:bCs/>
                <w:color w:val="000000"/>
                <w:szCs w:val="20"/>
                <w:lang w:val="fr-FR" w:eastAsia="fr-FR"/>
              </w:rPr>
              <w:t xml:space="preserve">rant l’exercice, par l’émetteur </w:t>
            </w:r>
            <w:r w:rsidRPr="00C73365">
              <w:rPr>
                <w:rFonts w:asciiTheme="minorHAnsi" w:hAnsiTheme="minorHAnsi" w:cstheme="minorHAnsi"/>
                <w:bCs/>
                <w:color w:val="000000"/>
                <w:szCs w:val="20"/>
                <w:lang w:val="fr-FR" w:eastAsia="fr-FR"/>
              </w:rPr>
              <w:t>et toute société</w:t>
            </w:r>
            <w:r w:rsidR="00AB71BE">
              <w:rPr>
                <w:rFonts w:asciiTheme="minorHAnsi" w:hAnsiTheme="minorHAnsi" w:cstheme="minorHAnsi"/>
                <w:bCs/>
                <w:color w:val="000000"/>
                <w:szCs w:val="20"/>
                <w:lang w:val="fr-FR" w:eastAsia="fr-FR"/>
              </w:rPr>
              <w:t xml:space="preserve"> comprise dans le périmètre </w:t>
            </w:r>
            <w:r w:rsidRPr="00C73365">
              <w:rPr>
                <w:rFonts w:asciiTheme="minorHAnsi" w:hAnsiTheme="minorHAnsi" w:cstheme="minorHAnsi"/>
                <w:bCs/>
                <w:color w:val="000000"/>
                <w:szCs w:val="20"/>
                <w:lang w:val="fr-FR" w:eastAsia="fr-FR"/>
              </w:rPr>
              <w:t>d’attribution d</w:t>
            </w:r>
            <w:r w:rsidR="00AB71BE">
              <w:rPr>
                <w:rFonts w:asciiTheme="minorHAnsi" w:hAnsiTheme="minorHAnsi" w:cstheme="minorHAnsi"/>
                <w:bCs/>
                <w:color w:val="000000"/>
                <w:szCs w:val="20"/>
                <w:lang w:val="fr-FR" w:eastAsia="fr-FR"/>
              </w:rPr>
              <w:t xml:space="preserve">es options, aux dix salariés de </w:t>
            </w:r>
            <w:r w:rsidRPr="00C73365">
              <w:rPr>
                <w:rFonts w:asciiTheme="minorHAnsi" w:hAnsiTheme="minorHAnsi" w:cstheme="minorHAnsi"/>
                <w:bCs/>
                <w:color w:val="000000"/>
                <w:szCs w:val="20"/>
                <w:lang w:val="fr-FR" w:eastAsia="fr-FR"/>
              </w:rPr>
              <w:t>l’émetteur et de</w:t>
            </w:r>
            <w:r w:rsidR="00AB71BE">
              <w:rPr>
                <w:rFonts w:asciiTheme="minorHAnsi" w:hAnsiTheme="minorHAnsi" w:cstheme="minorHAnsi"/>
                <w:bCs/>
                <w:color w:val="000000"/>
                <w:szCs w:val="20"/>
                <w:lang w:val="fr-FR" w:eastAsia="fr-FR"/>
              </w:rPr>
              <w:t xml:space="preserve"> toute société comprise dans ce </w:t>
            </w:r>
            <w:r w:rsidRPr="00C73365">
              <w:rPr>
                <w:rFonts w:asciiTheme="minorHAnsi" w:hAnsiTheme="minorHAnsi" w:cstheme="minorHAnsi"/>
                <w:bCs/>
                <w:color w:val="000000"/>
                <w:szCs w:val="20"/>
                <w:lang w:val="fr-FR" w:eastAsia="fr-FR"/>
              </w:rPr>
              <w:t>périmètre, dont le no</w:t>
            </w:r>
            <w:r w:rsidR="00AB71BE">
              <w:rPr>
                <w:rFonts w:asciiTheme="minorHAnsi" w:hAnsiTheme="minorHAnsi" w:cstheme="minorHAnsi"/>
                <w:bCs/>
                <w:color w:val="000000"/>
                <w:szCs w:val="20"/>
                <w:lang w:val="fr-FR" w:eastAsia="fr-FR"/>
              </w:rPr>
              <w:t xml:space="preserve">mbre d’options ainsi consenties </w:t>
            </w:r>
            <w:r w:rsidRPr="00C73365">
              <w:rPr>
                <w:rFonts w:asciiTheme="minorHAnsi" w:hAnsiTheme="minorHAnsi" w:cstheme="minorHAnsi"/>
                <w:bCs/>
                <w:color w:val="000000"/>
                <w:szCs w:val="20"/>
                <w:lang w:val="fr-FR" w:eastAsia="fr-FR"/>
              </w:rPr>
              <w:t>est le plus élevé</w:t>
            </w:r>
          </w:p>
        </w:tc>
        <w:tc>
          <w:tcPr>
            <w:tcW w:w="735" w:type="pct"/>
            <w:tcBorders>
              <w:top w:val="single" w:sz="4" w:space="0" w:color="7030A0"/>
              <w:left w:val="single" w:sz="4" w:space="0" w:color="7030A0"/>
              <w:bottom w:val="single" w:sz="4" w:space="0" w:color="7030A0"/>
              <w:right w:val="single" w:sz="4" w:space="0" w:color="7030A0"/>
            </w:tcBorders>
            <w:shd w:val="clear" w:color="auto" w:fill="FFFFFF"/>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lang w:val="fr-FR"/>
              </w:rPr>
              <w:t>303 183</w:t>
            </w:r>
          </w:p>
        </w:tc>
        <w:tc>
          <w:tcPr>
            <w:tcW w:w="559" w:type="pct"/>
            <w:tcBorders>
              <w:top w:val="single" w:sz="4" w:space="0" w:color="7030A0"/>
              <w:left w:val="single" w:sz="4" w:space="0" w:color="7030A0"/>
              <w:bottom w:val="single" w:sz="4" w:space="0" w:color="7030A0"/>
            </w:tcBorders>
            <w:shd w:val="clear" w:color="auto" w:fill="FFFFFF"/>
            <w:vAlign w:val="center"/>
            <w:hideMark/>
          </w:tcPr>
          <w:p w:rsidR="00B740A8" w:rsidRPr="00C73365" w:rsidRDefault="00B740A8" w:rsidP="00D1541A">
            <w:pPr>
              <w:jc w:val="center"/>
              <w:rPr>
                <w:rFonts w:asciiTheme="minorHAnsi" w:hAnsiTheme="minorHAnsi" w:cstheme="minorHAnsi"/>
                <w:color w:val="000000"/>
                <w:lang w:val="fr-FR"/>
              </w:rPr>
            </w:pPr>
            <w:r w:rsidRPr="00C73365">
              <w:rPr>
                <w:rFonts w:asciiTheme="minorHAnsi" w:hAnsiTheme="minorHAnsi" w:cstheme="minorHAnsi"/>
                <w:color w:val="000000"/>
                <w:lang w:val="fr-FR"/>
              </w:rPr>
              <w:t>11,14€</w:t>
            </w:r>
          </w:p>
        </w:tc>
        <w:tc>
          <w:tcPr>
            <w:tcW w:w="559" w:type="pct"/>
            <w:tcBorders>
              <w:top w:val="single" w:sz="4" w:space="0" w:color="7030A0"/>
              <w:bottom w:val="single" w:sz="4" w:space="0" w:color="7030A0"/>
              <w:right w:val="single" w:sz="4" w:space="0" w:color="7030A0"/>
            </w:tcBorders>
            <w:shd w:val="clear" w:color="auto" w:fill="FFFFFF"/>
            <w:vAlign w:val="center"/>
          </w:tcPr>
          <w:p w:rsidR="00B740A8" w:rsidRPr="00C73365" w:rsidRDefault="00B740A8" w:rsidP="00D1541A">
            <w:pPr>
              <w:jc w:val="center"/>
              <w:rPr>
                <w:rFonts w:asciiTheme="minorHAnsi" w:hAnsiTheme="minorHAnsi" w:cstheme="minorHAnsi"/>
                <w:color w:val="000000"/>
                <w:lang w:val="fr-FR"/>
              </w:rPr>
            </w:pPr>
            <w:r w:rsidRPr="00C73365">
              <w:rPr>
                <w:rFonts w:asciiTheme="minorHAnsi" w:hAnsiTheme="minorHAnsi" w:cstheme="minorHAnsi"/>
                <w:color w:val="000000"/>
                <w:lang w:val="fr-FR"/>
              </w:rPr>
              <w:t>67 374</w:t>
            </w:r>
          </w:p>
        </w:tc>
        <w:tc>
          <w:tcPr>
            <w:tcW w:w="559" w:type="pct"/>
            <w:tcBorders>
              <w:top w:val="single" w:sz="4" w:space="0" w:color="7030A0"/>
              <w:left w:val="single" w:sz="4" w:space="0" w:color="7030A0"/>
              <w:bottom w:val="single" w:sz="4" w:space="0" w:color="7030A0"/>
              <w:right w:val="single" w:sz="4" w:space="0" w:color="7030A0"/>
            </w:tcBorders>
            <w:shd w:val="clear" w:color="auto" w:fill="FFFFFF"/>
            <w:vAlign w:val="center"/>
          </w:tcPr>
          <w:p w:rsidR="00B740A8" w:rsidRPr="00C73365" w:rsidRDefault="00B740A8" w:rsidP="00D1541A">
            <w:pPr>
              <w:jc w:val="center"/>
              <w:rPr>
                <w:rFonts w:asciiTheme="minorHAnsi" w:hAnsiTheme="minorHAnsi" w:cstheme="minorHAnsi"/>
                <w:color w:val="000000"/>
                <w:lang w:val="fr-FR"/>
              </w:rPr>
            </w:pPr>
            <w:r w:rsidRPr="00C73365">
              <w:rPr>
                <w:rFonts w:asciiTheme="minorHAnsi" w:hAnsiTheme="minorHAnsi" w:cstheme="minorHAnsi"/>
                <w:color w:val="000000"/>
                <w:lang w:val="fr-FR"/>
              </w:rPr>
              <w:t>101 061</w:t>
            </w:r>
          </w:p>
        </w:tc>
        <w:tc>
          <w:tcPr>
            <w:tcW w:w="559" w:type="pct"/>
            <w:tcBorders>
              <w:top w:val="single" w:sz="4" w:space="0" w:color="7030A0"/>
              <w:left w:val="single" w:sz="4" w:space="0" w:color="7030A0"/>
              <w:bottom w:val="single" w:sz="4" w:space="0" w:color="7030A0"/>
              <w:right w:val="single" w:sz="4" w:space="0" w:color="7030A0"/>
            </w:tcBorders>
            <w:shd w:val="clear" w:color="auto" w:fill="FFFFFF"/>
            <w:vAlign w:val="center"/>
          </w:tcPr>
          <w:p w:rsidR="00B740A8" w:rsidRPr="00C73365" w:rsidRDefault="00B740A8" w:rsidP="00D1541A">
            <w:pPr>
              <w:jc w:val="center"/>
              <w:rPr>
                <w:rFonts w:asciiTheme="minorHAnsi" w:hAnsiTheme="minorHAnsi" w:cstheme="minorHAnsi"/>
                <w:color w:val="000000"/>
                <w:lang w:val="fr-FR"/>
              </w:rPr>
            </w:pPr>
            <w:r w:rsidRPr="00C73365">
              <w:rPr>
                <w:rFonts w:asciiTheme="minorHAnsi" w:hAnsiTheme="minorHAnsi" w:cstheme="minorHAnsi"/>
                <w:color w:val="000000"/>
                <w:lang w:val="fr-FR"/>
              </w:rPr>
              <w:t>67 374</w:t>
            </w:r>
          </w:p>
        </w:tc>
        <w:tc>
          <w:tcPr>
            <w:tcW w:w="558" w:type="pct"/>
            <w:tcBorders>
              <w:left w:val="single" w:sz="4" w:space="0" w:color="7030A0"/>
              <w:bottom w:val="single" w:sz="4" w:space="0" w:color="7030A0"/>
              <w:right w:val="single" w:sz="4" w:space="0" w:color="7030A0"/>
            </w:tcBorders>
            <w:shd w:val="clear" w:color="auto" w:fill="FFFFFF"/>
            <w:vAlign w:val="center"/>
          </w:tcPr>
          <w:p w:rsidR="00B740A8" w:rsidRPr="00C73365" w:rsidRDefault="00B740A8" w:rsidP="00D1541A">
            <w:pPr>
              <w:jc w:val="center"/>
              <w:rPr>
                <w:rFonts w:asciiTheme="minorHAnsi" w:hAnsiTheme="minorHAnsi" w:cstheme="minorHAnsi"/>
                <w:color w:val="000000"/>
                <w:lang w:val="fr-FR"/>
              </w:rPr>
            </w:pPr>
            <w:r w:rsidRPr="00C73365">
              <w:rPr>
                <w:rFonts w:asciiTheme="minorHAnsi" w:hAnsiTheme="minorHAnsi" w:cstheme="minorHAnsi"/>
                <w:color w:val="000000"/>
                <w:lang w:val="fr-FR"/>
              </w:rPr>
              <w:t>67 374</w:t>
            </w:r>
          </w:p>
        </w:tc>
      </w:tr>
      <w:tr w:rsidR="00B740A8" w:rsidRPr="00C73365" w:rsidTr="00D1541A">
        <w:trPr>
          <w:trHeight w:hRule="exact" w:val="2384"/>
          <w:jc w:val="center"/>
        </w:trPr>
        <w:tc>
          <w:tcPr>
            <w:tcW w:w="1470" w:type="pct"/>
            <w:tcBorders>
              <w:top w:val="single" w:sz="4" w:space="0" w:color="7030A0"/>
              <w:bottom w:val="single" w:sz="4" w:space="0" w:color="7030A0"/>
              <w:right w:val="single" w:sz="4" w:space="0" w:color="7030A0"/>
            </w:tcBorders>
            <w:shd w:val="clear" w:color="auto" w:fill="FFFFFF"/>
            <w:hideMark/>
          </w:tcPr>
          <w:p w:rsidR="00B740A8" w:rsidRPr="00C73365" w:rsidRDefault="00B740A8" w:rsidP="00AB71BE">
            <w:pPr>
              <w:autoSpaceDE w:val="0"/>
              <w:autoSpaceDN w:val="0"/>
              <w:adjustRightInd w:val="0"/>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Options détenues </w:t>
            </w:r>
            <w:r w:rsidR="00AB71BE">
              <w:rPr>
                <w:rFonts w:asciiTheme="minorHAnsi" w:hAnsiTheme="minorHAnsi" w:cstheme="minorHAnsi"/>
                <w:bCs/>
                <w:color w:val="000000"/>
                <w:szCs w:val="20"/>
                <w:lang w:val="fr-FR" w:eastAsia="fr-FR"/>
              </w:rPr>
              <w:t xml:space="preserve">sur l’émetteur et les sociétés </w:t>
            </w:r>
            <w:r w:rsidRPr="00C73365">
              <w:rPr>
                <w:rFonts w:asciiTheme="minorHAnsi" w:hAnsiTheme="minorHAnsi" w:cstheme="minorHAnsi"/>
                <w:bCs/>
                <w:color w:val="000000"/>
                <w:szCs w:val="20"/>
                <w:lang w:val="fr-FR" w:eastAsia="fr-FR"/>
              </w:rPr>
              <w:t>visées précédemment,</w:t>
            </w:r>
            <w:r w:rsidR="00AB71BE">
              <w:rPr>
                <w:rFonts w:asciiTheme="minorHAnsi" w:hAnsiTheme="minorHAnsi" w:cstheme="minorHAnsi"/>
                <w:bCs/>
                <w:color w:val="000000"/>
                <w:szCs w:val="20"/>
                <w:lang w:val="fr-FR" w:eastAsia="fr-FR"/>
              </w:rPr>
              <w:t xml:space="preserve"> levées, durant l’exercice, par </w:t>
            </w:r>
            <w:r w:rsidRPr="00C73365">
              <w:rPr>
                <w:rFonts w:asciiTheme="minorHAnsi" w:hAnsiTheme="minorHAnsi" w:cstheme="minorHAnsi"/>
                <w:bCs/>
                <w:color w:val="000000"/>
                <w:szCs w:val="20"/>
                <w:lang w:val="fr-FR" w:eastAsia="fr-FR"/>
              </w:rPr>
              <w:t>les dix salariés de l’ém</w:t>
            </w:r>
            <w:r w:rsidR="00AB71BE">
              <w:rPr>
                <w:rFonts w:asciiTheme="minorHAnsi" w:hAnsiTheme="minorHAnsi" w:cstheme="minorHAnsi"/>
                <w:bCs/>
                <w:color w:val="000000"/>
                <w:szCs w:val="20"/>
                <w:lang w:val="fr-FR" w:eastAsia="fr-FR"/>
              </w:rPr>
              <w:t xml:space="preserve">etteur et de ces sociétés, dont </w:t>
            </w:r>
            <w:r w:rsidRPr="00C73365">
              <w:rPr>
                <w:rFonts w:asciiTheme="minorHAnsi" w:hAnsiTheme="minorHAnsi" w:cstheme="minorHAnsi"/>
                <w:bCs/>
                <w:color w:val="000000"/>
                <w:szCs w:val="20"/>
                <w:lang w:val="fr-FR" w:eastAsia="fr-FR"/>
              </w:rPr>
              <w:t>le nombre d’options a</w:t>
            </w:r>
            <w:r w:rsidR="00AB71BE">
              <w:rPr>
                <w:rFonts w:asciiTheme="minorHAnsi" w:hAnsiTheme="minorHAnsi" w:cstheme="minorHAnsi"/>
                <w:bCs/>
                <w:color w:val="000000"/>
                <w:szCs w:val="20"/>
                <w:lang w:val="fr-FR" w:eastAsia="fr-FR"/>
              </w:rPr>
              <w:t xml:space="preserve">insi achetées ou souscrites est </w:t>
            </w:r>
            <w:r w:rsidRPr="00C73365">
              <w:rPr>
                <w:rFonts w:asciiTheme="minorHAnsi" w:hAnsiTheme="minorHAnsi" w:cstheme="minorHAnsi"/>
                <w:bCs/>
                <w:color w:val="000000"/>
                <w:szCs w:val="20"/>
                <w:lang w:val="fr-FR" w:eastAsia="fr-FR"/>
              </w:rPr>
              <w:t>le plus élevé</w:t>
            </w:r>
          </w:p>
        </w:tc>
        <w:tc>
          <w:tcPr>
            <w:tcW w:w="735" w:type="pct"/>
            <w:tcBorders>
              <w:top w:val="single" w:sz="4" w:space="0" w:color="7030A0"/>
              <w:left w:val="single" w:sz="4" w:space="0" w:color="7030A0"/>
              <w:bottom w:val="single" w:sz="4" w:space="0" w:color="7030A0"/>
              <w:right w:val="single" w:sz="4" w:space="0" w:color="7030A0"/>
            </w:tcBorders>
            <w:shd w:val="clear" w:color="auto" w:fill="FFFFFF"/>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c>
          <w:tcPr>
            <w:tcW w:w="559" w:type="pct"/>
            <w:tcBorders>
              <w:top w:val="single" w:sz="4" w:space="0" w:color="7030A0"/>
              <w:left w:val="single" w:sz="4" w:space="0" w:color="7030A0"/>
              <w:right w:val="single" w:sz="4" w:space="0" w:color="7030A0"/>
            </w:tcBorders>
            <w:shd w:val="clear" w:color="auto" w:fill="FFFFFF"/>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c>
          <w:tcPr>
            <w:tcW w:w="559" w:type="pct"/>
            <w:tcBorders>
              <w:top w:val="single" w:sz="4" w:space="0" w:color="7030A0"/>
              <w:left w:val="single" w:sz="4" w:space="0" w:color="7030A0"/>
              <w:bottom w:val="single" w:sz="4" w:space="0" w:color="7030A0"/>
              <w:right w:val="single" w:sz="4" w:space="0" w:color="7030A0"/>
            </w:tcBorders>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c>
          <w:tcPr>
            <w:tcW w:w="559" w:type="pct"/>
            <w:tcBorders>
              <w:top w:val="single" w:sz="4" w:space="0" w:color="7030A0"/>
              <w:left w:val="single" w:sz="4" w:space="0" w:color="7030A0"/>
              <w:bottom w:val="single" w:sz="4" w:space="0" w:color="7030A0"/>
              <w:right w:val="single" w:sz="4" w:space="0" w:color="7030A0"/>
            </w:tcBorders>
            <w:shd w:val="clear" w:color="auto" w:fill="FFFFFF"/>
            <w:vAlign w:val="center"/>
            <w:hideMark/>
          </w:tcPr>
          <w:p w:rsidR="00B740A8" w:rsidRPr="00C73365" w:rsidRDefault="00B740A8" w:rsidP="00D1541A">
            <w:pPr>
              <w:jc w:val="center"/>
              <w:rPr>
                <w:rFonts w:asciiTheme="minorHAnsi" w:hAnsiTheme="minorHAnsi" w:cstheme="minorHAnsi"/>
                <w:b/>
                <w:color w:val="000000"/>
                <w:szCs w:val="20"/>
                <w:lang w:val="fr-FR" w:eastAsia="fr-FR"/>
              </w:rPr>
            </w:pPr>
            <w:r w:rsidRPr="00C73365">
              <w:rPr>
                <w:rFonts w:asciiTheme="minorHAnsi" w:hAnsiTheme="minorHAnsi" w:cstheme="minorHAnsi"/>
                <w:color w:val="000000"/>
                <w:szCs w:val="20"/>
                <w:lang w:val="fr-FR" w:eastAsia="fr-FR"/>
              </w:rPr>
              <w:t>-</w:t>
            </w:r>
          </w:p>
        </w:tc>
        <w:tc>
          <w:tcPr>
            <w:tcW w:w="559" w:type="pct"/>
            <w:tcBorders>
              <w:top w:val="single" w:sz="4" w:space="0" w:color="7030A0"/>
              <w:left w:val="single" w:sz="4" w:space="0" w:color="7030A0"/>
              <w:bottom w:val="single" w:sz="4" w:space="0" w:color="7030A0"/>
              <w:right w:val="single" w:sz="4" w:space="0" w:color="7030A0"/>
            </w:tcBorders>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c>
          <w:tcPr>
            <w:tcW w:w="558" w:type="pct"/>
            <w:tcBorders>
              <w:top w:val="single" w:sz="4" w:space="0" w:color="7030A0"/>
              <w:left w:val="single" w:sz="4" w:space="0" w:color="7030A0"/>
              <w:bottom w:val="single" w:sz="4" w:space="0" w:color="7030A0"/>
              <w:right w:val="single" w:sz="4" w:space="0" w:color="7030A0"/>
            </w:tcBorders>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r>
    </w:tbl>
    <w:p w:rsidR="00B740A8" w:rsidRPr="00C73365" w:rsidRDefault="00B740A8" w:rsidP="00B740A8">
      <w:pPr>
        <w:spacing w:line="264" w:lineRule="auto"/>
        <w:rPr>
          <w:rFonts w:asciiTheme="minorHAnsi" w:hAnsiTheme="minorHAnsi" w:cstheme="minorHAnsi"/>
          <w:b/>
          <w:color w:val="7030A0"/>
          <w:szCs w:val="22"/>
          <w:lang w:val="fr-FR"/>
        </w:rPr>
      </w:pPr>
    </w:p>
    <w:p w:rsidR="00B02769" w:rsidRDefault="00B740A8" w:rsidP="00FF5A22">
      <w:pPr>
        <w:pStyle w:val="BodyText"/>
        <w:rPr>
          <w:rFonts w:asciiTheme="minorHAnsi" w:hAnsiTheme="minorHAnsi" w:cstheme="minorHAnsi"/>
          <w:b/>
          <w:lang w:val="fr-FR"/>
        </w:rPr>
      </w:pPr>
      <w:r w:rsidRPr="00C73365">
        <w:rPr>
          <w:rFonts w:asciiTheme="minorHAnsi" w:hAnsiTheme="minorHAnsi" w:cstheme="minorHAnsi"/>
          <w:b/>
          <w:lang w:val="fr-FR"/>
        </w:rPr>
        <w:t>Tableau N°10 : Historique des attributions gratuites d’actions</w:t>
      </w:r>
    </w:p>
    <w:p w:rsidR="00B740A8" w:rsidRPr="00B02769" w:rsidRDefault="00B740A8" w:rsidP="00FF5A22">
      <w:pPr>
        <w:pStyle w:val="BodyText"/>
        <w:rPr>
          <w:rFonts w:asciiTheme="minorHAnsi" w:hAnsiTheme="minorHAnsi" w:cstheme="minorHAnsi"/>
          <w:b/>
          <w:lang w:val="fr-FR"/>
        </w:rPr>
      </w:pPr>
      <w:r w:rsidRPr="00C73365">
        <w:rPr>
          <w:rFonts w:asciiTheme="minorHAnsi" w:hAnsiTheme="minorHAnsi" w:cstheme="minorHAnsi"/>
          <w:lang w:val="fr-FR"/>
        </w:rPr>
        <w:t>Néant.</w:t>
      </w:r>
    </w:p>
    <w:p w:rsidR="00B02769" w:rsidRDefault="00B02769">
      <w:pPr>
        <w:spacing w:after="160" w:line="259" w:lineRule="auto"/>
        <w:jc w:val="left"/>
        <w:rPr>
          <w:rFonts w:asciiTheme="minorHAnsi" w:hAnsiTheme="minorHAnsi" w:cstheme="minorHAnsi"/>
          <w:b/>
          <w:szCs w:val="20"/>
          <w:lang w:val="fr-FR"/>
        </w:rPr>
      </w:pPr>
      <w:r>
        <w:rPr>
          <w:rFonts w:asciiTheme="minorHAnsi" w:hAnsiTheme="minorHAnsi" w:cstheme="minorHAnsi"/>
          <w:b/>
          <w:lang w:val="fr-FR"/>
        </w:rPr>
        <w:br w:type="page"/>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Tableau N°11 : Précisions quant aux conditions de rémunération et autres avantages consentis aux mandataires sociaux dirigeants</w:t>
      </w:r>
    </w:p>
    <w:tbl>
      <w:tblPr>
        <w:tblW w:w="9619" w:type="dxa"/>
        <w:tblCellMar>
          <w:left w:w="70" w:type="dxa"/>
          <w:right w:w="70" w:type="dxa"/>
        </w:tblCellMar>
        <w:tblLook w:val="04A0" w:firstRow="1" w:lastRow="0" w:firstColumn="1" w:lastColumn="0" w:noHBand="0" w:noVBand="1"/>
      </w:tblPr>
      <w:tblGrid>
        <w:gridCol w:w="1445"/>
        <w:gridCol w:w="887"/>
        <w:gridCol w:w="924"/>
        <w:gridCol w:w="1153"/>
        <w:gridCol w:w="1092"/>
        <w:gridCol w:w="1041"/>
        <w:gridCol w:w="1021"/>
        <w:gridCol w:w="1037"/>
        <w:gridCol w:w="1019"/>
      </w:tblGrid>
      <w:tr w:rsidR="00B02769" w:rsidRPr="008C1A4A" w:rsidTr="00B02769">
        <w:trPr>
          <w:trHeight w:val="1050"/>
        </w:trPr>
        <w:tc>
          <w:tcPr>
            <w:tcW w:w="1011" w:type="dxa"/>
            <w:tcBorders>
              <w:top w:val="single" w:sz="8" w:space="0" w:color="7030A0"/>
              <w:left w:val="single" w:sz="8" w:space="0" w:color="7030A0"/>
              <w:bottom w:val="single" w:sz="8" w:space="0" w:color="7030A0"/>
              <w:right w:val="single" w:sz="8" w:space="0" w:color="7030A0"/>
            </w:tcBorders>
            <w:shd w:val="clear" w:color="auto" w:fill="auto"/>
            <w:vAlign w:val="center"/>
            <w:hideMark/>
          </w:tcPr>
          <w:p w:rsidR="00B02769" w:rsidRPr="00B02769" w:rsidRDefault="00B02769" w:rsidP="00B02769">
            <w:pPr>
              <w:spacing w:after="0"/>
              <w:jc w:val="center"/>
              <w:rPr>
                <w:rFonts w:cs="Calibri"/>
                <w:b/>
                <w:bCs/>
                <w:color w:val="000000"/>
                <w:szCs w:val="20"/>
                <w:lang w:val="fr-FR" w:eastAsia="fr-FR"/>
              </w:rPr>
            </w:pPr>
            <w:r w:rsidRPr="00B02769">
              <w:rPr>
                <w:rFonts w:cs="Calibri"/>
                <w:b/>
                <w:bCs/>
                <w:color w:val="000000"/>
                <w:szCs w:val="20"/>
                <w:lang w:val="fr-FR" w:eastAsia="fr-FR"/>
              </w:rPr>
              <w:t>Dirigeants mandataires sociaux</w:t>
            </w:r>
          </w:p>
        </w:tc>
        <w:tc>
          <w:tcPr>
            <w:tcW w:w="1906" w:type="dxa"/>
            <w:gridSpan w:val="2"/>
            <w:tcBorders>
              <w:top w:val="single" w:sz="8" w:space="0" w:color="7030A0"/>
              <w:left w:val="nil"/>
              <w:bottom w:val="single" w:sz="8" w:space="0" w:color="7030A0"/>
              <w:right w:val="nil"/>
            </w:tcBorders>
            <w:shd w:val="clear" w:color="auto" w:fill="auto"/>
            <w:vAlign w:val="center"/>
            <w:hideMark/>
          </w:tcPr>
          <w:p w:rsidR="00B02769" w:rsidRPr="00B02769" w:rsidRDefault="00B02769" w:rsidP="00B02769">
            <w:pPr>
              <w:spacing w:after="0"/>
              <w:jc w:val="center"/>
              <w:rPr>
                <w:rFonts w:cs="Calibri"/>
                <w:b/>
                <w:bCs/>
                <w:color w:val="000000"/>
                <w:szCs w:val="20"/>
                <w:lang w:val="fr-FR" w:eastAsia="fr-FR"/>
              </w:rPr>
            </w:pPr>
            <w:r w:rsidRPr="00B02769">
              <w:rPr>
                <w:rFonts w:cs="Calibri"/>
                <w:b/>
                <w:bCs/>
                <w:color w:val="000000"/>
                <w:szCs w:val="20"/>
                <w:lang w:val="fr-FR" w:eastAsia="fr-FR"/>
              </w:rPr>
              <w:t>Contrat de travail</w:t>
            </w:r>
          </w:p>
        </w:tc>
        <w:tc>
          <w:tcPr>
            <w:tcW w:w="2366" w:type="dxa"/>
            <w:gridSpan w:val="2"/>
            <w:tcBorders>
              <w:top w:val="single" w:sz="8" w:space="0" w:color="7030A0"/>
              <w:left w:val="single" w:sz="8" w:space="0" w:color="7030A0"/>
              <w:bottom w:val="single" w:sz="8" w:space="0" w:color="7030A0"/>
              <w:right w:val="single" w:sz="8" w:space="0" w:color="7030A0"/>
            </w:tcBorders>
            <w:shd w:val="clear" w:color="auto" w:fill="auto"/>
            <w:vAlign w:val="center"/>
            <w:hideMark/>
          </w:tcPr>
          <w:p w:rsidR="00B02769" w:rsidRPr="00B02769" w:rsidRDefault="00B02769" w:rsidP="00B02769">
            <w:pPr>
              <w:spacing w:after="0"/>
              <w:jc w:val="center"/>
              <w:rPr>
                <w:rFonts w:cs="Calibri"/>
                <w:b/>
                <w:bCs/>
                <w:color w:val="000000"/>
                <w:szCs w:val="20"/>
                <w:lang w:val="fr-FR" w:eastAsia="fr-FR"/>
              </w:rPr>
            </w:pPr>
            <w:r w:rsidRPr="00B02769">
              <w:rPr>
                <w:rFonts w:cs="Calibri"/>
                <w:b/>
                <w:bCs/>
                <w:color w:val="000000"/>
                <w:szCs w:val="20"/>
                <w:lang w:val="fr-FR" w:eastAsia="fr-FR"/>
              </w:rPr>
              <w:t>Régime de retraite supplémentaire</w:t>
            </w:r>
          </w:p>
        </w:tc>
        <w:tc>
          <w:tcPr>
            <w:tcW w:w="2171" w:type="dxa"/>
            <w:gridSpan w:val="2"/>
            <w:tcBorders>
              <w:top w:val="single" w:sz="8" w:space="0" w:color="7030A0"/>
              <w:left w:val="nil"/>
              <w:bottom w:val="single" w:sz="8" w:space="0" w:color="7030A0"/>
              <w:right w:val="single" w:sz="8" w:space="0" w:color="7030A0"/>
            </w:tcBorders>
            <w:shd w:val="clear" w:color="auto" w:fill="auto"/>
            <w:vAlign w:val="center"/>
            <w:hideMark/>
          </w:tcPr>
          <w:p w:rsidR="00B02769" w:rsidRPr="00B02769" w:rsidRDefault="00B02769" w:rsidP="00B02769">
            <w:pPr>
              <w:spacing w:after="0"/>
              <w:jc w:val="center"/>
              <w:rPr>
                <w:rFonts w:cs="Calibri"/>
                <w:b/>
                <w:bCs/>
                <w:color w:val="000000"/>
                <w:szCs w:val="20"/>
                <w:lang w:val="fr-FR" w:eastAsia="fr-FR"/>
              </w:rPr>
            </w:pPr>
            <w:r w:rsidRPr="00B02769">
              <w:rPr>
                <w:rFonts w:cs="Calibri"/>
                <w:b/>
                <w:bCs/>
                <w:color w:val="000000"/>
                <w:szCs w:val="20"/>
                <w:lang w:val="fr-FR" w:eastAsia="fr-FR"/>
              </w:rPr>
              <w:t>Indemnités ou avantages dus ou susceptibles d’être dus à raison de la cessation ou du changement de fonction</w:t>
            </w:r>
          </w:p>
        </w:tc>
        <w:tc>
          <w:tcPr>
            <w:tcW w:w="2165" w:type="dxa"/>
            <w:gridSpan w:val="2"/>
            <w:tcBorders>
              <w:top w:val="single" w:sz="8" w:space="0" w:color="7030A0"/>
              <w:left w:val="nil"/>
              <w:bottom w:val="single" w:sz="8" w:space="0" w:color="7030A0"/>
              <w:right w:val="single" w:sz="8" w:space="0" w:color="7030A0"/>
            </w:tcBorders>
            <w:shd w:val="clear" w:color="auto" w:fill="auto"/>
            <w:vAlign w:val="center"/>
            <w:hideMark/>
          </w:tcPr>
          <w:p w:rsidR="00B02769" w:rsidRPr="00B02769" w:rsidRDefault="00B02769" w:rsidP="00B02769">
            <w:pPr>
              <w:spacing w:after="0"/>
              <w:jc w:val="center"/>
              <w:rPr>
                <w:rFonts w:cs="Calibri"/>
                <w:b/>
                <w:bCs/>
                <w:color w:val="000000"/>
                <w:szCs w:val="20"/>
                <w:lang w:val="fr-FR" w:eastAsia="fr-FR"/>
              </w:rPr>
            </w:pPr>
            <w:r w:rsidRPr="00B02769">
              <w:rPr>
                <w:rFonts w:cs="Calibri"/>
                <w:b/>
                <w:bCs/>
                <w:color w:val="000000"/>
                <w:szCs w:val="20"/>
                <w:lang w:val="fr-FR" w:eastAsia="fr-FR"/>
              </w:rPr>
              <w:t>Indemnités relatives à une clause de non-concurrence</w:t>
            </w:r>
          </w:p>
        </w:tc>
      </w:tr>
      <w:tr w:rsidR="00B02769" w:rsidRPr="00B02769" w:rsidTr="00B02769">
        <w:trPr>
          <w:trHeight w:val="300"/>
        </w:trPr>
        <w:tc>
          <w:tcPr>
            <w:tcW w:w="1011" w:type="dxa"/>
            <w:tcBorders>
              <w:top w:val="single" w:sz="8" w:space="0" w:color="7030A0"/>
              <w:left w:val="single" w:sz="8" w:space="0" w:color="7030A0"/>
              <w:bottom w:val="single" w:sz="8" w:space="0" w:color="7030A0"/>
              <w:right w:val="single" w:sz="8" w:space="0" w:color="7030A0"/>
            </w:tcBorders>
            <w:shd w:val="clear" w:color="auto" w:fill="auto"/>
            <w:vAlign w:val="center"/>
            <w:hideMark/>
          </w:tcPr>
          <w:p w:rsidR="00B02769" w:rsidRPr="00B02769" w:rsidRDefault="00B02769" w:rsidP="00B02769">
            <w:pPr>
              <w:spacing w:after="0"/>
              <w:rPr>
                <w:rFonts w:cs="Calibri"/>
                <w:color w:val="000000"/>
                <w:szCs w:val="20"/>
                <w:lang w:val="fr-FR" w:eastAsia="fr-FR"/>
              </w:rPr>
            </w:pPr>
            <w:r w:rsidRPr="00B02769">
              <w:rPr>
                <w:rFonts w:cs="Calibri"/>
                <w:color w:val="000000"/>
                <w:szCs w:val="20"/>
                <w:lang w:val="fr-FR" w:eastAsia="fr-FR"/>
              </w:rPr>
              <w:t> </w:t>
            </w:r>
          </w:p>
        </w:tc>
        <w:tc>
          <w:tcPr>
            <w:tcW w:w="934"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Oui</w:t>
            </w:r>
          </w:p>
        </w:tc>
        <w:tc>
          <w:tcPr>
            <w:tcW w:w="972"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Non</w:t>
            </w:r>
          </w:p>
        </w:tc>
        <w:tc>
          <w:tcPr>
            <w:tcW w:w="1215"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Oui</w:t>
            </w:r>
          </w:p>
        </w:tc>
        <w:tc>
          <w:tcPr>
            <w:tcW w:w="1151"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Non</w:t>
            </w:r>
          </w:p>
        </w:tc>
        <w:tc>
          <w:tcPr>
            <w:tcW w:w="1096"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Oui</w:t>
            </w:r>
          </w:p>
        </w:tc>
        <w:tc>
          <w:tcPr>
            <w:tcW w:w="1075"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Non</w:t>
            </w:r>
          </w:p>
        </w:tc>
        <w:tc>
          <w:tcPr>
            <w:tcW w:w="1092"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Oui</w:t>
            </w:r>
          </w:p>
        </w:tc>
        <w:tc>
          <w:tcPr>
            <w:tcW w:w="1073"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Non</w:t>
            </w:r>
          </w:p>
        </w:tc>
      </w:tr>
      <w:tr w:rsidR="00B02769" w:rsidRPr="00B02769" w:rsidTr="00B02769">
        <w:trPr>
          <w:trHeight w:val="1040"/>
        </w:trPr>
        <w:tc>
          <w:tcPr>
            <w:tcW w:w="1011" w:type="dxa"/>
            <w:tcBorders>
              <w:top w:val="single" w:sz="8" w:space="0" w:color="7030A0"/>
              <w:left w:val="single" w:sz="8" w:space="0" w:color="7030A0"/>
              <w:bottom w:val="single" w:sz="8" w:space="0" w:color="7030A0"/>
              <w:right w:val="single" w:sz="8" w:space="0" w:color="7030A0"/>
            </w:tcBorders>
            <w:shd w:val="clear" w:color="auto" w:fill="auto"/>
            <w:vAlign w:val="center"/>
            <w:hideMark/>
          </w:tcPr>
          <w:p w:rsidR="00B02769" w:rsidRPr="00B02769" w:rsidRDefault="00B02769" w:rsidP="00B02769">
            <w:pPr>
              <w:spacing w:after="0"/>
              <w:rPr>
                <w:rFonts w:cs="Calibri"/>
                <w:b/>
                <w:bCs/>
                <w:color w:val="000000"/>
                <w:szCs w:val="20"/>
                <w:lang w:val="fr-FR" w:eastAsia="fr-FR"/>
              </w:rPr>
            </w:pPr>
            <w:r w:rsidRPr="00B02769">
              <w:rPr>
                <w:rFonts w:cs="Calibri"/>
                <w:b/>
                <w:bCs/>
                <w:color w:val="000000"/>
                <w:szCs w:val="20"/>
                <w:lang w:val="fr-FR" w:eastAsia="fr-FR"/>
              </w:rPr>
              <w:t>Monsieur Philippe Pouletty – Président du conseil d’administration</w:t>
            </w:r>
          </w:p>
        </w:tc>
        <w:tc>
          <w:tcPr>
            <w:tcW w:w="934" w:type="dxa"/>
            <w:tcBorders>
              <w:top w:val="single" w:sz="8" w:space="0" w:color="7030A0"/>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 </w:t>
            </w:r>
          </w:p>
        </w:tc>
        <w:tc>
          <w:tcPr>
            <w:tcW w:w="972" w:type="dxa"/>
            <w:tcBorders>
              <w:top w:val="single" w:sz="8" w:space="0" w:color="7030A0"/>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X</w:t>
            </w:r>
          </w:p>
        </w:tc>
        <w:tc>
          <w:tcPr>
            <w:tcW w:w="1215" w:type="dxa"/>
            <w:tcBorders>
              <w:top w:val="single" w:sz="8" w:space="0" w:color="7030A0"/>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 </w:t>
            </w:r>
          </w:p>
        </w:tc>
        <w:tc>
          <w:tcPr>
            <w:tcW w:w="1151" w:type="dxa"/>
            <w:tcBorders>
              <w:top w:val="single" w:sz="8" w:space="0" w:color="7030A0"/>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X</w:t>
            </w:r>
          </w:p>
        </w:tc>
        <w:tc>
          <w:tcPr>
            <w:tcW w:w="1096" w:type="dxa"/>
            <w:tcBorders>
              <w:top w:val="single" w:sz="8" w:space="0" w:color="7030A0"/>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 </w:t>
            </w:r>
          </w:p>
        </w:tc>
        <w:tc>
          <w:tcPr>
            <w:tcW w:w="1075" w:type="dxa"/>
            <w:tcBorders>
              <w:top w:val="single" w:sz="8" w:space="0" w:color="7030A0"/>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X</w:t>
            </w:r>
          </w:p>
        </w:tc>
        <w:tc>
          <w:tcPr>
            <w:tcW w:w="1092" w:type="dxa"/>
            <w:tcBorders>
              <w:top w:val="single" w:sz="8" w:space="0" w:color="7030A0"/>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 </w:t>
            </w:r>
          </w:p>
        </w:tc>
        <w:tc>
          <w:tcPr>
            <w:tcW w:w="1073" w:type="dxa"/>
            <w:tcBorders>
              <w:top w:val="single" w:sz="8" w:space="0" w:color="7030A0"/>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X</w:t>
            </w:r>
          </w:p>
        </w:tc>
      </w:tr>
      <w:tr w:rsidR="00B02769" w:rsidRPr="00F06F79" w:rsidTr="00B02769">
        <w:trPr>
          <w:trHeight w:val="290"/>
        </w:trPr>
        <w:tc>
          <w:tcPr>
            <w:tcW w:w="1011" w:type="dxa"/>
            <w:tcBorders>
              <w:top w:val="single" w:sz="8" w:space="0" w:color="7030A0"/>
              <w:left w:val="single" w:sz="8" w:space="0" w:color="7030A0"/>
              <w:bottom w:val="nil"/>
              <w:right w:val="nil"/>
            </w:tcBorders>
            <w:shd w:val="clear" w:color="auto" w:fill="auto"/>
            <w:vAlign w:val="center"/>
            <w:hideMark/>
          </w:tcPr>
          <w:p w:rsidR="00B02769" w:rsidRPr="00B02769" w:rsidRDefault="00B02769" w:rsidP="00B02769">
            <w:pPr>
              <w:spacing w:after="0"/>
              <w:rPr>
                <w:rFonts w:cs="Calibri"/>
                <w:color w:val="000000"/>
                <w:szCs w:val="20"/>
                <w:lang w:val="fr-FR" w:eastAsia="fr-FR"/>
              </w:rPr>
            </w:pPr>
            <w:r w:rsidRPr="00B02769">
              <w:rPr>
                <w:rFonts w:cs="Calibri"/>
                <w:color w:val="000000"/>
                <w:szCs w:val="20"/>
                <w:lang w:val="fr-FR" w:eastAsia="fr-FR"/>
              </w:rPr>
              <w:t>Date début mandat :</w:t>
            </w:r>
          </w:p>
        </w:tc>
        <w:tc>
          <w:tcPr>
            <w:tcW w:w="8608" w:type="dxa"/>
            <w:gridSpan w:val="8"/>
            <w:vMerge w:val="restart"/>
            <w:tcBorders>
              <w:top w:val="single" w:sz="8" w:space="0" w:color="7030A0"/>
              <w:left w:val="nil"/>
              <w:bottom w:val="nil"/>
              <w:right w:val="single" w:sz="8" w:space="0" w:color="7030A0"/>
            </w:tcBorders>
            <w:shd w:val="clear" w:color="auto" w:fill="auto"/>
            <w:noWrap/>
            <w:vAlign w:val="center"/>
            <w:hideMark/>
          </w:tcPr>
          <w:p w:rsidR="00B02769" w:rsidRPr="00B02769" w:rsidRDefault="00B02769" w:rsidP="00B02769">
            <w:pPr>
              <w:spacing w:after="0"/>
              <w:rPr>
                <w:rFonts w:cs="Calibri"/>
                <w:color w:val="000000"/>
                <w:szCs w:val="20"/>
                <w:lang w:val="fr-FR" w:eastAsia="fr-FR"/>
              </w:rPr>
            </w:pPr>
            <w:r w:rsidRPr="00B02769">
              <w:rPr>
                <w:rFonts w:cs="Calibri"/>
                <w:color w:val="000000"/>
                <w:szCs w:val="20"/>
                <w:lang w:val="fr-FR" w:eastAsia="fr-FR"/>
              </w:rPr>
              <w:t>Nommé dans les statuts constitutifs de la Société en date du 4 décembre 2013 et renouvelé par l’assemblée générale mixte en date du 23 juin 2017.</w:t>
            </w:r>
          </w:p>
        </w:tc>
      </w:tr>
      <w:tr w:rsidR="00B02769" w:rsidRPr="00F06F79" w:rsidTr="00B02769">
        <w:trPr>
          <w:trHeight w:val="290"/>
        </w:trPr>
        <w:tc>
          <w:tcPr>
            <w:tcW w:w="1011" w:type="dxa"/>
            <w:tcBorders>
              <w:top w:val="nil"/>
              <w:left w:val="single" w:sz="8" w:space="0" w:color="7030A0"/>
              <w:bottom w:val="nil"/>
              <w:right w:val="nil"/>
            </w:tcBorders>
            <w:shd w:val="clear" w:color="auto" w:fill="auto"/>
            <w:vAlign w:val="center"/>
            <w:hideMark/>
          </w:tcPr>
          <w:p w:rsidR="00B02769" w:rsidRPr="00B02769" w:rsidRDefault="00B02769" w:rsidP="00B02769">
            <w:pPr>
              <w:spacing w:after="0"/>
              <w:rPr>
                <w:rFonts w:cs="Calibri"/>
                <w:color w:val="000000"/>
                <w:szCs w:val="20"/>
                <w:lang w:val="fr-FR" w:eastAsia="fr-FR"/>
              </w:rPr>
            </w:pPr>
            <w:r w:rsidRPr="00B02769">
              <w:rPr>
                <w:rFonts w:cs="Calibri"/>
                <w:color w:val="000000"/>
                <w:szCs w:val="20"/>
                <w:lang w:val="fr-FR" w:eastAsia="fr-FR"/>
              </w:rPr>
              <w:t xml:space="preserve"> </w:t>
            </w:r>
          </w:p>
        </w:tc>
        <w:tc>
          <w:tcPr>
            <w:tcW w:w="8608" w:type="dxa"/>
            <w:gridSpan w:val="8"/>
            <w:vMerge/>
            <w:tcBorders>
              <w:top w:val="single" w:sz="8" w:space="0" w:color="7030A0"/>
              <w:left w:val="nil"/>
              <w:bottom w:val="nil"/>
              <w:right w:val="single" w:sz="8" w:space="0" w:color="7030A0"/>
            </w:tcBorders>
            <w:vAlign w:val="center"/>
            <w:hideMark/>
          </w:tcPr>
          <w:p w:rsidR="00B02769" w:rsidRPr="00B02769" w:rsidRDefault="00B02769" w:rsidP="00B02769">
            <w:pPr>
              <w:spacing w:after="0"/>
              <w:jc w:val="left"/>
              <w:rPr>
                <w:rFonts w:cs="Calibri"/>
                <w:color w:val="000000"/>
                <w:szCs w:val="20"/>
                <w:lang w:val="fr-FR" w:eastAsia="fr-FR"/>
              </w:rPr>
            </w:pPr>
          </w:p>
        </w:tc>
      </w:tr>
      <w:tr w:rsidR="00B02769" w:rsidRPr="008C1A4A" w:rsidTr="00B02769">
        <w:trPr>
          <w:trHeight w:val="290"/>
        </w:trPr>
        <w:tc>
          <w:tcPr>
            <w:tcW w:w="1011" w:type="dxa"/>
            <w:vMerge w:val="restart"/>
            <w:tcBorders>
              <w:top w:val="nil"/>
              <w:left w:val="single" w:sz="8" w:space="0" w:color="7030A0"/>
              <w:bottom w:val="single" w:sz="8" w:space="0" w:color="7030A0"/>
              <w:right w:val="nil"/>
            </w:tcBorders>
            <w:shd w:val="clear" w:color="auto" w:fill="auto"/>
            <w:vAlign w:val="center"/>
            <w:hideMark/>
          </w:tcPr>
          <w:p w:rsidR="00B02769" w:rsidRPr="00B02769" w:rsidRDefault="00B02769" w:rsidP="00B02769">
            <w:pPr>
              <w:spacing w:after="0"/>
              <w:rPr>
                <w:rFonts w:cs="Calibri"/>
                <w:color w:val="000000"/>
                <w:szCs w:val="20"/>
                <w:lang w:val="fr-FR" w:eastAsia="fr-FR"/>
              </w:rPr>
            </w:pPr>
            <w:r w:rsidRPr="00B02769">
              <w:rPr>
                <w:rFonts w:cs="Calibri"/>
                <w:color w:val="000000"/>
                <w:szCs w:val="20"/>
                <w:lang w:val="fr-FR" w:eastAsia="fr-FR"/>
              </w:rPr>
              <w:t>Date fin mandat :</w:t>
            </w:r>
          </w:p>
        </w:tc>
        <w:tc>
          <w:tcPr>
            <w:tcW w:w="8608" w:type="dxa"/>
            <w:gridSpan w:val="8"/>
            <w:vMerge w:val="restart"/>
            <w:tcBorders>
              <w:top w:val="nil"/>
              <w:left w:val="nil"/>
              <w:bottom w:val="single" w:sz="8" w:space="0" w:color="7030A0"/>
              <w:right w:val="single" w:sz="8" w:space="0" w:color="7030A0"/>
            </w:tcBorders>
            <w:shd w:val="clear" w:color="auto" w:fill="auto"/>
            <w:vAlign w:val="center"/>
            <w:hideMark/>
          </w:tcPr>
          <w:p w:rsidR="00B02769" w:rsidRPr="00B02769" w:rsidRDefault="00B02769" w:rsidP="00B02769">
            <w:pPr>
              <w:spacing w:after="0"/>
              <w:rPr>
                <w:rFonts w:cs="Calibri"/>
                <w:color w:val="000000"/>
                <w:szCs w:val="20"/>
                <w:lang w:val="fr-FR" w:eastAsia="fr-FR"/>
              </w:rPr>
            </w:pPr>
            <w:r w:rsidRPr="00B02769">
              <w:rPr>
                <w:rFonts w:cs="Calibri"/>
                <w:color w:val="000000"/>
                <w:szCs w:val="20"/>
                <w:lang w:val="fr-FR" w:eastAsia="fr-FR"/>
              </w:rPr>
              <w:t>Assemblée générale ordinaire des actionnaires statuant sur les comptes de l’exercice clos au 31 décembre 2020.</w:t>
            </w:r>
          </w:p>
        </w:tc>
      </w:tr>
      <w:tr w:rsidR="00B02769" w:rsidRPr="008C1A4A" w:rsidTr="00B02769">
        <w:trPr>
          <w:trHeight w:val="423"/>
        </w:trPr>
        <w:tc>
          <w:tcPr>
            <w:tcW w:w="1011" w:type="dxa"/>
            <w:vMerge/>
            <w:tcBorders>
              <w:top w:val="nil"/>
              <w:left w:val="single" w:sz="8" w:space="0" w:color="7030A0"/>
              <w:bottom w:val="single" w:sz="8" w:space="0" w:color="7030A0"/>
              <w:right w:val="nil"/>
            </w:tcBorders>
            <w:vAlign w:val="center"/>
            <w:hideMark/>
          </w:tcPr>
          <w:p w:rsidR="00B02769" w:rsidRPr="00B02769" w:rsidRDefault="00B02769" w:rsidP="00B02769">
            <w:pPr>
              <w:spacing w:after="0"/>
              <w:jc w:val="left"/>
              <w:rPr>
                <w:rFonts w:cs="Calibri"/>
                <w:color w:val="000000"/>
                <w:szCs w:val="20"/>
                <w:lang w:val="fr-FR" w:eastAsia="fr-FR"/>
              </w:rPr>
            </w:pPr>
          </w:p>
        </w:tc>
        <w:tc>
          <w:tcPr>
            <w:tcW w:w="8608" w:type="dxa"/>
            <w:gridSpan w:val="8"/>
            <w:vMerge/>
            <w:tcBorders>
              <w:top w:val="nil"/>
              <w:left w:val="nil"/>
              <w:bottom w:val="single" w:sz="8" w:space="0" w:color="7030A0"/>
              <w:right w:val="single" w:sz="8" w:space="0" w:color="7030A0"/>
            </w:tcBorders>
            <w:vAlign w:val="center"/>
            <w:hideMark/>
          </w:tcPr>
          <w:p w:rsidR="00B02769" w:rsidRPr="00B02769" w:rsidRDefault="00B02769" w:rsidP="00B02769">
            <w:pPr>
              <w:spacing w:after="0"/>
              <w:jc w:val="left"/>
              <w:rPr>
                <w:rFonts w:cs="Calibri"/>
                <w:color w:val="000000"/>
                <w:szCs w:val="20"/>
                <w:lang w:val="fr-FR" w:eastAsia="fr-FR"/>
              </w:rPr>
            </w:pPr>
          </w:p>
        </w:tc>
      </w:tr>
      <w:tr w:rsidR="00B02769" w:rsidRPr="00B02769" w:rsidTr="00B02769">
        <w:trPr>
          <w:trHeight w:val="300"/>
        </w:trPr>
        <w:tc>
          <w:tcPr>
            <w:tcW w:w="1011" w:type="dxa"/>
            <w:tcBorders>
              <w:top w:val="single" w:sz="8" w:space="0" w:color="7030A0"/>
              <w:left w:val="single" w:sz="8" w:space="0" w:color="7030A0"/>
              <w:bottom w:val="single" w:sz="8" w:space="0" w:color="7030A0"/>
              <w:right w:val="single" w:sz="8" w:space="0" w:color="7030A0"/>
            </w:tcBorders>
            <w:shd w:val="clear" w:color="auto" w:fill="auto"/>
            <w:vAlign w:val="center"/>
            <w:hideMark/>
          </w:tcPr>
          <w:p w:rsidR="00B02769" w:rsidRPr="00B02769" w:rsidRDefault="00B02769" w:rsidP="00B02769">
            <w:pPr>
              <w:spacing w:after="0"/>
              <w:jc w:val="left"/>
              <w:rPr>
                <w:rFonts w:cs="Calibri"/>
                <w:color w:val="000000"/>
                <w:szCs w:val="20"/>
                <w:lang w:val="fr-FR" w:eastAsia="fr-FR"/>
              </w:rPr>
            </w:pPr>
            <w:r w:rsidRPr="00B02769">
              <w:rPr>
                <w:rFonts w:cs="Calibri"/>
                <w:color w:val="000000"/>
                <w:szCs w:val="20"/>
                <w:lang w:val="fr-FR" w:eastAsia="fr-FR"/>
              </w:rPr>
              <w:t> </w:t>
            </w:r>
          </w:p>
        </w:tc>
        <w:tc>
          <w:tcPr>
            <w:tcW w:w="934"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Oui</w:t>
            </w:r>
          </w:p>
        </w:tc>
        <w:tc>
          <w:tcPr>
            <w:tcW w:w="972"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Non</w:t>
            </w:r>
          </w:p>
        </w:tc>
        <w:tc>
          <w:tcPr>
            <w:tcW w:w="1215"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Oui</w:t>
            </w:r>
          </w:p>
        </w:tc>
        <w:tc>
          <w:tcPr>
            <w:tcW w:w="1151"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Non</w:t>
            </w:r>
          </w:p>
        </w:tc>
        <w:tc>
          <w:tcPr>
            <w:tcW w:w="1096"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Oui</w:t>
            </w:r>
          </w:p>
        </w:tc>
        <w:tc>
          <w:tcPr>
            <w:tcW w:w="1075"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Non</w:t>
            </w:r>
          </w:p>
        </w:tc>
        <w:tc>
          <w:tcPr>
            <w:tcW w:w="1092"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Oui</w:t>
            </w:r>
          </w:p>
        </w:tc>
        <w:tc>
          <w:tcPr>
            <w:tcW w:w="1073" w:type="dxa"/>
            <w:tcBorders>
              <w:top w:val="nil"/>
              <w:left w:val="nil"/>
              <w:bottom w:val="nil"/>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Non</w:t>
            </w:r>
          </w:p>
        </w:tc>
      </w:tr>
      <w:tr w:rsidR="00B02769" w:rsidRPr="00B02769" w:rsidTr="00B02769">
        <w:trPr>
          <w:trHeight w:val="520"/>
        </w:trPr>
        <w:tc>
          <w:tcPr>
            <w:tcW w:w="1011" w:type="dxa"/>
            <w:tcBorders>
              <w:top w:val="single" w:sz="8" w:space="0" w:color="7030A0"/>
              <w:left w:val="single" w:sz="8" w:space="0" w:color="7030A0"/>
              <w:bottom w:val="nil"/>
              <w:right w:val="single" w:sz="8" w:space="0" w:color="7030A0"/>
            </w:tcBorders>
            <w:shd w:val="clear" w:color="auto" w:fill="auto"/>
            <w:vAlign w:val="center"/>
            <w:hideMark/>
          </w:tcPr>
          <w:p w:rsidR="00B02769" w:rsidRPr="00B02769" w:rsidRDefault="00B02769" w:rsidP="00B02769">
            <w:pPr>
              <w:spacing w:after="0"/>
              <w:rPr>
                <w:rFonts w:cs="Calibri"/>
                <w:b/>
                <w:bCs/>
                <w:color w:val="000000"/>
                <w:szCs w:val="20"/>
                <w:lang w:val="fr-FR" w:eastAsia="fr-FR"/>
              </w:rPr>
            </w:pPr>
            <w:r w:rsidRPr="00B02769">
              <w:rPr>
                <w:rFonts w:cs="Calibri"/>
                <w:b/>
                <w:bCs/>
                <w:color w:val="000000"/>
                <w:szCs w:val="20"/>
                <w:lang w:val="fr-FR" w:eastAsia="fr-FR"/>
              </w:rPr>
              <w:t xml:space="preserve">Monsieur Hartmut Ehrlich – </w:t>
            </w:r>
          </w:p>
        </w:tc>
        <w:tc>
          <w:tcPr>
            <w:tcW w:w="934" w:type="dxa"/>
            <w:vMerge w:val="restart"/>
            <w:tcBorders>
              <w:top w:val="single" w:sz="8" w:space="0" w:color="7030A0"/>
              <w:left w:val="single" w:sz="8" w:space="0" w:color="7030A0"/>
              <w:bottom w:val="single" w:sz="8" w:space="0" w:color="7030A0"/>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 </w:t>
            </w:r>
          </w:p>
        </w:tc>
        <w:tc>
          <w:tcPr>
            <w:tcW w:w="972" w:type="dxa"/>
            <w:vMerge w:val="restart"/>
            <w:tcBorders>
              <w:top w:val="single" w:sz="8" w:space="0" w:color="7030A0"/>
              <w:left w:val="single" w:sz="8" w:space="0" w:color="7030A0"/>
              <w:bottom w:val="single" w:sz="8" w:space="0" w:color="7030A0"/>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X</w:t>
            </w:r>
          </w:p>
        </w:tc>
        <w:tc>
          <w:tcPr>
            <w:tcW w:w="1215" w:type="dxa"/>
            <w:vMerge w:val="restart"/>
            <w:tcBorders>
              <w:top w:val="single" w:sz="8" w:space="0" w:color="7030A0"/>
              <w:left w:val="single" w:sz="8" w:space="0" w:color="7030A0"/>
              <w:bottom w:val="single" w:sz="8" w:space="0" w:color="7030A0"/>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 </w:t>
            </w:r>
          </w:p>
        </w:tc>
        <w:tc>
          <w:tcPr>
            <w:tcW w:w="1151" w:type="dxa"/>
            <w:vMerge w:val="restart"/>
            <w:tcBorders>
              <w:top w:val="single" w:sz="8" w:space="0" w:color="7030A0"/>
              <w:left w:val="single" w:sz="8" w:space="0" w:color="7030A0"/>
              <w:bottom w:val="single" w:sz="8" w:space="0" w:color="7030A0"/>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X</w:t>
            </w:r>
          </w:p>
        </w:tc>
        <w:tc>
          <w:tcPr>
            <w:tcW w:w="1096" w:type="dxa"/>
            <w:vMerge w:val="restart"/>
            <w:tcBorders>
              <w:top w:val="single" w:sz="8" w:space="0" w:color="7030A0"/>
              <w:left w:val="single" w:sz="8" w:space="0" w:color="7030A0"/>
              <w:bottom w:val="single" w:sz="8" w:space="0" w:color="7030A0"/>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 </w:t>
            </w:r>
          </w:p>
        </w:tc>
        <w:tc>
          <w:tcPr>
            <w:tcW w:w="1075" w:type="dxa"/>
            <w:vMerge w:val="restart"/>
            <w:tcBorders>
              <w:top w:val="single" w:sz="8" w:space="0" w:color="7030A0"/>
              <w:left w:val="single" w:sz="8" w:space="0" w:color="7030A0"/>
              <w:bottom w:val="single" w:sz="8" w:space="0" w:color="7030A0"/>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X</w:t>
            </w:r>
          </w:p>
        </w:tc>
        <w:tc>
          <w:tcPr>
            <w:tcW w:w="1092" w:type="dxa"/>
            <w:vMerge w:val="restart"/>
            <w:tcBorders>
              <w:top w:val="single" w:sz="8" w:space="0" w:color="7030A0"/>
              <w:left w:val="single" w:sz="8" w:space="0" w:color="7030A0"/>
              <w:bottom w:val="single" w:sz="8" w:space="0" w:color="7030A0"/>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 </w:t>
            </w:r>
          </w:p>
        </w:tc>
        <w:tc>
          <w:tcPr>
            <w:tcW w:w="1073" w:type="dxa"/>
            <w:vMerge w:val="restart"/>
            <w:tcBorders>
              <w:top w:val="single" w:sz="8" w:space="0" w:color="7030A0"/>
              <w:left w:val="single" w:sz="8" w:space="0" w:color="7030A0"/>
              <w:bottom w:val="single" w:sz="8" w:space="0" w:color="7030A0"/>
              <w:right w:val="single" w:sz="8" w:space="0" w:color="7030A0"/>
            </w:tcBorders>
            <w:shd w:val="clear" w:color="auto" w:fill="auto"/>
            <w:vAlign w:val="center"/>
            <w:hideMark/>
          </w:tcPr>
          <w:p w:rsidR="00B02769" w:rsidRPr="00B02769" w:rsidRDefault="00B02769" w:rsidP="00B02769">
            <w:pPr>
              <w:spacing w:after="0"/>
              <w:jc w:val="center"/>
              <w:rPr>
                <w:rFonts w:cs="Calibri"/>
                <w:color w:val="000000"/>
                <w:szCs w:val="20"/>
                <w:lang w:val="fr-FR" w:eastAsia="fr-FR"/>
              </w:rPr>
            </w:pPr>
            <w:r w:rsidRPr="00B02769">
              <w:rPr>
                <w:rFonts w:cs="Calibri"/>
                <w:color w:val="000000"/>
                <w:szCs w:val="20"/>
                <w:lang w:val="fr-FR" w:eastAsia="fr-FR"/>
              </w:rPr>
              <w:t>X</w:t>
            </w:r>
          </w:p>
        </w:tc>
      </w:tr>
      <w:tr w:rsidR="00B02769" w:rsidRPr="00B02769" w:rsidTr="00B02769">
        <w:trPr>
          <w:trHeight w:val="300"/>
        </w:trPr>
        <w:tc>
          <w:tcPr>
            <w:tcW w:w="1011" w:type="dxa"/>
            <w:tcBorders>
              <w:top w:val="nil"/>
              <w:left w:val="single" w:sz="8" w:space="0" w:color="7030A0"/>
              <w:bottom w:val="single" w:sz="8" w:space="0" w:color="7030A0"/>
              <w:right w:val="single" w:sz="8" w:space="0" w:color="7030A0"/>
            </w:tcBorders>
            <w:shd w:val="clear" w:color="auto" w:fill="auto"/>
            <w:vAlign w:val="center"/>
            <w:hideMark/>
          </w:tcPr>
          <w:p w:rsidR="00B02769" w:rsidRPr="00B02769" w:rsidRDefault="00B02769" w:rsidP="00B02769">
            <w:pPr>
              <w:spacing w:after="0"/>
              <w:rPr>
                <w:rFonts w:cs="Calibri"/>
                <w:b/>
                <w:bCs/>
                <w:color w:val="000000"/>
                <w:szCs w:val="20"/>
                <w:lang w:val="fr-FR" w:eastAsia="fr-FR"/>
              </w:rPr>
            </w:pPr>
            <w:r w:rsidRPr="00B02769">
              <w:rPr>
                <w:rFonts w:cs="Calibri"/>
                <w:b/>
                <w:bCs/>
                <w:color w:val="000000"/>
                <w:szCs w:val="20"/>
                <w:lang w:val="fr-FR" w:eastAsia="fr-FR"/>
              </w:rPr>
              <w:t>Directeur général</w:t>
            </w:r>
          </w:p>
        </w:tc>
        <w:tc>
          <w:tcPr>
            <w:tcW w:w="934" w:type="dxa"/>
            <w:vMerge/>
            <w:tcBorders>
              <w:top w:val="single" w:sz="8" w:space="0" w:color="7030A0"/>
              <w:left w:val="single" w:sz="8" w:space="0" w:color="7030A0"/>
              <w:bottom w:val="single" w:sz="8" w:space="0" w:color="7030A0"/>
              <w:right w:val="single" w:sz="8" w:space="0" w:color="7030A0"/>
            </w:tcBorders>
            <w:vAlign w:val="center"/>
            <w:hideMark/>
          </w:tcPr>
          <w:p w:rsidR="00B02769" w:rsidRPr="00B02769" w:rsidRDefault="00B02769" w:rsidP="00B02769">
            <w:pPr>
              <w:spacing w:after="0"/>
              <w:jc w:val="left"/>
              <w:rPr>
                <w:rFonts w:cs="Calibri"/>
                <w:color w:val="000000"/>
                <w:szCs w:val="20"/>
                <w:lang w:val="fr-FR" w:eastAsia="fr-FR"/>
              </w:rPr>
            </w:pPr>
          </w:p>
        </w:tc>
        <w:tc>
          <w:tcPr>
            <w:tcW w:w="972" w:type="dxa"/>
            <w:vMerge/>
            <w:tcBorders>
              <w:top w:val="single" w:sz="8" w:space="0" w:color="7030A0"/>
              <w:left w:val="single" w:sz="8" w:space="0" w:color="7030A0"/>
              <w:bottom w:val="single" w:sz="8" w:space="0" w:color="7030A0"/>
              <w:right w:val="single" w:sz="8" w:space="0" w:color="7030A0"/>
            </w:tcBorders>
            <w:vAlign w:val="center"/>
            <w:hideMark/>
          </w:tcPr>
          <w:p w:rsidR="00B02769" w:rsidRPr="00B02769" w:rsidRDefault="00B02769" w:rsidP="00B02769">
            <w:pPr>
              <w:spacing w:after="0"/>
              <w:jc w:val="left"/>
              <w:rPr>
                <w:rFonts w:cs="Calibri"/>
                <w:color w:val="000000"/>
                <w:szCs w:val="20"/>
                <w:lang w:val="fr-FR" w:eastAsia="fr-FR"/>
              </w:rPr>
            </w:pPr>
          </w:p>
        </w:tc>
        <w:tc>
          <w:tcPr>
            <w:tcW w:w="1215" w:type="dxa"/>
            <w:vMerge/>
            <w:tcBorders>
              <w:top w:val="single" w:sz="8" w:space="0" w:color="7030A0"/>
              <w:left w:val="single" w:sz="8" w:space="0" w:color="7030A0"/>
              <w:bottom w:val="single" w:sz="8" w:space="0" w:color="7030A0"/>
              <w:right w:val="single" w:sz="8" w:space="0" w:color="7030A0"/>
            </w:tcBorders>
            <w:vAlign w:val="center"/>
            <w:hideMark/>
          </w:tcPr>
          <w:p w:rsidR="00B02769" w:rsidRPr="00B02769" w:rsidRDefault="00B02769" w:rsidP="00B02769">
            <w:pPr>
              <w:spacing w:after="0"/>
              <w:jc w:val="left"/>
              <w:rPr>
                <w:rFonts w:cs="Calibri"/>
                <w:color w:val="000000"/>
                <w:szCs w:val="20"/>
                <w:lang w:val="fr-FR" w:eastAsia="fr-FR"/>
              </w:rPr>
            </w:pPr>
          </w:p>
        </w:tc>
        <w:tc>
          <w:tcPr>
            <w:tcW w:w="1151" w:type="dxa"/>
            <w:vMerge/>
            <w:tcBorders>
              <w:top w:val="single" w:sz="8" w:space="0" w:color="7030A0"/>
              <w:left w:val="single" w:sz="8" w:space="0" w:color="7030A0"/>
              <w:bottom w:val="single" w:sz="8" w:space="0" w:color="7030A0"/>
              <w:right w:val="single" w:sz="8" w:space="0" w:color="7030A0"/>
            </w:tcBorders>
            <w:vAlign w:val="center"/>
            <w:hideMark/>
          </w:tcPr>
          <w:p w:rsidR="00B02769" w:rsidRPr="00B02769" w:rsidRDefault="00B02769" w:rsidP="00B02769">
            <w:pPr>
              <w:spacing w:after="0"/>
              <w:jc w:val="left"/>
              <w:rPr>
                <w:rFonts w:cs="Calibri"/>
                <w:color w:val="000000"/>
                <w:szCs w:val="20"/>
                <w:lang w:val="fr-FR" w:eastAsia="fr-FR"/>
              </w:rPr>
            </w:pPr>
          </w:p>
        </w:tc>
        <w:tc>
          <w:tcPr>
            <w:tcW w:w="1096" w:type="dxa"/>
            <w:vMerge/>
            <w:tcBorders>
              <w:top w:val="single" w:sz="8" w:space="0" w:color="7030A0"/>
              <w:left w:val="single" w:sz="8" w:space="0" w:color="7030A0"/>
              <w:bottom w:val="single" w:sz="8" w:space="0" w:color="7030A0"/>
              <w:right w:val="single" w:sz="8" w:space="0" w:color="7030A0"/>
            </w:tcBorders>
            <w:vAlign w:val="center"/>
            <w:hideMark/>
          </w:tcPr>
          <w:p w:rsidR="00B02769" w:rsidRPr="00B02769" w:rsidRDefault="00B02769" w:rsidP="00B02769">
            <w:pPr>
              <w:spacing w:after="0"/>
              <w:jc w:val="left"/>
              <w:rPr>
                <w:rFonts w:cs="Calibri"/>
                <w:color w:val="000000"/>
                <w:szCs w:val="20"/>
                <w:lang w:val="fr-FR" w:eastAsia="fr-FR"/>
              </w:rPr>
            </w:pPr>
          </w:p>
        </w:tc>
        <w:tc>
          <w:tcPr>
            <w:tcW w:w="1075" w:type="dxa"/>
            <w:vMerge/>
            <w:tcBorders>
              <w:top w:val="single" w:sz="8" w:space="0" w:color="7030A0"/>
              <w:left w:val="single" w:sz="8" w:space="0" w:color="7030A0"/>
              <w:bottom w:val="single" w:sz="8" w:space="0" w:color="7030A0"/>
              <w:right w:val="single" w:sz="8" w:space="0" w:color="7030A0"/>
            </w:tcBorders>
            <w:vAlign w:val="center"/>
            <w:hideMark/>
          </w:tcPr>
          <w:p w:rsidR="00B02769" w:rsidRPr="00B02769" w:rsidRDefault="00B02769" w:rsidP="00B02769">
            <w:pPr>
              <w:spacing w:after="0"/>
              <w:jc w:val="left"/>
              <w:rPr>
                <w:rFonts w:cs="Calibri"/>
                <w:color w:val="000000"/>
                <w:szCs w:val="20"/>
                <w:lang w:val="fr-FR" w:eastAsia="fr-FR"/>
              </w:rPr>
            </w:pPr>
          </w:p>
        </w:tc>
        <w:tc>
          <w:tcPr>
            <w:tcW w:w="1092" w:type="dxa"/>
            <w:vMerge/>
            <w:tcBorders>
              <w:top w:val="single" w:sz="8" w:space="0" w:color="7030A0"/>
              <w:left w:val="single" w:sz="8" w:space="0" w:color="7030A0"/>
              <w:bottom w:val="single" w:sz="8" w:space="0" w:color="7030A0"/>
              <w:right w:val="single" w:sz="8" w:space="0" w:color="7030A0"/>
            </w:tcBorders>
            <w:vAlign w:val="center"/>
            <w:hideMark/>
          </w:tcPr>
          <w:p w:rsidR="00B02769" w:rsidRPr="00B02769" w:rsidRDefault="00B02769" w:rsidP="00B02769">
            <w:pPr>
              <w:spacing w:after="0"/>
              <w:jc w:val="left"/>
              <w:rPr>
                <w:rFonts w:cs="Calibri"/>
                <w:color w:val="000000"/>
                <w:szCs w:val="20"/>
                <w:lang w:val="fr-FR" w:eastAsia="fr-FR"/>
              </w:rPr>
            </w:pPr>
          </w:p>
        </w:tc>
        <w:tc>
          <w:tcPr>
            <w:tcW w:w="1073" w:type="dxa"/>
            <w:vMerge/>
            <w:tcBorders>
              <w:top w:val="single" w:sz="8" w:space="0" w:color="7030A0"/>
              <w:left w:val="single" w:sz="8" w:space="0" w:color="7030A0"/>
              <w:bottom w:val="single" w:sz="8" w:space="0" w:color="7030A0"/>
              <w:right w:val="single" w:sz="8" w:space="0" w:color="7030A0"/>
            </w:tcBorders>
            <w:vAlign w:val="center"/>
            <w:hideMark/>
          </w:tcPr>
          <w:p w:rsidR="00B02769" w:rsidRPr="00B02769" w:rsidRDefault="00B02769" w:rsidP="00B02769">
            <w:pPr>
              <w:spacing w:after="0"/>
              <w:jc w:val="left"/>
              <w:rPr>
                <w:rFonts w:cs="Calibri"/>
                <w:color w:val="000000"/>
                <w:szCs w:val="20"/>
                <w:lang w:val="fr-FR" w:eastAsia="fr-FR"/>
              </w:rPr>
            </w:pPr>
          </w:p>
        </w:tc>
      </w:tr>
      <w:tr w:rsidR="00B02769" w:rsidRPr="008C1A4A" w:rsidTr="00B02769">
        <w:trPr>
          <w:trHeight w:val="290"/>
        </w:trPr>
        <w:tc>
          <w:tcPr>
            <w:tcW w:w="1011" w:type="dxa"/>
            <w:vMerge w:val="restart"/>
            <w:tcBorders>
              <w:top w:val="single" w:sz="8" w:space="0" w:color="7030A0"/>
              <w:left w:val="single" w:sz="8" w:space="0" w:color="7030A0"/>
              <w:bottom w:val="single" w:sz="8" w:space="0" w:color="7030A0"/>
              <w:right w:val="nil"/>
            </w:tcBorders>
            <w:shd w:val="clear" w:color="auto" w:fill="auto"/>
            <w:vAlign w:val="center"/>
            <w:hideMark/>
          </w:tcPr>
          <w:p w:rsidR="00B02769" w:rsidRPr="00B02769" w:rsidRDefault="00B02769" w:rsidP="00B02769">
            <w:pPr>
              <w:spacing w:after="0"/>
              <w:rPr>
                <w:rFonts w:cs="Calibri"/>
                <w:color w:val="000000"/>
                <w:szCs w:val="20"/>
                <w:lang w:val="fr-FR" w:eastAsia="fr-FR"/>
              </w:rPr>
            </w:pPr>
            <w:r w:rsidRPr="00B02769">
              <w:rPr>
                <w:rFonts w:cs="Calibri"/>
                <w:color w:val="000000"/>
                <w:szCs w:val="20"/>
                <w:lang w:val="fr-FR" w:eastAsia="fr-FR"/>
              </w:rPr>
              <w:t xml:space="preserve">Date début mandat : </w:t>
            </w:r>
          </w:p>
        </w:tc>
        <w:tc>
          <w:tcPr>
            <w:tcW w:w="8608" w:type="dxa"/>
            <w:gridSpan w:val="8"/>
            <w:tcBorders>
              <w:top w:val="single" w:sz="8" w:space="0" w:color="7030A0"/>
              <w:left w:val="nil"/>
              <w:bottom w:val="nil"/>
              <w:right w:val="single" w:sz="8" w:space="0" w:color="7030A0"/>
            </w:tcBorders>
            <w:shd w:val="clear" w:color="auto" w:fill="auto"/>
            <w:vAlign w:val="center"/>
            <w:hideMark/>
          </w:tcPr>
          <w:p w:rsidR="00B02769" w:rsidRPr="00B02769" w:rsidRDefault="00B02769" w:rsidP="00B02769">
            <w:pPr>
              <w:spacing w:after="0"/>
              <w:rPr>
                <w:rFonts w:cs="Calibri"/>
                <w:color w:val="000000"/>
                <w:szCs w:val="20"/>
                <w:lang w:val="fr-FR" w:eastAsia="fr-FR"/>
              </w:rPr>
            </w:pPr>
            <w:r w:rsidRPr="00B02769">
              <w:rPr>
                <w:rFonts w:cs="Calibri"/>
                <w:color w:val="000000"/>
                <w:szCs w:val="20"/>
                <w:lang w:val="fr-FR" w:eastAsia="fr-FR"/>
              </w:rPr>
              <w:t>Conseil d’administration du 4 décembre 2013, renouvelé le 13 juillet 2017.</w:t>
            </w:r>
          </w:p>
        </w:tc>
      </w:tr>
      <w:tr w:rsidR="00B02769" w:rsidRPr="008C1A4A" w:rsidTr="00B02769">
        <w:trPr>
          <w:trHeight w:val="290"/>
        </w:trPr>
        <w:tc>
          <w:tcPr>
            <w:tcW w:w="1011" w:type="dxa"/>
            <w:vMerge/>
            <w:tcBorders>
              <w:top w:val="single" w:sz="8" w:space="0" w:color="7030A0"/>
              <w:left w:val="single" w:sz="8" w:space="0" w:color="7030A0"/>
              <w:bottom w:val="single" w:sz="8" w:space="0" w:color="7030A0"/>
              <w:right w:val="nil"/>
            </w:tcBorders>
            <w:vAlign w:val="center"/>
            <w:hideMark/>
          </w:tcPr>
          <w:p w:rsidR="00B02769" w:rsidRPr="00B02769" w:rsidRDefault="00B02769" w:rsidP="00B02769">
            <w:pPr>
              <w:spacing w:after="0"/>
              <w:jc w:val="left"/>
              <w:rPr>
                <w:rFonts w:cs="Calibri"/>
                <w:color w:val="000000"/>
                <w:szCs w:val="20"/>
                <w:lang w:val="fr-FR" w:eastAsia="fr-FR"/>
              </w:rPr>
            </w:pPr>
          </w:p>
        </w:tc>
        <w:tc>
          <w:tcPr>
            <w:tcW w:w="8608" w:type="dxa"/>
            <w:gridSpan w:val="8"/>
            <w:tcBorders>
              <w:top w:val="nil"/>
              <w:left w:val="nil"/>
              <w:bottom w:val="nil"/>
              <w:right w:val="single" w:sz="8" w:space="0" w:color="7030A0"/>
            </w:tcBorders>
            <w:shd w:val="clear" w:color="auto" w:fill="auto"/>
            <w:vAlign w:val="center"/>
            <w:hideMark/>
          </w:tcPr>
          <w:p w:rsidR="00B02769" w:rsidRPr="00B02769" w:rsidRDefault="00B02769" w:rsidP="00B02769">
            <w:pPr>
              <w:spacing w:after="0"/>
              <w:rPr>
                <w:rFonts w:cs="Calibri"/>
                <w:color w:val="000000"/>
                <w:szCs w:val="20"/>
                <w:lang w:val="fr-FR" w:eastAsia="fr-FR"/>
              </w:rPr>
            </w:pPr>
          </w:p>
        </w:tc>
      </w:tr>
      <w:tr w:rsidR="00B02769" w:rsidRPr="008C1A4A" w:rsidTr="00B02769">
        <w:trPr>
          <w:trHeight w:val="520"/>
        </w:trPr>
        <w:tc>
          <w:tcPr>
            <w:tcW w:w="1011" w:type="dxa"/>
            <w:vMerge/>
            <w:tcBorders>
              <w:top w:val="single" w:sz="8" w:space="0" w:color="7030A0"/>
              <w:left w:val="single" w:sz="8" w:space="0" w:color="7030A0"/>
              <w:bottom w:val="single" w:sz="8" w:space="0" w:color="7030A0"/>
              <w:right w:val="nil"/>
            </w:tcBorders>
            <w:vAlign w:val="center"/>
            <w:hideMark/>
          </w:tcPr>
          <w:p w:rsidR="00B02769" w:rsidRPr="00B02769" w:rsidRDefault="00B02769" w:rsidP="00B02769">
            <w:pPr>
              <w:spacing w:after="0"/>
              <w:jc w:val="left"/>
              <w:rPr>
                <w:rFonts w:cs="Calibri"/>
                <w:color w:val="000000"/>
                <w:szCs w:val="20"/>
                <w:lang w:val="fr-FR" w:eastAsia="fr-FR"/>
              </w:rPr>
            </w:pPr>
          </w:p>
        </w:tc>
        <w:tc>
          <w:tcPr>
            <w:tcW w:w="8608" w:type="dxa"/>
            <w:gridSpan w:val="8"/>
            <w:tcBorders>
              <w:top w:val="nil"/>
              <w:left w:val="nil"/>
              <w:bottom w:val="single" w:sz="8" w:space="0" w:color="7030A0"/>
              <w:right w:val="single" w:sz="8" w:space="0" w:color="7030A0"/>
            </w:tcBorders>
            <w:shd w:val="clear" w:color="auto" w:fill="auto"/>
            <w:vAlign w:val="center"/>
            <w:hideMark/>
          </w:tcPr>
          <w:p w:rsidR="00B02769" w:rsidRPr="00B02769" w:rsidRDefault="00B02769" w:rsidP="00B02769">
            <w:pPr>
              <w:spacing w:after="0"/>
              <w:rPr>
                <w:rFonts w:cs="Calibri"/>
                <w:color w:val="000000"/>
                <w:szCs w:val="20"/>
                <w:lang w:val="fr-FR" w:eastAsia="fr-FR"/>
              </w:rPr>
            </w:pPr>
            <w:r w:rsidRPr="00B02769">
              <w:rPr>
                <w:rFonts w:cs="Calibri"/>
                <w:color w:val="000000"/>
                <w:szCs w:val="20"/>
                <w:lang w:val="fr-FR" w:eastAsia="fr-FR"/>
              </w:rPr>
              <w:t>Assemblée générale ordinaire des actionnaires statuant sur les comptes de l’exercice clos au 31 décembre 2020.</w:t>
            </w:r>
          </w:p>
        </w:tc>
      </w:tr>
    </w:tbl>
    <w:p w:rsidR="00B740A8" w:rsidRDefault="00B740A8" w:rsidP="00B740A8">
      <w:pPr>
        <w:rPr>
          <w:rFonts w:asciiTheme="minorHAnsi" w:hAnsiTheme="minorHAnsi" w:cstheme="minorHAnsi"/>
          <w:color w:val="7030A0"/>
          <w:szCs w:val="22"/>
          <w:lang w:val="fr-FR"/>
        </w:rPr>
      </w:pPr>
    </w:p>
    <w:p w:rsidR="00B02769" w:rsidRPr="00C73365" w:rsidRDefault="00B02769" w:rsidP="00B740A8">
      <w:pPr>
        <w:rPr>
          <w:rFonts w:asciiTheme="minorHAnsi" w:hAnsiTheme="minorHAnsi" w:cstheme="minorHAnsi"/>
          <w:color w:val="7030A0"/>
          <w:szCs w:val="22"/>
          <w:lang w:val="fr-FR"/>
        </w:rPr>
      </w:pP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779" w:name="_Toc462673272"/>
      <w:bookmarkStart w:id="780" w:name="_Toc467835621"/>
      <w:bookmarkStart w:id="781" w:name="_Toc482695292"/>
      <w:bookmarkStart w:id="782" w:name="_Toc512863934"/>
      <w:r w:rsidRPr="00C73365">
        <w:rPr>
          <w:rFonts w:asciiTheme="minorHAnsi" w:hAnsiTheme="minorHAnsi" w:cstheme="minorHAnsi"/>
          <w:sz w:val="22"/>
          <w:lang w:val="fr-FR"/>
        </w:rPr>
        <w:t>Sommes provisionnées par la Société aux fins de versement de pensions, retraites et autres avantages au profit des mandataires sociaux</w:t>
      </w:r>
      <w:bookmarkEnd w:id="778"/>
      <w:bookmarkEnd w:id="779"/>
      <w:bookmarkEnd w:id="780"/>
      <w:bookmarkEnd w:id="781"/>
      <w:bookmarkEnd w:id="782"/>
    </w:p>
    <w:p w:rsidR="00B740A8" w:rsidRPr="00C73365" w:rsidRDefault="00B740A8" w:rsidP="00B740A8">
      <w:pPr>
        <w:pStyle w:val="ConmainL2"/>
        <w:numPr>
          <w:ilvl w:val="0"/>
          <w:numId w:val="0"/>
        </w:numPr>
        <w:spacing w:after="0"/>
        <w:outlineLvl w:val="9"/>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Néant.</w:t>
      </w: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783" w:name="_Toc402884161"/>
      <w:bookmarkStart w:id="784" w:name="_Toc462673273"/>
      <w:bookmarkStart w:id="785" w:name="_Toc467835622"/>
      <w:bookmarkStart w:id="786" w:name="_Toc482695293"/>
      <w:bookmarkStart w:id="787" w:name="_Toc512863935"/>
      <w:r w:rsidRPr="00C73365">
        <w:rPr>
          <w:rFonts w:asciiTheme="minorHAnsi" w:hAnsiTheme="minorHAnsi" w:cstheme="minorHAnsi"/>
          <w:sz w:val="22"/>
          <w:lang w:val="fr-FR"/>
        </w:rPr>
        <w:t>Actions attribuées gratuitement, bons de souscription d’actions et options de souscription d’actions attribuées aux mandataires sociaux</w:t>
      </w:r>
      <w:bookmarkEnd w:id="783"/>
      <w:bookmarkEnd w:id="784"/>
      <w:bookmarkEnd w:id="785"/>
      <w:bookmarkEnd w:id="786"/>
      <w:bookmarkEnd w:id="787"/>
    </w:p>
    <w:p w:rsidR="00B740A8" w:rsidRPr="00C73365" w:rsidRDefault="00B740A8" w:rsidP="00B740A8">
      <w:pPr>
        <w:rPr>
          <w:rFonts w:asciiTheme="minorHAnsi" w:hAnsiTheme="minorHAnsi" w:cstheme="minorHAnsi"/>
          <w:szCs w:val="20"/>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Une description détaillée des termes de chacun des plans mentionnés ci-dessus figure au paragraphe 21.1.5 « </w:t>
      </w:r>
      <w:r w:rsidR="00CA545C" w:rsidRPr="00CA545C">
        <w:rPr>
          <w:rFonts w:asciiTheme="minorHAnsi" w:hAnsiTheme="minorHAnsi" w:cstheme="minorHAnsi"/>
          <w:lang w:val="fr-FR"/>
        </w:rPr>
        <w:t>Valeurs mobilières convertibles, échangeables ou assorties de bons de souscription</w:t>
      </w:r>
      <w:r w:rsidR="00CA545C">
        <w:rPr>
          <w:rFonts w:asciiTheme="minorHAnsi" w:hAnsiTheme="minorHAnsi" w:cstheme="minorHAnsi"/>
          <w:lang w:val="fr-FR"/>
        </w:rPr>
        <w:t xml:space="preserve"> </w:t>
      </w:r>
      <w:r w:rsidRPr="00C73365">
        <w:rPr>
          <w:rFonts w:asciiTheme="minorHAnsi" w:hAnsiTheme="minorHAnsi" w:cstheme="minorHAnsi"/>
          <w:lang w:val="fr-FR"/>
        </w:rPr>
        <w:t>» du présent document de référence. Les chiffres indiqués correspondent au nombre d’actions pouvant être souscrites par exercice de chacun des droits ou des valeurs mobilières donnant accès au capital.</w:t>
      </w:r>
      <w:r w:rsidRPr="00C73365">
        <w:rPr>
          <w:rFonts w:asciiTheme="minorHAnsi" w:hAnsiTheme="minorHAnsi" w:cstheme="minorHAnsi"/>
          <w:highlight w:val="yellow"/>
          <w:lang w:val="fr-FR"/>
        </w:rPr>
        <w:t xml:space="preserve"> </w:t>
      </w:r>
    </w:p>
    <w:p w:rsidR="00B740A8" w:rsidRPr="00C73365" w:rsidRDefault="00B740A8" w:rsidP="00B740A8">
      <w:pPr>
        <w:rPr>
          <w:rFonts w:asciiTheme="minorHAnsi" w:hAnsiTheme="minorHAnsi" w:cstheme="minorHAnsi"/>
          <w:lang w:val="fr-FR"/>
        </w:rPr>
      </w:pP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788" w:name="_Toc512863936"/>
      <w:r w:rsidRPr="00C73365">
        <w:rPr>
          <w:rFonts w:asciiTheme="minorHAnsi" w:hAnsiTheme="minorHAnsi" w:cstheme="minorHAnsi"/>
          <w:sz w:val="22"/>
          <w:lang w:val="fr-FR"/>
        </w:rPr>
        <w:t>Eléments de rémunérations et avantages dus ou susceptibles d’être dus à raison ou postérieurement à la cessation des fonctions de dirigeants de la Société</w:t>
      </w:r>
      <w:bookmarkEnd w:id="788"/>
    </w:p>
    <w:p w:rsidR="00B740A8" w:rsidRPr="00C73365" w:rsidRDefault="00B740A8" w:rsidP="00B740A8">
      <w:pPr>
        <w:rPr>
          <w:rFonts w:asciiTheme="minorHAnsi" w:hAnsiTheme="minorHAnsi" w:cstheme="minorHAnsi"/>
          <w:b/>
          <w:lang w:val="fr-FR"/>
        </w:rPr>
      </w:pPr>
    </w:p>
    <w:p w:rsidR="00B740A8"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Néant. </w:t>
      </w:r>
    </w:p>
    <w:p w:rsidR="004834A9" w:rsidRPr="00C73365" w:rsidRDefault="004834A9" w:rsidP="004572A0">
      <w:pPr>
        <w:pStyle w:val="BodyText"/>
        <w:rPr>
          <w:rFonts w:asciiTheme="minorHAnsi" w:hAnsiTheme="minorHAnsi" w:cstheme="minorHAnsi"/>
          <w:lang w:val="fr-FR"/>
        </w:rPr>
      </w:pP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789" w:name="_Toc512863937"/>
      <w:r w:rsidRPr="00C73365">
        <w:rPr>
          <w:rFonts w:asciiTheme="minorHAnsi" w:hAnsiTheme="minorHAnsi" w:cstheme="minorHAnsi"/>
          <w:sz w:val="22"/>
          <w:lang w:val="fr-FR"/>
        </w:rPr>
        <w:t>Prêts et garanties accordés aux dirigeants</w:t>
      </w:r>
      <w:bookmarkEnd w:id="789"/>
    </w:p>
    <w:p w:rsidR="00B740A8" w:rsidRPr="00C73365" w:rsidRDefault="00B740A8" w:rsidP="00B740A8">
      <w:pPr>
        <w:rPr>
          <w:rFonts w:asciiTheme="minorHAnsi" w:hAnsiTheme="minorHAnsi" w:cstheme="minorHAnsi"/>
          <w:sz w:val="22"/>
          <w:lang w:val="fr-FR"/>
        </w:rPr>
      </w:pPr>
    </w:p>
    <w:p w:rsidR="00B740A8" w:rsidRPr="00C73365" w:rsidRDefault="00B740A8" w:rsidP="00710D60">
      <w:pPr>
        <w:pStyle w:val="ListContinue2"/>
        <w:ind w:left="0"/>
        <w:rPr>
          <w:rFonts w:asciiTheme="minorHAnsi" w:hAnsiTheme="minorHAnsi" w:cstheme="minorHAnsi"/>
          <w:lang w:val="fr-FR"/>
        </w:rPr>
      </w:pPr>
      <w:r w:rsidRPr="00C73365">
        <w:rPr>
          <w:rFonts w:asciiTheme="minorHAnsi" w:hAnsiTheme="minorHAnsi" w:cstheme="minorHAnsi"/>
          <w:lang w:val="fr-FR"/>
        </w:rPr>
        <w:t>Néant.</w:t>
      </w:r>
    </w:p>
    <w:p w:rsidR="00B740A8" w:rsidRPr="00C73365" w:rsidRDefault="00B740A8" w:rsidP="00B740A8">
      <w:pPr>
        <w:rPr>
          <w:rFonts w:asciiTheme="minorHAnsi" w:hAnsiTheme="minorHAnsi" w:cstheme="minorHAnsi"/>
          <w:sz w:val="22"/>
          <w:lang w:val="fr-FR"/>
        </w:rPr>
      </w:pPr>
    </w:p>
    <w:p w:rsidR="00B740A8" w:rsidRPr="00C73365" w:rsidRDefault="00B740A8" w:rsidP="00B740A8">
      <w:pPr>
        <w:pStyle w:val="ConmainL2"/>
        <w:numPr>
          <w:ilvl w:val="1"/>
          <w:numId w:val="9"/>
        </w:numPr>
        <w:spacing w:after="0"/>
        <w:rPr>
          <w:rFonts w:asciiTheme="minorHAnsi" w:hAnsiTheme="minorHAnsi" w:cstheme="minorHAnsi"/>
          <w:lang w:val="fr-FR"/>
        </w:rPr>
      </w:pPr>
      <w:bookmarkStart w:id="790" w:name="_Toc512863938"/>
      <w:r w:rsidRPr="00C73365">
        <w:rPr>
          <w:rFonts w:asciiTheme="minorHAnsi" w:hAnsiTheme="minorHAnsi" w:cstheme="minorHAnsi"/>
          <w:sz w:val="22"/>
          <w:lang w:val="fr-FR"/>
        </w:rPr>
        <w:t>Rémunérations et avantages des dirigeants mandataires sociaux exécutifs au titre de l’exercice 2018</w:t>
      </w:r>
      <w:bookmarkEnd w:id="790"/>
    </w:p>
    <w:p w:rsidR="00B740A8" w:rsidRPr="00C73365" w:rsidRDefault="00B740A8" w:rsidP="00B740A8">
      <w:pPr>
        <w:rPr>
          <w:rFonts w:asciiTheme="minorHAnsi" w:hAnsiTheme="minorHAnsi" w:cstheme="minorHAnsi"/>
          <w:lang w:val="fr-FR"/>
        </w:rPr>
      </w:pPr>
    </w:p>
    <w:p w:rsidR="00B740A8" w:rsidRPr="00C73365" w:rsidRDefault="00B740A8" w:rsidP="00B740A8">
      <w:pPr>
        <w:pStyle w:val="ConmainL3"/>
        <w:numPr>
          <w:ilvl w:val="2"/>
          <w:numId w:val="9"/>
        </w:numPr>
        <w:spacing w:after="0"/>
        <w:rPr>
          <w:rFonts w:asciiTheme="minorHAnsi" w:hAnsiTheme="minorHAnsi" w:cstheme="minorHAnsi"/>
          <w:b/>
          <w:color w:val="7030A0"/>
          <w:lang w:val="fr-FR"/>
        </w:rPr>
      </w:pPr>
      <w:bookmarkStart w:id="791" w:name="_Toc476647132"/>
      <w:bookmarkStart w:id="792" w:name="_Toc480795819"/>
      <w:r w:rsidRPr="00C73365">
        <w:rPr>
          <w:rFonts w:asciiTheme="minorHAnsi" w:hAnsiTheme="minorHAnsi" w:cstheme="minorHAnsi"/>
          <w:b/>
          <w:color w:val="7030A0"/>
          <w:lang w:val="fr-FR"/>
        </w:rPr>
        <w:t>Principes et composantes de la rémunération des dirigeants mandataires sociaux exécutifs</w:t>
      </w:r>
      <w:bookmarkEnd w:id="791"/>
      <w:bookmarkEnd w:id="792"/>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principes généraux de la politique de rémunération des dirigeants mandataires sociaux exécutifs sont décidés par le conseil d’administration sur proposition du </w:t>
      </w:r>
      <w:r w:rsidR="00AC15E8">
        <w:rPr>
          <w:rFonts w:asciiTheme="minorHAnsi" w:hAnsiTheme="minorHAnsi" w:cstheme="minorHAnsi"/>
          <w:lang w:val="fr-FR"/>
        </w:rPr>
        <w:t>comité des recrutements et des rémunérations</w:t>
      </w:r>
      <w:r w:rsidRPr="00C73365">
        <w:rPr>
          <w:rFonts w:asciiTheme="minorHAnsi" w:hAnsiTheme="minorHAnsi" w:cstheme="minorHAnsi"/>
          <w:lang w:val="fr-FR"/>
        </w:rPr>
        <w:t>.</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politique de rémunération prend en compte les principes suivants conformément aux règles élaborées au sein du Code MiddleNext auquel la Société a adhéré :</w:t>
      </w:r>
    </w:p>
    <w:p w:rsidR="00B740A8" w:rsidRPr="00C73365" w:rsidRDefault="00B740A8" w:rsidP="00434C49">
      <w:pPr>
        <w:pStyle w:val="ListBullet"/>
        <w:numPr>
          <w:ilvl w:val="0"/>
          <w:numId w:val="103"/>
        </w:numPr>
        <w:rPr>
          <w:rFonts w:asciiTheme="minorHAnsi" w:hAnsiTheme="minorHAnsi" w:cstheme="minorHAnsi"/>
          <w:lang w:val="fr-FR"/>
        </w:rPr>
      </w:pPr>
      <w:r w:rsidRPr="00C73365">
        <w:rPr>
          <w:rFonts w:asciiTheme="minorHAnsi" w:hAnsiTheme="minorHAnsi" w:cstheme="minorHAnsi"/>
          <w:b/>
          <w:lang w:val="fr-FR"/>
        </w:rPr>
        <w:t>L’exhaustivité de la rémunération</w:t>
      </w:r>
      <w:r w:rsidRPr="00C73365">
        <w:rPr>
          <w:rFonts w:asciiTheme="minorHAnsi" w:hAnsiTheme="minorHAnsi" w:cstheme="minorHAnsi"/>
          <w:lang w:val="fr-FR"/>
        </w:rPr>
        <w:t xml:space="preserve"> présentée : l’ensemble des éléments de la rémunération est retenu dans l’appréciation globale de la rémunération ; ceux-ci sont clairement motivés,</w:t>
      </w:r>
    </w:p>
    <w:p w:rsidR="00B740A8" w:rsidRPr="00C73365" w:rsidRDefault="00B740A8" w:rsidP="00434C49">
      <w:pPr>
        <w:pStyle w:val="ListBullet"/>
        <w:numPr>
          <w:ilvl w:val="0"/>
          <w:numId w:val="103"/>
        </w:numPr>
        <w:rPr>
          <w:rFonts w:asciiTheme="minorHAnsi" w:hAnsiTheme="minorHAnsi" w:cstheme="minorHAnsi"/>
          <w:lang w:val="fr-FR"/>
        </w:rPr>
      </w:pPr>
      <w:r w:rsidRPr="00C73365">
        <w:rPr>
          <w:rFonts w:asciiTheme="minorHAnsi" w:hAnsiTheme="minorHAnsi" w:cstheme="minorHAnsi"/>
          <w:lang w:val="fr-FR"/>
        </w:rPr>
        <w:t xml:space="preserve">Le </w:t>
      </w:r>
      <w:r w:rsidRPr="00C73365">
        <w:rPr>
          <w:rFonts w:asciiTheme="minorHAnsi" w:hAnsiTheme="minorHAnsi" w:cstheme="minorHAnsi"/>
          <w:b/>
          <w:lang w:val="fr-FR"/>
        </w:rPr>
        <w:t>principe d’équilibre et de cohérence</w:t>
      </w:r>
      <w:r w:rsidRPr="00C73365">
        <w:rPr>
          <w:rFonts w:asciiTheme="minorHAnsi" w:hAnsiTheme="minorHAnsi" w:cstheme="minorHAnsi"/>
          <w:lang w:val="fr-FR"/>
        </w:rPr>
        <w:t xml:space="preserve"> : le </w:t>
      </w:r>
      <w:r w:rsidR="00AC15E8">
        <w:rPr>
          <w:rFonts w:asciiTheme="minorHAnsi" w:hAnsiTheme="minorHAnsi" w:cstheme="minorHAnsi"/>
          <w:lang w:val="fr-FR"/>
        </w:rPr>
        <w:t>comité des recrutements et des rémunérations</w:t>
      </w:r>
      <w:r w:rsidRPr="00C73365">
        <w:rPr>
          <w:rFonts w:asciiTheme="minorHAnsi" w:hAnsiTheme="minorHAnsi" w:cstheme="minorHAnsi"/>
          <w:lang w:val="fr-FR"/>
        </w:rPr>
        <w:t xml:space="preserve"> veille à l’équilibre et à la cohérence des rémunérations afin que celles-ci correspondent à l’intérêt général de l’entreprise, </w:t>
      </w:r>
    </w:p>
    <w:p w:rsidR="00B740A8" w:rsidRPr="00C73365" w:rsidRDefault="00B740A8" w:rsidP="00434C49">
      <w:pPr>
        <w:pStyle w:val="ListBullet"/>
        <w:numPr>
          <w:ilvl w:val="0"/>
          <w:numId w:val="103"/>
        </w:numPr>
        <w:rPr>
          <w:rFonts w:asciiTheme="minorHAnsi" w:hAnsiTheme="minorHAnsi" w:cstheme="minorHAnsi"/>
          <w:lang w:val="fr-FR"/>
        </w:rPr>
      </w:pPr>
      <w:r w:rsidRPr="00C73365">
        <w:rPr>
          <w:rFonts w:asciiTheme="minorHAnsi" w:hAnsiTheme="minorHAnsi" w:cstheme="minorHAnsi"/>
          <w:lang w:val="fr-FR"/>
        </w:rPr>
        <w:t xml:space="preserve">La </w:t>
      </w:r>
      <w:r w:rsidRPr="00C73365">
        <w:rPr>
          <w:rFonts w:asciiTheme="minorHAnsi" w:hAnsiTheme="minorHAnsi" w:cstheme="minorHAnsi"/>
          <w:b/>
          <w:lang w:val="fr-FR"/>
        </w:rPr>
        <w:t>lisibilité des règles</w:t>
      </w:r>
      <w:r w:rsidRPr="00C73365">
        <w:rPr>
          <w:rFonts w:asciiTheme="minorHAnsi" w:hAnsiTheme="minorHAnsi" w:cstheme="minorHAnsi"/>
          <w:lang w:val="fr-FR"/>
        </w:rPr>
        <w:t> : les règles doivent être simples et transparentes ; les critères de performance utilisés pour établir la partie variable de la rémunération, ou le cas échéant, pour l’attribution d’options ou d’actions gratuites doivent être en lien avec la performance de l’entreprise, correspondre à ses objectifs, être exigeants, explicables et, autant que possible, pérennes,</w:t>
      </w:r>
    </w:p>
    <w:p w:rsidR="00B740A8" w:rsidRPr="00C73365" w:rsidRDefault="00B740A8" w:rsidP="00434C49">
      <w:pPr>
        <w:pStyle w:val="ListBullet"/>
        <w:numPr>
          <w:ilvl w:val="0"/>
          <w:numId w:val="103"/>
        </w:numPr>
        <w:rPr>
          <w:rFonts w:asciiTheme="minorHAnsi" w:hAnsiTheme="minorHAnsi" w:cstheme="minorHAnsi"/>
          <w:lang w:val="fr-FR"/>
        </w:rPr>
      </w:pPr>
      <w:r w:rsidRPr="00C73365">
        <w:rPr>
          <w:rFonts w:asciiTheme="minorHAnsi" w:hAnsiTheme="minorHAnsi" w:cstheme="minorHAnsi"/>
          <w:lang w:val="fr-FR"/>
        </w:rPr>
        <w:t xml:space="preserve">La </w:t>
      </w:r>
      <w:r w:rsidRPr="00C73365">
        <w:rPr>
          <w:rFonts w:asciiTheme="minorHAnsi" w:hAnsiTheme="minorHAnsi" w:cstheme="minorHAnsi"/>
          <w:b/>
          <w:lang w:val="fr-FR"/>
        </w:rPr>
        <w:t>mesure</w:t>
      </w:r>
      <w:r w:rsidRPr="00C73365">
        <w:rPr>
          <w:rFonts w:asciiTheme="minorHAnsi" w:hAnsiTheme="minorHAnsi" w:cstheme="minorHAnsi"/>
          <w:lang w:val="fr-FR"/>
        </w:rPr>
        <w:t> : la détermination de la rémunération doit réaliser un juste équilibre et tenir compte à la fois de l’intérêt général de l’entreprise, des pratiques du marché et des performances des dirigeants,</w:t>
      </w:r>
    </w:p>
    <w:p w:rsidR="00B740A8" w:rsidRPr="00C73365" w:rsidRDefault="00B740A8" w:rsidP="00434C49">
      <w:pPr>
        <w:pStyle w:val="ListBullet"/>
        <w:numPr>
          <w:ilvl w:val="0"/>
          <w:numId w:val="103"/>
        </w:numPr>
        <w:rPr>
          <w:rFonts w:asciiTheme="minorHAnsi" w:hAnsiTheme="minorHAnsi" w:cstheme="minorHAnsi"/>
          <w:lang w:val="fr-FR"/>
        </w:rPr>
      </w:pPr>
      <w:r w:rsidRPr="00C73365">
        <w:rPr>
          <w:rFonts w:asciiTheme="minorHAnsi" w:hAnsiTheme="minorHAnsi" w:cstheme="minorHAnsi"/>
          <w:lang w:val="fr-FR"/>
        </w:rPr>
        <w:t xml:space="preserve">La </w:t>
      </w:r>
      <w:r w:rsidRPr="00C73365">
        <w:rPr>
          <w:rFonts w:asciiTheme="minorHAnsi" w:hAnsiTheme="minorHAnsi" w:cstheme="minorHAnsi"/>
          <w:b/>
          <w:lang w:val="fr-FR"/>
        </w:rPr>
        <w:t>transparence</w:t>
      </w:r>
      <w:r w:rsidRPr="00C73365">
        <w:rPr>
          <w:rFonts w:asciiTheme="minorHAnsi" w:hAnsiTheme="minorHAnsi" w:cstheme="minorHAnsi"/>
          <w:lang w:val="fr-FR"/>
        </w:rPr>
        <w:t> : l’information annuelle des actionnaires sur l’intégralité des rémunérations et des avantages perçus par les dirigeants est effectuée de façon transparente conformément à règlementation applicable,</w:t>
      </w:r>
    </w:p>
    <w:p w:rsidR="00B740A8" w:rsidRPr="00C73365" w:rsidRDefault="00B740A8" w:rsidP="00434C49">
      <w:pPr>
        <w:pStyle w:val="ListBullet"/>
        <w:numPr>
          <w:ilvl w:val="0"/>
          <w:numId w:val="103"/>
        </w:numPr>
        <w:rPr>
          <w:rFonts w:asciiTheme="minorHAnsi" w:hAnsiTheme="minorHAnsi" w:cstheme="minorHAnsi"/>
          <w:lang w:val="fr-FR"/>
        </w:rPr>
      </w:pPr>
      <w:r w:rsidRPr="00C73365">
        <w:rPr>
          <w:rFonts w:asciiTheme="minorHAnsi" w:hAnsiTheme="minorHAnsi" w:cstheme="minorHAnsi"/>
          <w:lang w:val="fr-FR"/>
        </w:rPr>
        <w:t xml:space="preserve">Le conseil d’administration et le </w:t>
      </w:r>
      <w:r w:rsidR="00AC15E8">
        <w:rPr>
          <w:rFonts w:asciiTheme="minorHAnsi" w:hAnsiTheme="minorHAnsi" w:cstheme="minorHAnsi"/>
          <w:lang w:val="fr-FR"/>
        </w:rPr>
        <w:t>comité des recrutements et des rémunérations</w:t>
      </w:r>
      <w:r w:rsidRPr="00C73365">
        <w:rPr>
          <w:rFonts w:asciiTheme="minorHAnsi" w:hAnsiTheme="minorHAnsi" w:cstheme="minorHAnsi"/>
          <w:lang w:val="fr-FR"/>
        </w:rPr>
        <w:t xml:space="preserve"> respectent le </w:t>
      </w:r>
      <w:r w:rsidRPr="00C73365">
        <w:rPr>
          <w:rFonts w:asciiTheme="minorHAnsi" w:hAnsiTheme="minorHAnsi" w:cstheme="minorHAnsi"/>
          <w:b/>
          <w:lang w:val="fr-FR"/>
        </w:rPr>
        <w:t xml:space="preserve">principe de comparabilité </w:t>
      </w:r>
      <w:r w:rsidRPr="00C73365">
        <w:rPr>
          <w:rFonts w:asciiTheme="minorHAnsi" w:hAnsiTheme="minorHAnsi" w:cstheme="minorHAnsi"/>
          <w:lang w:val="fr-FR"/>
        </w:rPr>
        <w:t>(benchmark). Les rémunérations sont appréciées dans le contexte du marché de référence dans la limite des particularités des missions, de la responsabilité assumée, des résultats obtenus et du travail effectué par les dirigeants mandataires sociaux exécutifs.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Au 31 décembre 2017, les dirigeants mandataires sociaux exécutifs sont :</w:t>
      </w:r>
    </w:p>
    <w:p w:rsidR="00B740A8" w:rsidRPr="00C73365" w:rsidRDefault="00B740A8" w:rsidP="00434C49">
      <w:pPr>
        <w:pStyle w:val="ListParagraph"/>
        <w:keepNext/>
        <w:numPr>
          <w:ilvl w:val="0"/>
          <w:numId w:val="104"/>
        </w:numPr>
        <w:spacing w:before="120"/>
        <w:ind w:right="-142"/>
        <w:rPr>
          <w:rFonts w:asciiTheme="minorHAnsi" w:hAnsiTheme="minorHAnsi" w:cstheme="minorHAnsi"/>
          <w:szCs w:val="22"/>
          <w:lang w:val="fr-FR"/>
        </w:rPr>
      </w:pPr>
      <w:r w:rsidRPr="00C73365">
        <w:rPr>
          <w:rFonts w:asciiTheme="minorHAnsi" w:hAnsiTheme="minorHAnsi" w:cstheme="minorHAnsi"/>
          <w:szCs w:val="22"/>
          <w:lang w:val="fr-FR"/>
        </w:rPr>
        <w:t xml:space="preserve">Monsieur Philippe Pouletty, Président du conseil d’administration ; et </w:t>
      </w:r>
    </w:p>
    <w:p w:rsidR="00B740A8" w:rsidRPr="00C73365" w:rsidRDefault="00B740A8" w:rsidP="00434C49">
      <w:pPr>
        <w:pStyle w:val="ListParagraph"/>
        <w:keepNext/>
        <w:numPr>
          <w:ilvl w:val="0"/>
          <w:numId w:val="104"/>
        </w:numPr>
        <w:spacing w:before="120"/>
        <w:ind w:right="-142"/>
        <w:rPr>
          <w:rFonts w:asciiTheme="minorHAnsi" w:hAnsiTheme="minorHAnsi" w:cstheme="minorHAnsi"/>
          <w:szCs w:val="22"/>
          <w:lang w:val="fr-FR"/>
        </w:rPr>
      </w:pPr>
      <w:r w:rsidRPr="00C73365">
        <w:rPr>
          <w:rFonts w:asciiTheme="minorHAnsi" w:hAnsiTheme="minorHAnsi" w:cstheme="minorHAnsi"/>
          <w:szCs w:val="22"/>
          <w:lang w:val="fr-FR"/>
        </w:rPr>
        <w:t>Monsieur Hartmut Ehrlich, Directeur général.</w:t>
      </w:r>
    </w:p>
    <w:p w:rsidR="00B740A8" w:rsidRPr="00C73365" w:rsidRDefault="00B740A8" w:rsidP="00B740A8">
      <w:pPr>
        <w:pStyle w:val="ListParagraph"/>
        <w:keepNext/>
        <w:spacing w:before="120"/>
        <w:ind w:left="0" w:right="-142"/>
        <w:rPr>
          <w:rFonts w:asciiTheme="minorHAnsi" w:hAnsiTheme="minorHAnsi" w:cstheme="minorHAnsi"/>
          <w:szCs w:val="22"/>
          <w:lang w:val="fr-FR"/>
        </w:rPr>
      </w:pPr>
      <w:r w:rsidRPr="00C73365">
        <w:rPr>
          <w:rFonts w:asciiTheme="minorHAnsi" w:hAnsiTheme="minorHAnsi" w:cstheme="minorHAnsi"/>
          <w:szCs w:val="22"/>
          <w:lang w:val="fr-FR"/>
        </w:rPr>
        <w:t xml:space="preserve">La structure de la rémunération des dirigeants mandataires sociaux exécutifs est revue chaque année par le conseil d’administration qui en fixe les différents éléments, sur les recommandations du </w:t>
      </w:r>
      <w:r w:rsidR="00AC15E8">
        <w:rPr>
          <w:rFonts w:asciiTheme="minorHAnsi" w:hAnsiTheme="minorHAnsi" w:cstheme="minorHAnsi"/>
          <w:szCs w:val="22"/>
          <w:lang w:val="fr-FR"/>
        </w:rPr>
        <w:t>comité des recrutements et des rémunérations</w:t>
      </w:r>
      <w:r w:rsidRPr="00C73365">
        <w:rPr>
          <w:rFonts w:asciiTheme="minorHAnsi" w:hAnsiTheme="minorHAnsi" w:cstheme="minorHAnsi"/>
          <w:szCs w:val="22"/>
          <w:lang w:val="fr-FR"/>
        </w:rPr>
        <w:t>, étant rappelé que seul Monsieur Hartmut Ehrlich en qualité de Directeur général perçoit une rémunération au titre de son mandat social, Monsieur Philippe Pouletty, en qualité de Président du conseil d’administration, exerçant ses fonctions à titre gracieux.</w:t>
      </w:r>
    </w:p>
    <w:p w:rsidR="00B740A8" w:rsidRPr="00C73365" w:rsidRDefault="00B740A8" w:rsidP="00B740A8">
      <w:pPr>
        <w:pStyle w:val="ListParagraph"/>
        <w:keepNext/>
        <w:spacing w:before="120"/>
        <w:ind w:left="0" w:right="-142"/>
        <w:rPr>
          <w:rFonts w:asciiTheme="minorHAnsi" w:hAnsiTheme="minorHAnsi" w:cstheme="minorHAnsi"/>
          <w:szCs w:val="22"/>
          <w:lang w:val="fr-FR"/>
        </w:rPr>
      </w:pPr>
      <w:r w:rsidRPr="00C73365">
        <w:rPr>
          <w:rFonts w:asciiTheme="minorHAnsi" w:hAnsiTheme="minorHAnsi" w:cstheme="minorHAnsi"/>
          <w:szCs w:val="22"/>
          <w:lang w:val="fr-FR"/>
        </w:rPr>
        <w:t>Sur cette base, il est proposé au conseil d’administration du 15 mars 2018 de décider d’une stabilité des éléments de la rémunération du Directeur général, cette structure assurant un lien avec la performance de l’entreprise et le maintien de l’équilibre entre la performance court terme et moyen terme.</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Rémunération fixe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rémunération fixe annuelle de Monsieur Hartmut Ehrlich, Directeur général, au titre de l’exercice 2018 est déterminée par le conseil d’administration sur les recommandations du </w:t>
      </w:r>
      <w:r w:rsidR="00AC15E8">
        <w:rPr>
          <w:rFonts w:asciiTheme="minorHAnsi" w:hAnsiTheme="minorHAnsi" w:cstheme="minorHAnsi"/>
          <w:lang w:val="fr-FR"/>
        </w:rPr>
        <w:t>comité des recrutements et des rémunérations</w:t>
      </w:r>
      <w:r w:rsidRPr="00C73365">
        <w:rPr>
          <w:rFonts w:asciiTheme="minorHAnsi" w:hAnsiTheme="minorHAnsi" w:cstheme="minorHAnsi"/>
          <w:lang w:val="fr-FR"/>
        </w:rPr>
        <w:t>. Monsieur Philippe Pouletty ne perçoit pas de rémunération fixe au titre de l’exercice 2018.</w:t>
      </w:r>
    </w:p>
    <w:p w:rsidR="00B740A8"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Par ailleurs, dans l’hypothèse de la nomination d’un ou plusieurs nouveaux Président, Directeur Général ou Directeurs Généraux Délégués, les principes exposés ci-dessus seraient applicables pour la détermination de leur politique de rémunération, étant précisé que le montant pourrait être adapté en fonction du profil, de l’expérience ou encore du niveau de responsabilité du nouveau dirigeant mandataire social exécutif.</w:t>
      </w:r>
    </w:p>
    <w:p w:rsidR="004834A9" w:rsidRPr="00C73365" w:rsidRDefault="004834A9" w:rsidP="004572A0">
      <w:pPr>
        <w:pStyle w:val="BodyText"/>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Rémunération variable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rémunération variable vise à associer les dirigeants mandataires sociaux exécutifs à la performance court terme de la Société.</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règles de fixation de cette rémunération sont par ailleurs cohérentes avec la stratégie de l’entreprise. Les modalités de la rémunération variable annuelle sont intelligibles pour l’actionnaire et donnent lieu chaque année à une information claire et exhaustive dans le rapport annuel.</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indicateurs pris en compte pour la détermination de la part variable et le niveau des objectifs à atteindre sont définis chaque année par le conseil d’administration sur les recommandations du </w:t>
      </w:r>
      <w:r w:rsidR="00AC15E8">
        <w:rPr>
          <w:rFonts w:asciiTheme="minorHAnsi" w:hAnsiTheme="minorHAnsi" w:cstheme="minorHAnsi"/>
          <w:lang w:val="fr-FR"/>
        </w:rPr>
        <w:t>comité des recrutements et des rémunérations</w:t>
      </w:r>
      <w:r w:rsidRPr="00C73365">
        <w:rPr>
          <w:rFonts w:asciiTheme="minorHAnsi" w:hAnsiTheme="minorHAnsi" w:cstheme="minorHAnsi"/>
          <w:lang w:val="fr-FR"/>
        </w:rPr>
        <w:t xml:space="preserve"> au début de la période de référence à laquelle ils s’appliquent.</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Dans le cadre de la détermination de la part variable de la rémunération des dirigeants mandataires sociaux exécutifs, il sera proposé au conseil d’administration d’arrêter les indicateurs de performance financière, leurs objectifs et leur pondération pour 2018.</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Il est précisé que le versement de toute rémunération variable des dirigeants mandataires sociaux exécutifs ne pourra être réalisé que sous réserve de l’approbation des actionnaires en application de l’article L. 225-100 du Code de commerce.</w:t>
      </w:r>
    </w:p>
    <w:p w:rsidR="00B740A8" w:rsidRPr="00C73365" w:rsidRDefault="00B740A8" w:rsidP="004572A0">
      <w:pPr>
        <w:pStyle w:val="BodyText"/>
        <w:rPr>
          <w:rFonts w:asciiTheme="minorHAnsi" w:hAnsiTheme="minorHAnsi" w:cstheme="minorHAnsi"/>
          <w:i/>
          <w:lang w:val="fr-FR"/>
        </w:rPr>
      </w:pPr>
      <w:r w:rsidRPr="00C73365">
        <w:rPr>
          <w:rFonts w:asciiTheme="minorHAnsi" w:hAnsiTheme="minorHAnsi" w:cstheme="minorHAnsi"/>
          <w:i/>
          <w:lang w:val="fr-FR"/>
        </w:rPr>
        <w:t>Président du conseil d’administration – Philippe Pouletty</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Monsieur Philippe Pouletty ne bénéficie au titre de son mandat de Président du conseil d’administration d’aucune rémunération variable pour l’exercice 2018. </w:t>
      </w:r>
    </w:p>
    <w:p w:rsidR="00B740A8" w:rsidRPr="00C73365" w:rsidRDefault="00B740A8" w:rsidP="004572A0">
      <w:pPr>
        <w:pStyle w:val="BodyText"/>
        <w:rPr>
          <w:rFonts w:asciiTheme="minorHAnsi" w:hAnsiTheme="minorHAnsi" w:cstheme="minorHAnsi"/>
          <w:i/>
          <w:lang w:val="fr-FR"/>
        </w:rPr>
      </w:pPr>
      <w:r w:rsidRPr="00C73365">
        <w:rPr>
          <w:rFonts w:asciiTheme="minorHAnsi" w:hAnsiTheme="minorHAnsi" w:cstheme="minorHAnsi"/>
          <w:i/>
          <w:lang w:val="fr-FR"/>
        </w:rPr>
        <w:t>Directeur Général – Hartmut Ehrlich</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rémunération variable annuelle cible de Monsieur Hartmut Ehrlich est soumise à des critères de performance dont l’objectif est fixé chaque année. Elle correspond à un pourcentage maximum du montant de sa rémunération fixe déterminé annuellement par le conseil d’administration sur les recommandations du </w:t>
      </w:r>
      <w:r w:rsidR="00AC15E8">
        <w:rPr>
          <w:rFonts w:asciiTheme="minorHAnsi" w:hAnsiTheme="minorHAnsi" w:cstheme="minorHAnsi"/>
          <w:lang w:val="fr-FR"/>
        </w:rPr>
        <w:t>comité des recrutements et des rémunérations</w:t>
      </w:r>
      <w:r w:rsidRPr="00C73365">
        <w:rPr>
          <w:rFonts w:asciiTheme="minorHAnsi" w:hAnsiTheme="minorHAnsi" w:cstheme="minorHAnsi"/>
          <w:lang w:val="fr-FR"/>
        </w:rPr>
        <w:t xml:space="preserve"> (soit 40 % de sa rémunération fixe).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critères de performance retenus pour la détermination de la rémunération variable sont élaborés sur un plan d’objectifs précis personnels et d’entreprise basés sur des critères quantitatifs et qualitatifs. Ces objectifs sont assis sur la recherche et le développement de molécules à caractère antivirale notamment en matière de progression des études cliniques, sur l’atteinte d’objectifs liés à la conclusion de partenariats externes et sur l’atteinte des objectifs financiers.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niveau d’objectif fixé pour chacun des critères est une information stratégique et économiquement sensible qui ne peut être rendue publique.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Il est par ailleurs proposé au Conseil d’administration de décider que dans l’hypothèse de la nomination d’un nouveau dirigeant mandataire social exécutif, ces mêmes principes s’appliqueront, étant précisé qu’en cas de nomination intervenant au cours du second semestre d’un exercice, l’appréciation de la performance s’effectuera de manière discrétionnaire par le conseil d’administration.</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Rémunération à long terme et exceptionnelle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Rémunération à long terme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titre de son mandat de Président du conseil d’administration, Monsieur Philippe Pouletty n’a reçu aucune rémunération conditionnelle versée sous forme d’options d’achat ou de souscription d’actions. </w:t>
      </w:r>
    </w:p>
    <w:p w:rsidR="004834A9"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titre de son mandat de Directeur général, il est précisé que Monsieur Hartmut Ehrlich a reçu, au titre de l’exercice 2017, une rémunération allouée sous forme de </w:t>
      </w:r>
      <w:r w:rsidR="00824C2B">
        <w:rPr>
          <w:rFonts w:asciiTheme="minorHAnsi" w:hAnsiTheme="minorHAnsi" w:cstheme="minorHAnsi"/>
          <w:lang w:val="fr-FR"/>
        </w:rPr>
        <w:t>BCE</w:t>
      </w:r>
      <w:r w:rsidRPr="00C73365">
        <w:rPr>
          <w:rFonts w:asciiTheme="minorHAnsi" w:hAnsiTheme="minorHAnsi" w:cstheme="minorHAnsi"/>
          <w:lang w:val="fr-FR"/>
        </w:rPr>
        <w:t xml:space="preserve"> et de nouvelles attributions de valeurs mobilières donnant accès au capital pourraient être envisagées au bénéfice de Monsieur Hartmut Ehrlich pour l’exercice 2018.</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Rémunération exceptionnelle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conseil d’administration pourra discrétionnairement accorder aux dirigeants mandataires sociaux exécutifs en fonction ou nommés en cours d’exercice, une rémunération exceptionnelle dans certaines circonstances particulières et dans le respect des principes exposés par le Code MiddleNext, étant précisé que son versement ne pourra être réalisé que sous réserve de l’approbation des actionnaires en application de l’article L. 225-100 du Code de commerce. </w:t>
      </w:r>
    </w:p>
    <w:p w:rsidR="00B740A8" w:rsidRPr="00AA50E0" w:rsidRDefault="00B740A8" w:rsidP="004572A0">
      <w:pPr>
        <w:rPr>
          <w:rFonts w:asciiTheme="minorHAnsi" w:hAnsiTheme="minorHAnsi" w:cstheme="minorHAnsi"/>
          <w:u w:val="single"/>
          <w:lang w:val="fr-FR"/>
        </w:rPr>
      </w:pPr>
      <w:r w:rsidRPr="00AA50E0">
        <w:rPr>
          <w:rFonts w:asciiTheme="minorHAnsi" w:hAnsiTheme="minorHAnsi" w:cstheme="minorHAnsi"/>
          <w:u w:val="single"/>
          <w:lang w:val="fr-FR"/>
        </w:rPr>
        <w:t>Jetons de présence</w:t>
      </w:r>
    </w:p>
    <w:p w:rsidR="00B740A8" w:rsidRPr="00C73365" w:rsidRDefault="00B740A8" w:rsidP="004572A0">
      <w:pPr>
        <w:rPr>
          <w:rFonts w:asciiTheme="minorHAnsi" w:hAnsiTheme="minorHAnsi" w:cstheme="minorHAnsi"/>
          <w:lang w:val="fr-FR"/>
        </w:rPr>
      </w:pPr>
      <w:r w:rsidRPr="00C73365">
        <w:rPr>
          <w:rFonts w:asciiTheme="minorHAnsi" w:hAnsiTheme="minorHAnsi" w:cstheme="minorHAnsi"/>
          <w:lang w:val="fr-FR"/>
        </w:rPr>
        <w:t>Monsieur Philippe Pouletty et Monsieur Hartmut Ehrlich ne perçoivent pas de jetons de présence.</w:t>
      </w:r>
    </w:p>
    <w:p w:rsidR="00B740A8" w:rsidRPr="00AA50E0" w:rsidRDefault="00B740A8" w:rsidP="004572A0">
      <w:pPr>
        <w:rPr>
          <w:rFonts w:asciiTheme="minorHAnsi" w:hAnsiTheme="minorHAnsi" w:cstheme="minorHAnsi"/>
          <w:u w:val="single"/>
          <w:lang w:val="fr-FR"/>
        </w:rPr>
      </w:pPr>
      <w:r w:rsidRPr="00AA50E0">
        <w:rPr>
          <w:rFonts w:asciiTheme="minorHAnsi" w:hAnsiTheme="minorHAnsi" w:cstheme="minorHAnsi"/>
          <w:u w:val="single"/>
          <w:lang w:val="fr-FR"/>
        </w:rPr>
        <w:t>Indemnités ou avantages dus à raison de la rupture des fonctions des dirigeants mandataires sociaux exécutifs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Monsieur Philippe Pouletty et Monsieur Hartmut Ehrlich ne bénéficient pas au titre de leurs mandats d’une indemnité liée à un départ contraint ou à une clause de non-concurrence. </w:t>
      </w:r>
    </w:p>
    <w:p w:rsidR="005F7453" w:rsidRDefault="005F7453" w:rsidP="004572A0">
      <w:pPr>
        <w:pStyle w:val="List"/>
        <w:rPr>
          <w:rFonts w:asciiTheme="minorHAnsi" w:hAnsiTheme="minorHAnsi" w:cstheme="minorHAnsi"/>
          <w:u w:val="single"/>
          <w:lang w:val="fr-FR"/>
        </w:rPr>
      </w:pPr>
    </w:p>
    <w:p w:rsidR="00B740A8" w:rsidRPr="00AA50E0" w:rsidRDefault="00B740A8" w:rsidP="004572A0">
      <w:pPr>
        <w:pStyle w:val="List"/>
        <w:rPr>
          <w:rFonts w:asciiTheme="minorHAnsi" w:hAnsiTheme="minorHAnsi" w:cstheme="minorHAnsi"/>
          <w:u w:val="single"/>
          <w:lang w:val="fr-FR"/>
        </w:rPr>
      </w:pPr>
      <w:r w:rsidRPr="00AA50E0">
        <w:rPr>
          <w:rFonts w:asciiTheme="minorHAnsi" w:hAnsiTheme="minorHAnsi" w:cstheme="minorHAnsi"/>
          <w:u w:val="single"/>
          <w:lang w:val="fr-FR"/>
        </w:rPr>
        <w:t>Contrat de travail</w:t>
      </w:r>
    </w:p>
    <w:p w:rsidR="00B740A8" w:rsidRPr="00AA50E0" w:rsidRDefault="00B740A8" w:rsidP="004572A0">
      <w:pPr>
        <w:pStyle w:val="List"/>
        <w:rPr>
          <w:rFonts w:asciiTheme="minorHAnsi" w:hAnsiTheme="minorHAnsi" w:cstheme="minorHAnsi"/>
          <w:lang w:val="fr-FR"/>
        </w:rPr>
      </w:pPr>
      <w:r w:rsidRPr="00AA50E0">
        <w:rPr>
          <w:rFonts w:asciiTheme="minorHAnsi" w:hAnsiTheme="minorHAnsi" w:cstheme="minorHAnsi"/>
          <w:lang w:val="fr-FR"/>
        </w:rPr>
        <w:t>Aucun des dirigeants mandataires sociaux exécutifs ne dispose d’un contrat de travail.</w:t>
      </w:r>
    </w:p>
    <w:p w:rsidR="00B740A8" w:rsidRPr="00AA50E0" w:rsidRDefault="00B740A8" w:rsidP="004572A0">
      <w:pPr>
        <w:pStyle w:val="List"/>
        <w:rPr>
          <w:rFonts w:asciiTheme="minorHAnsi" w:hAnsiTheme="minorHAnsi" w:cstheme="minorHAnsi"/>
          <w:u w:val="single"/>
          <w:lang w:val="fr-FR"/>
        </w:rPr>
      </w:pPr>
      <w:r w:rsidRPr="00AA50E0">
        <w:rPr>
          <w:rFonts w:asciiTheme="minorHAnsi" w:hAnsiTheme="minorHAnsi" w:cstheme="minorHAnsi"/>
          <w:u w:val="single"/>
          <w:lang w:val="fr-FR"/>
        </w:rPr>
        <w:t>Avantages en nature</w:t>
      </w:r>
    </w:p>
    <w:p w:rsidR="00B740A8" w:rsidRPr="00AA50E0" w:rsidRDefault="00B740A8" w:rsidP="004572A0">
      <w:pPr>
        <w:pStyle w:val="List"/>
        <w:rPr>
          <w:rFonts w:asciiTheme="minorHAnsi" w:hAnsiTheme="minorHAnsi" w:cstheme="minorHAnsi"/>
          <w:lang w:val="fr-FR"/>
        </w:rPr>
      </w:pPr>
      <w:r w:rsidRPr="00AA50E0">
        <w:rPr>
          <w:rFonts w:asciiTheme="minorHAnsi" w:hAnsiTheme="minorHAnsi" w:cstheme="minorHAnsi"/>
          <w:lang w:val="fr-FR"/>
        </w:rPr>
        <w:t>Monsieur Philippe Pouletty ne perçoit pas d’avantage en nature.</w:t>
      </w:r>
    </w:p>
    <w:p w:rsidR="00B740A8" w:rsidRPr="00AA50E0" w:rsidRDefault="00B740A8" w:rsidP="004572A0">
      <w:pPr>
        <w:pStyle w:val="List"/>
        <w:rPr>
          <w:rFonts w:asciiTheme="minorHAnsi" w:hAnsiTheme="minorHAnsi" w:cstheme="minorHAnsi"/>
          <w:lang w:val="fr-FR"/>
        </w:rPr>
      </w:pPr>
      <w:r w:rsidRPr="00AA50E0">
        <w:rPr>
          <w:rFonts w:asciiTheme="minorHAnsi" w:hAnsiTheme="minorHAnsi" w:cstheme="minorHAnsi"/>
          <w:lang w:val="fr-FR"/>
        </w:rPr>
        <w:t xml:space="preserve">Monsieur Hartmut Ehrlich dispose d’un véhicule de fonction. </w:t>
      </w:r>
    </w:p>
    <w:p w:rsidR="00B740A8" w:rsidRPr="00AA50E0" w:rsidRDefault="00B740A8" w:rsidP="004572A0">
      <w:pPr>
        <w:pStyle w:val="List"/>
        <w:rPr>
          <w:rFonts w:asciiTheme="minorHAnsi" w:hAnsiTheme="minorHAnsi" w:cstheme="minorHAnsi"/>
          <w:u w:val="single"/>
          <w:lang w:val="fr-FR"/>
        </w:rPr>
      </w:pPr>
      <w:r w:rsidRPr="00AA50E0">
        <w:rPr>
          <w:rFonts w:asciiTheme="minorHAnsi" w:hAnsiTheme="minorHAnsi" w:cstheme="minorHAnsi"/>
          <w:u w:val="single"/>
          <w:lang w:val="fr-FR"/>
        </w:rPr>
        <w:t>Régime de retraite supplémentaire</w:t>
      </w:r>
    </w:p>
    <w:p w:rsidR="00B740A8" w:rsidRPr="00AA50E0" w:rsidRDefault="00B740A8" w:rsidP="004572A0">
      <w:pPr>
        <w:pStyle w:val="List"/>
        <w:rPr>
          <w:rFonts w:asciiTheme="minorHAnsi" w:hAnsiTheme="minorHAnsi" w:cstheme="minorHAnsi"/>
          <w:lang w:val="fr-FR"/>
        </w:rPr>
      </w:pPr>
      <w:r w:rsidRPr="00AA50E0">
        <w:rPr>
          <w:rFonts w:asciiTheme="minorHAnsi" w:hAnsiTheme="minorHAnsi" w:cstheme="minorHAnsi"/>
          <w:lang w:val="fr-FR"/>
        </w:rPr>
        <w:t>Aucun dirigeant mandataire social exécutif ne bénéficie au titre de son mandat d’un régime de retraite supplémentaire.</w:t>
      </w:r>
    </w:p>
    <w:p w:rsidR="00B740A8" w:rsidRPr="00AA50E0" w:rsidRDefault="00B740A8" w:rsidP="004572A0">
      <w:pPr>
        <w:pStyle w:val="List"/>
        <w:rPr>
          <w:rFonts w:asciiTheme="minorHAnsi" w:hAnsiTheme="minorHAnsi" w:cstheme="minorHAnsi"/>
          <w:u w:val="single"/>
          <w:lang w:val="fr-FR"/>
        </w:rPr>
      </w:pPr>
      <w:r w:rsidRPr="00AA50E0">
        <w:rPr>
          <w:rFonts w:asciiTheme="minorHAnsi" w:hAnsiTheme="minorHAnsi" w:cstheme="minorHAnsi"/>
          <w:u w:val="single"/>
          <w:lang w:val="fr-FR"/>
        </w:rPr>
        <w:t xml:space="preserve">Assurance responsabilité civile des dirigeants mandataires sociaux exécutifs </w:t>
      </w:r>
    </w:p>
    <w:p w:rsidR="00B740A8" w:rsidRPr="00C73365" w:rsidRDefault="00B740A8" w:rsidP="004572A0">
      <w:pPr>
        <w:pStyle w:val="List"/>
        <w:rPr>
          <w:rFonts w:asciiTheme="minorHAnsi" w:hAnsiTheme="minorHAnsi" w:cstheme="minorHAnsi"/>
          <w:lang w:val="fr-FR"/>
        </w:rPr>
      </w:pPr>
      <w:r w:rsidRPr="00AA50E0">
        <w:rPr>
          <w:rFonts w:asciiTheme="minorHAnsi" w:hAnsiTheme="minorHAnsi" w:cstheme="minorHAnsi"/>
          <w:lang w:val="fr-FR"/>
        </w:rPr>
        <w:t>Monsieur Hartmut Ehrlich bénéficie d’une assurance responsabilité civile des dirigeants mandataires sociaux exécutifs.</w:t>
      </w:r>
    </w:p>
    <w:p w:rsidR="00B740A8" w:rsidRPr="00C73365" w:rsidRDefault="00B740A8" w:rsidP="00B740A8">
      <w:pPr>
        <w:spacing w:before="120"/>
        <w:ind w:right="-142"/>
        <w:rPr>
          <w:rFonts w:asciiTheme="minorHAnsi" w:hAnsiTheme="minorHAnsi" w:cstheme="minorHAnsi"/>
          <w:szCs w:val="22"/>
          <w:lang w:val="fr-FR"/>
        </w:rPr>
      </w:pPr>
    </w:p>
    <w:p w:rsidR="00B740A8" w:rsidRPr="00C73365" w:rsidRDefault="00B740A8" w:rsidP="00B740A8">
      <w:pPr>
        <w:pStyle w:val="ConmainL3"/>
        <w:numPr>
          <w:ilvl w:val="2"/>
          <w:numId w:val="9"/>
        </w:numPr>
        <w:spacing w:after="0"/>
        <w:rPr>
          <w:rFonts w:asciiTheme="minorHAnsi" w:hAnsiTheme="minorHAnsi" w:cstheme="minorHAnsi"/>
          <w:lang w:val="fr-FR"/>
        </w:rPr>
      </w:pPr>
      <w:bookmarkStart w:id="793" w:name="_Toc508825925"/>
      <w:r w:rsidRPr="00C73365">
        <w:rPr>
          <w:rFonts w:asciiTheme="minorHAnsi" w:hAnsiTheme="minorHAnsi" w:cstheme="minorHAnsi"/>
          <w:b/>
          <w:color w:val="7030A0"/>
          <w:lang w:val="fr-FR"/>
        </w:rPr>
        <w:t>Eléments de rémunération versés ou attribués au titre de l’exercice 2017</w:t>
      </w:r>
      <w:bookmarkEnd w:id="793"/>
    </w:p>
    <w:p w:rsidR="00B740A8" w:rsidRPr="00C73365" w:rsidRDefault="00B740A8" w:rsidP="00B740A8">
      <w:pPr>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Conformément à l’article L.225-100 du Code de commerce, l’assemblée générale statue sur les éléments fixes, variables et exceptionnels composant la rémunération totale et les avantages de toute nature versés ou attribués au titre de l’exercice antérieur par des résolutions distinctes pour le Président du conseil d’administration et le Directeur Général. L’assemblée générale doit approuver explicitement le versement des éléments de rémunérations variables ou exceptionnels.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Il sera ainsi proposé à l’assemblée générale 2018 de statuer sur les éléments de rémunération versés ou attribués au titre de l’exercice 2017 au Directeur Général, tels qu’exposés ci-dessous, étant rappelé que le Président du conseil d’administration exerce ses fonctions à titre gracieux.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titre de l’exercice 2017, Monsieur Hartmut Ehrlich, Directeur Général, s’est vu attribuer une rémunération fixe d’un montant total de 267.800 euros et une rémunération variable d’un montant total de </w:t>
      </w:r>
      <w:r w:rsidR="006204E1">
        <w:rPr>
          <w:rFonts w:asciiTheme="minorHAnsi" w:hAnsiTheme="minorHAnsi" w:cstheme="minorHAnsi"/>
          <w:lang w:val="fr-FR"/>
        </w:rPr>
        <w:t>96 408</w:t>
      </w:r>
      <w:r w:rsidRPr="00C73365">
        <w:rPr>
          <w:rFonts w:asciiTheme="minorHAnsi" w:hAnsiTheme="minorHAnsi" w:cstheme="minorHAnsi"/>
          <w:lang w:val="fr-FR"/>
        </w:rPr>
        <w:t xml:space="preserve"> euros qui fera l’objet d’une ratification par l’assemblée générale 2018. Le conseil d’administration en date du 20 novembre 2017 lui a également attribué 150.000 </w:t>
      </w:r>
      <w:r w:rsidR="00656913">
        <w:rPr>
          <w:rFonts w:asciiTheme="minorHAnsi" w:hAnsiTheme="minorHAnsi" w:cstheme="minorHAnsi"/>
          <w:lang w:val="fr-FR"/>
        </w:rPr>
        <w:t>BCE</w:t>
      </w:r>
      <w:r w:rsidRPr="00C73365">
        <w:rPr>
          <w:rFonts w:asciiTheme="minorHAnsi" w:hAnsiTheme="minorHAnsi" w:cstheme="minorHAnsi"/>
          <w:lang w:val="fr-FR"/>
        </w:rPr>
        <w:t xml:space="preserve"> dont le prix de souscription par action devant être émise en cas d’exercice des </w:t>
      </w:r>
      <w:r w:rsidR="00656913">
        <w:rPr>
          <w:rFonts w:asciiTheme="minorHAnsi" w:hAnsiTheme="minorHAnsi" w:cstheme="minorHAnsi"/>
          <w:lang w:val="fr-FR"/>
        </w:rPr>
        <w:t>BCE</w:t>
      </w:r>
      <w:r w:rsidRPr="00C73365">
        <w:rPr>
          <w:rFonts w:asciiTheme="minorHAnsi" w:hAnsiTheme="minorHAnsi" w:cstheme="minorHAnsi"/>
          <w:lang w:val="fr-FR"/>
        </w:rPr>
        <w:t xml:space="preserve"> est de 11,14 euros. Il a également bénéficié d’avantages en nature pour un montant total de 7.172 € (véhicule de fonction). Il n’a pas conclu de contrat de travail avec la Société.</w:t>
      </w:r>
    </w:p>
    <w:p w:rsidR="00B740A8" w:rsidRPr="00C73365" w:rsidRDefault="00B740A8" w:rsidP="00B740A8">
      <w:pPr>
        <w:jc w:val="center"/>
        <w:rPr>
          <w:rFonts w:asciiTheme="minorHAnsi" w:hAnsiTheme="minorHAnsi" w:cstheme="minorHAnsi"/>
          <w:lang w:val="fr-FR"/>
        </w:rPr>
      </w:pPr>
    </w:p>
    <w:p w:rsidR="00B740A8" w:rsidRPr="00C73365" w:rsidRDefault="00B740A8" w:rsidP="00B740A8">
      <w:pPr>
        <w:jc w:val="center"/>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sectPr w:rsidR="00B740A8" w:rsidRPr="00C73365" w:rsidSect="00D1541A">
          <w:headerReference w:type="even" r:id="rId78"/>
          <w:footerReference w:type="even" r:id="rId79"/>
          <w:footerReference w:type="default" r:id="rId80"/>
          <w:headerReference w:type="first" r:id="rId81"/>
          <w:footerReference w:type="first" r:id="rId82"/>
          <w:type w:val="continuous"/>
          <w:pgSz w:w="11907" w:h="16840" w:code="9"/>
          <w:pgMar w:top="1134" w:right="1134" w:bottom="1134" w:left="1134" w:header="709" w:footer="709" w:gutter="0"/>
          <w:cols w:space="708"/>
          <w:docGrid w:linePitch="360"/>
        </w:sectPr>
      </w:pPr>
    </w:p>
    <w:p w:rsidR="00B740A8" w:rsidRPr="00C73365" w:rsidRDefault="00B740A8" w:rsidP="00B740A8">
      <w:pPr>
        <w:pStyle w:val="ConmainL1"/>
        <w:numPr>
          <w:ilvl w:val="0"/>
          <w:numId w:val="9"/>
        </w:numPr>
        <w:rPr>
          <w:rFonts w:asciiTheme="minorHAnsi" w:hAnsiTheme="minorHAnsi" w:cstheme="minorHAnsi"/>
          <w:sz w:val="22"/>
          <w:lang w:val="fr-FR"/>
        </w:rPr>
      </w:pPr>
      <w:bookmarkStart w:id="794" w:name="_Toc462673274"/>
      <w:bookmarkStart w:id="795" w:name="_Toc467835623"/>
      <w:bookmarkStart w:id="796" w:name="_Toc482695295"/>
      <w:bookmarkStart w:id="797" w:name="_Toc512863939"/>
      <w:r w:rsidRPr="00C73365">
        <w:rPr>
          <w:rFonts w:asciiTheme="minorHAnsi" w:hAnsiTheme="minorHAnsi" w:cstheme="minorHAnsi"/>
          <w:sz w:val="22"/>
          <w:lang w:val="fr-FR"/>
        </w:rPr>
        <w:lastRenderedPageBreak/>
        <w:t>FONCTIONNEMENT DES ORGANES D’ADMINISTRATION ET DE DIRECTION</w:t>
      </w:r>
      <w:bookmarkEnd w:id="794"/>
      <w:bookmarkEnd w:id="795"/>
      <w:bookmarkEnd w:id="796"/>
      <w:bookmarkEnd w:id="797"/>
    </w:p>
    <w:p w:rsidR="00B740A8" w:rsidRPr="00C73365" w:rsidRDefault="00B740A8" w:rsidP="00B740A8">
      <w:pPr>
        <w:pStyle w:val="ConmainL2"/>
        <w:numPr>
          <w:ilvl w:val="1"/>
          <w:numId w:val="9"/>
        </w:numPr>
        <w:spacing w:after="0"/>
        <w:rPr>
          <w:rFonts w:asciiTheme="minorHAnsi" w:hAnsiTheme="minorHAnsi" w:cstheme="minorHAnsi"/>
          <w:sz w:val="22"/>
          <w:szCs w:val="22"/>
          <w:lang w:val="fr-FR"/>
        </w:rPr>
      </w:pPr>
      <w:bookmarkStart w:id="798" w:name="_Toc271734057"/>
      <w:bookmarkStart w:id="799" w:name="_Toc292135885"/>
      <w:bookmarkStart w:id="800" w:name="_Toc401594112"/>
      <w:bookmarkStart w:id="801" w:name="_Toc462673275"/>
      <w:bookmarkStart w:id="802" w:name="_Toc482695296"/>
      <w:bookmarkStart w:id="803" w:name="_Toc512863940"/>
      <w:r w:rsidRPr="00C73365">
        <w:rPr>
          <w:rFonts w:asciiTheme="minorHAnsi" w:hAnsiTheme="minorHAnsi" w:cstheme="minorHAnsi"/>
          <w:sz w:val="22"/>
          <w:szCs w:val="22"/>
          <w:lang w:val="fr-FR"/>
        </w:rPr>
        <w:t>Direction de la Sociét</w:t>
      </w:r>
      <w:bookmarkEnd w:id="798"/>
      <w:bookmarkEnd w:id="799"/>
      <w:r w:rsidRPr="00C73365">
        <w:rPr>
          <w:rFonts w:asciiTheme="minorHAnsi" w:hAnsiTheme="minorHAnsi" w:cstheme="minorHAnsi"/>
          <w:sz w:val="22"/>
          <w:szCs w:val="22"/>
          <w:lang w:val="fr-FR"/>
        </w:rPr>
        <w:t>é</w:t>
      </w:r>
      <w:bookmarkEnd w:id="800"/>
      <w:bookmarkEnd w:id="801"/>
      <w:bookmarkEnd w:id="802"/>
      <w:bookmarkEnd w:id="803"/>
    </w:p>
    <w:p w:rsidR="00B740A8" w:rsidRPr="00C73365" w:rsidRDefault="00B740A8" w:rsidP="00B740A8">
      <w:pPr>
        <w:pStyle w:val="ConmainL2"/>
        <w:numPr>
          <w:ilvl w:val="0"/>
          <w:numId w:val="0"/>
        </w:numPr>
        <w:spacing w:after="0"/>
        <w:outlineLvl w:val="9"/>
        <w:rPr>
          <w:rFonts w:asciiTheme="minorHAnsi" w:hAnsiTheme="minorHAnsi" w:cstheme="minorHAnsi"/>
          <w:sz w:val="22"/>
          <w:szCs w:val="22"/>
          <w:lang w:val="fr-FR"/>
        </w:rPr>
      </w:pPr>
    </w:p>
    <w:p w:rsidR="00B740A8" w:rsidRPr="00C73365" w:rsidRDefault="00B740A8" w:rsidP="00710D60">
      <w:pPr>
        <w:pStyle w:val="ListContinue2"/>
        <w:ind w:left="0"/>
        <w:rPr>
          <w:rFonts w:asciiTheme="minorHAnsi" w:hAnsiTheme="minorHAnsi" w:cstheme="minorHAnsi"/>
          <w:lang w:val="fr-FR"/>
        </w:rPr>
      </w:pPr>
      <w:r w:rsidRPr="00C73365">
        <w:rPr>
          <w:rFonts w:asciiTheme="minorHAnsi" w:hAnsiTheme="minorHAnsi" w:cstheme="minorHAnsi"/>
          <w:lang w:val="fr-FR"/>
        </w:rPr>
        <w:t>La Société est une société anonyme à conseil d’administration. La composition détaillée du conseil d’administration figure à la section 14.1 « Dirigeants, administrateurs et censeurs » et au paragraphe 16.3.1 « Conseil d’administration ».</w:t>
      </w:r>
    </w:p>
    <w:p w:rsidR="00B740A8" w:rsidRPr="00C73365" w:rsidRDefault="00B740A8" w:rsidP="00710D60">
      <w:pPr>
        <w:pStyle w:val="ListContinue2"/>
        <w:ind w:left="0"/>
        <w:rPr>
          <w:rFonts w:asciiTheme="minorHAnsi" w:hAnsiTheme="minorHAnsi" w:cstheme="minorHAnsi"/>
          <w:lang w:val="fr-FR"/>
        </w:rPr>
      </w:pPr>
      <w:r w:rsidRPr="00C73365">
        <w:rPr>
          <w:rFonts w:asciiTheme="minorHAnsi" w:hAnsiTheme="minorHAnsi" w:cstheme="minorHAnsi"/>
          <w:lang w:val="fr-FR"/>
        </w:rPr>
        <w:t>Par décision en date du 4 décembre 2013, le conseil d’administration a choisi de dissocier les fonctions de Président et Directeur général. Le conseil d’administration de la Société est présidé par Monsieur Philippe Pouletty. La direction générale de la Société est assurée par Monsieur Hartmut Ehrlich lequel représente la Société à l’égard des tiers.</w:t>
      </w:r>
    </w:p>
    <w:p w:rsidR="00B740A8" w:rsidRPr="00C73365" w:rsidRDefault="00B740A8" w:rsidP="00B740A8">
      <w:pPr>
        <w:pStyle w:val="ConmainL2"/>
        <w:numPr>
          <w:ilvl w:val="1"/>
          <w:numId w:val="9"/>
        </w:numPr>
        <w:spacing w:after="0"/>
        <w:rPr>
          <w:rFonts w:asciiTheme="minorHAnsi" w:hAnsiTheme="minorHAnsi" w:cstheme="minorHAnsi"/>
          <w:sz w:val="22"/>
          <w:szCs w:val="22"/>
          <w:lang w:val="fr-FR"/>
        </w:rPr>
      </w:pPr>
      <w:bookmarkStart w:id="804" w:name="_Toc271734058"/>
      <w:bookmarkStart w:id="805" w:name="_Toc292135886"/>
      <w:bookmarkStart w:id="806" w:name="_Toc401594113"/>
      <w:bookmarkStart w:id="807" w:name="_Toc462673276"/>
      <w:bookmarkStart w:id="808" w:name="_Toc467835625"/>
      <w:bookmarkStart w:id="809" w:name="_Toc482695297"/>
      <w:bookmarkStart w:id="810" w:name="_Toc512863941"/>
      <w:r w:rsidRPr="00C73365">
        <w:rPr>
          <w:rFonts w:asciiTheme="minorHAnsi" w:hAnsiTheme="minorHAnsi" w:cstheme="minorHAnsi"/>
          <w:sz w:val="22"/>
          <w:szCs w:val="22"/>
          <w:lang w:val="fr-FR"/>
        </w:rPr>
        <w:t>Informations sur les contrats liant les dirigeants et/ou les administrateurs et la Sociét</w:t>
      </w:r>
      <w:bookmarkEnd w:id="804"/>
      <w:bookmarkEnd w:id="805"/>
      <w:r w:rsidRPr="00C73365">
        <w:rPr>
          <w:rFonts w:asciiTheme="minorHAnsi" w:hAnsiTheme="minorHAnsi" w:cstheme="minorHAnsi"/>
          <w:sz w:val="22"/>
          <w:szCs w:val="22"/>
          <w:lang w:val="fr-FR"/>
        </w:rPr>
        <w:t>é</w:t>
      </w:r>
      <w:bookmarkEnd w:id="806"/>
      <w:bookmarkEnd w:id="807"/>
      <w:bookmarkEnd w:id="808"/>
      <w:bookmarkEnd w:id="809"/>
      <w:bookmarkEnd w:id="810"/>
    </w:p>
    <w:p w:rsidR="00B740A8" w:rsidRPr="00C73365" w:rsidRDefault="00B740A8" w:rsidP="00B740A8">
      <w:pPr>
        <w:rPr>
          <w:rFonts w:asciiTheme="minorHAnsi" w:hAnsiTheme="minorHAnsi" w:cstheme="minorHAnsi"/>
          <w:sz w:val="22"/>
          <w:lang w:val="fr-FR"/>
        </w:rPr>
      </w:pPr>
    </w:p>
    <w:p w:rsidR="00B740A8" w:rsidRPr="00C73365" w:rsidRDefault="00B740A8" w:rsidP="00710D60">
      <w:pPr>
        <w:pStyle w:val="ListContinue2"/>
        <w:ind w:left="0"/>
        <w:rPr>
          <w:rFonts w:asciiTheme="minorHAnsi" w:hAnsiTheme="minorHAnsi" w:cstheme="minorHAnsi"/>
          <w:lang w:val="fr-FR"/>
        </w:rPr>
      </w:pPr>
      <w:r w:rsidRPr="00C73365">
        <w:rPr>
          <w:rFonts w:asciiTheme="minorHAnsi" w:hAnsiTheme="minorHAnsi" w:cstheme="minorHAnsi"/>
          <w:lang w:val="fr-FR"/>
        </w:rPr>
        <w:t>A l’exception des contrats mentionnés au chapitre 19, la Société n’a pas conclu de contrats avec ses administrateurs ou son directeur général à la date d’enregistrement du présent document de référence.</w:t>
      </w:r>
    </w:p>
    <w:p w:rsidR="00B740A8" w:rsidRPr="00C73365" w:rsidRDefault="00B740A8" w:rsidP="00B740A8">
      <w:pPr>
        <w:pStyle w:val="ConmainL2"/>
        <w:numPr>
          <w:ilvl w:val="1"/>
          <w:numId w:val="9"/>
        </w:numPr>
        <w:rPr>
          <w:rFonts w:asciiTheme="minorHAnsi" w:hAnsiTheme="minorHAnsi" w:cstheme="minorHAnsi"/>
          <w:sz w:val="22"/>
          <w:szCs w:val="22"/>
          <w:lang w:val="fr-FR"/>
        </w:rPr>
      </w:pPr>
      <w:bookmarkStart w:id="811" w:name="_Toc271734059"/>
      <w:bookmarkStart w:id="812" w:name="_Toc292135887"/>
      <w:bookmarkStart w:id="813" w:name="_Toc401594114"/>
      <w:bookmarkStart w:id="814" w:name="_Toc462673277"/>
      <w:bookmarkStart w:id="815" w:name="_Toc467835626"/>
      <w:bookmarkStart w:id="816" w:name="_Toc482695298"/>
      <w:bookmarkStart w:id="817" w:name="_Toc512863942"/>
      <w:r w:rsidRPr="00C73365">
        <w:rPr>
          <w:rFonts w:asciiTheme="minorHAnsi" w:hAnsiTheme="minorHAnsi" w:cstheme="minorHAnsi"/>
          <w:sz w:val="22"/>
          <w:szCs w:val="22"/>
          <w:lang w:val="fr-FR"/>
        </w:rPr>
        <w:t>Conseil d’administration et comités spécialisés – Gouvernement d’entreprise</w:t>
      </w:r>
      <w:bookmarkEnd w:id="811"/>
      <w:bookmarkEnd w:id="812"/>
      <w:bookmarkEnd w:id="813"/>
      <w:bookmarkEnd w:id="814"/>
      <w:bookmarkEnd w:id="815"/>
      <w:bookmarkEnd w:id="816"/>
      <w:bookmarkEnd w:id="817"/>
    </w:p>
    <w:p w:rsidR="00B740A8" w:rsidRPr="00C73365" w:rsidRDefault="00B740A8" w:rsidP="00B740A8">
      <w:pPr>
        <w:pStyle w:val="ConmainL3"/>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Conseil d’administration</w:t>
      </w:r>
    </w:p>
    <w:p w:rsidR="00B740A8" w:rsidRPr="00C73365" w:rsidRDefault="00B740A8" w:rsidP="00B740A8">
      <w:pPr>
        <w:pStyle w:val="ConmainL3"/>
        <w:tabs>
          <w:tab w:val="clear" w:pos="360"/>
        </w:tabs>
        <w:spacing w:after="0"/>
        <w:outlineLvl w:val="9"/>
        <w:rPr>
          <w:rFonts w:asciiTheme="minorHAnsi" w:hAnsiTheme="minorHAnsi" w:cstheme="minorHAnsi"/>
          <w:b/>
          <w:color w:val="7030A0"/>
          <w:lang w:val="fr-FR"/>
        </w:rPr>
      </w:pPr>
    </w:p>
    <w:p w:rsidR="00B740A8" w:rsidRPr="00C73365" w:rsidRDefault="00B740A8" w:rsidP="004572A0">
      <w:pPr>
        <w:pStyle w:val="BodyText"/>
        <w:rPr>
          <w:rFonts w:asciiTheme="minorHAnsi" w:hAnsiTheme="minorHAnsi" w:cstheme="minorHAnsi"/>
          <w:lang w:val="fr-FR"/>
        </w:rPr>
      </w:pPr>
      <w:bookmarkStart w:id="818" w:name="_Toc308537735"/>
      <w:bookmarkStart w:id="819" w:name="_Toc308707226"/>
      <w:bookmarkStart w:id="820" w:name="_Toc309043153"/>
      <w:bookmarkStart w:id="821" w:name="_Toc314129156"/>
      <w:bookmarkStart w:id="822" w:name="_Toc314249346"/>
      <w:bookmarkStart w:id="823" w:name="_Toc314584838"/>
      <w:r w:rsidRPr="00C73365">
        <w:rPr>
          <w:rFonts w:asciiTheme="minorHAnsi" w:hAnsiTheme="minorHAnsi" w:cstheme="minorHAnsi"/>
          <w:lang w:val="fr-FR"/>
        </w:rPr>
        <w:t>La composition et les informations relatives aux membres du conseil d’administration font l’objet des développements présentés aux chapitres 14 « Organes d’administration, de direction, de surveillance et de direction générale » et 21.2 « Acte constitutif et statuts » du présent document de référence.</w:t>
      </w:r>
      <w:bookmarkEnd w:id="818"/>
      <w:bookmarkEnd w:id="819"/>
      <w:bookmarkEnd w:id="820"/>
      <w:bookmarkEnd w:id="821"/>
      <w:bookmarkEnd w:id="822"/>
      <w:bookmarkEnd w:id="823"/>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Les jetons de présence attribués aux administrateurs sont fonction de leur assiduité aux réunions du conseil d’administration ainsi que de leur implication dans les comités.</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L’assemblée générale fixe chaque année une enveloppe maximale et le conseil d’administration sur proposition du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arrête le montant définitif des jetons de présence et les attribue à chaque administrateur.</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Le détail des rémunérations versé aux administrateurs pour l’exercice clos le 31 décembre 2017 figure à la section 15.1 du présent document de référence. </w:t>
      </w:r>
    </w:p>
    <w:p w:rsidR="00B740A8" w:rsidRPr="00C73365" w:rsidRDefault="00B740A8" w:rsidP="004572A0">
      <w:pPr>
        <w:pStyle w:val="BodyText"/>
        <w:rPr>
          <w:rFonts w:asciiTheme="minorHAnsi" w:hAnsiTheme="minorHAnsi" w:cstheme="minorHAnsi"/>
          <w:lang w:val="fr-FR"/>
        </w:rPr>
      </w:pPr>
      <w:bookmarkStart w:id="824" w:name="_Toc308537736"/>
      <w:bookmarkStart w:id="825" w:name="_Toc308707227"/>
      <w:bookmarkStart w:id="826" w:name="_Toc309043154"/>
      <w:bookmarkStart w:id="827" w:name="_Toc314129157"/>
      <w:bookmarkStart w:id="828" w:name="_Toc314249347"/>
      <w:bookmarkStart w:id="829" w:name="_Toc314584839"/>
      <w:r w:rsidRPr="00C73365">
        <w:rPr>
          <w:rFonts w:asciiTheme="minorHAnsi" w:hAnsiTheme="minorHAnsi" w:cstheme="minorHAnsi"/>
          <w:lang w:val="fr-FR"/>
        </w:rPr>
        <w:t>Un règlement intérieur a été adopté par le conseil d’administration le 14 février 2014 afin de préciser, notamment, le rôle et la composition du conseil, les principes de conduite et les obligations des membres du conseil d’administration de la Société et des comités spécialisés. Chaque membre du conseil d’administration s’engage notamment à maintenir son indépendance d’analyse, de jugement et d’action et à participer activement aux travaux du conseil. Il informe le conseil des situations de conflit d’intérêt auxquelles il pourrait se trouver confronté. En outre, il rappelle la réglementation relative à la diffusion et à l’utilisation d’informations privilégiées en vigueur et précise que ses membres doivent s’abstenir d’effectuer des opérations sur les titres de la Société lorsqu’ils disposent d’informations privilégiées. Chaque membre du conseil d’administration est tenu de déclarer à la Société et à l’AMF les opérations sur les titres de la Société qu’il effectue directement ou indirectement.</w:t>
      </w:r>
      <w:bookmarkEnd w:id="824"/>
      <w:bookmarkEnd w:id="825"/>
      <w:bookmarkEnd w:id="826"/>
      <w:bookmarkEnd w:id="827"/>
      <w:bookmarkEnd w:id="828"/>
      <w:bookmarkEnd w:id="829"/>
      <w:r w:rsidRPr="00C73365">
        <w:rPr>
          <w:rFonts w:asciiTheme="minorHAnsi" w:hAnsiTheme="minorHAnsi" w:cstheme="minorHAnsi"/>
          <w:lang w:val="fr-FR"/>
        </w:rPr>
        <w:t xml:space="preserve"> Le règlement intérieur peut être consulté au siège social de la Société.</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Société considère qu’elle dispose, en les personnes de Joy Amundson, Claude Bertrand, Carol L. Brosgart, Dominique Costantini et Corinna zur Bonsen-Thomas, de cinq administrateurs indépendants au sens des dispositions du Code de gouvernement d’entreprise pour les valeurs moyennes et petites tel qu’il a été publié en décembre 2009 et mis à jour en 2016 par MiddleNext dans la mesure où ces derniers :</w:t>
      </w:r>
    </w:p>
    <w:p w:rsidR="00B740A8" w:rsidRPr="00C73365" w:rsidRDefault="00B740A8" w:rsidP="00434C49">
      <w:pPr>
        <w:pStyle w:val="ListParagraph"/>
        <w:numPr>
          <w:ilvl w:val="0"/>
          <w:numId w:val="87"/>
        </w:numPr>
        <w:spacing w:after="0"/>
        <w:rPr>
          <w:rFonts w:asciiTheme="minorHAnsi" w:hAnsiTheme="minorHAnsi" w:cstheme="minorHAnsi"/>
          <w:szCs w:val="22"/>
          <w:lang w:val="fr-FR"/>
        </w:rPr>
      </w:pPr>
      <w:r w:rsidRPr="00C73365">
        <w:rPr>
          <w:rFonts w:asciiTheme="minorHAnsi" w:hAnsiTheme="minorHAnsi" w:cstheme="minorHAnsi"/>
          <w:szCs w:val="22"/>
          <w:lang w:val="fr-FR"/>
        </w:rPr>
        <w:t>n’ont pas été, au cours des cinq dernières années, salariés ni mandataires sociaux dirigeants de la Société ou d’une société de son groupe ;</w:t>
      </w:r>
    </w:p>
    <w:p w:rsidR="00B740A8" w:rsidRPr="00C73365" w:rsidRDefault="00B740A8" w:rsidP="00434C49">
      <w:pPr>
        <w:pStyle w:val="ListParagraph"/>
        <w:numPr>
          <w:ilvl w:val="0"/>
          <w:numId w:val="87"/>
        </w:numPr>
        <w:spacing w:after="0"/>
        <w:rPr>
          <w:rFonts w:asciiTheme="minorHAnsi" w:hAnsiTheme="minorHAnsi" w:cstheme="minorHAnsi"/>
          <w:szCs w:val="22"/>
          <w:lang w:val="fr-FR"/>
        </w:rPr>
      </w:pPr>
      <w:r w:rsidRPr="00C73365">
        <w:rPr>
          <w:rFonts w:asciiTheme="minorHAnsi" w:hAnsiTheme="minorHAnsi" w:cstheme="minorHAnsi"/>
          <w:szCs w:val="22"/>
          <w:lang w:val="fr-FR"/>
        </w:rPr>
        <w:t>n’ont pas été, au cours des deux dernières années, en relations d’affaires significatives avec la Société ou son groupe (clients, fournisseurs, concurrents, prestataires, créanciers, banquiers, etc.) ;</w:t>
      </w:r>
    </w:p>
    <w:p w:rsidR="00B740A8" w:rsidRPr="00C73365" w:rsidRDefault="00B740A8" w:rsidP="00434C49">
      <w:pPr>
        <w:pStyle w:val="ListParagraph"/>
        <w:numPr>
          <w:ilvl w:val="0"/>
          <w:numId w:val="87"/>
        </w:numPr>
        <w:spacing w:after="0"/>
        <w:rPr>
          <w:rFonts w:asciiTheme="minorHAnsi" w:hAnsiTheme="minorHAnsi" w:cstheme="minorHAnsi"/>
          <w:szCs w:val="22"/>
          <w:lang w:val="fr-FR"/>
        </w:rPr>
      </w:pPr>
      <w:r w:rsidRPr="00C73365">
        <w:rPr>
          <w:rFonts w:asciiTheme="minorHAnsi" w:hAnsiTheme="minorHAnsi" w:cstheme="minorHAnsi"/>
          <w:szCs w:val="22"/>
          <w:lang w:val="fr-FR"/>
        </w:rPr>
        <w:t>n’ont pas été actionnaires de référence de la Société ou n’ont pas détenu un pourcentage de droit de vote significatif ;</w:t>
      </w:r>
    </w:p>
    <w:p w:rsidR="00B740A8" w:rsidRPr="00C73365" w:rsidRDefault="00B740A8" w:rsidP="00434C49">
      <w:pPr>
        <w:pStyle w:val="ListParagraph"/>
        <w:numPr>
          <w:ilvl w:val="0"/>
          <w:numId w:val="87"/>
        </w:numPr>
        <w:spacing w:after="0"/>
        <w:rPr>
          <w:rFonts w:asciiTheme="minorHAnsi" w:hAnsiTheme="minorHAnsi" w:cstheme="minorHAnsi"/>
          <w:lang w:val="fr-FR"/>
        </w:rPr>
      </w:pPr>
      <w:r w:rsidRPr="00C73365">
        <w:rPr>
          <w:rFonts w:asciiTheme="minorHAnsi" w:hAnsiTheme="minorHAnsi" w:cstheme="minorHAnsi"/>
          <w:lang w:val="fr-FR"/>
        </w:rPr>
        <w:t xml:space="preserve">n’ont pas </w:t>
      </w:r>
      <w:r w:rsidRPr="00C73365">
        <w:rPr>
          <w:rFonts w:asciiTheme="minorHAnsi" w:hAnsiTheme="minorHAnsi" w:cstheme="minorHAnsi"/>
          <w:szCs w:val="22"/>
          <w:lang w:val="fr-FR"/>
        </w:rPr>
        <w:t xml:space="preserve">eu </w:t>
      </w:r>
      <w:r w:rsidRPr="00C73365">
        <w:rPr>
          <w:rFonts w:asciiTheme="minorHAnsi" w:hAnsiTheme="minorHAnsi" w:cstheme="minorHAnsi"/>
          <w:lang w:val="fr-FR"/>
        </w:rPr>
        <w:t xml:space="preserve">de </w:t>
      </w:r>
      <w:r w:rsidRPr="00C73365">
        <w:rPr>
          <w:rFonts w:asciiTheme="minorHAnsi" w:hAnsiTheme="minorHAnsi" w:cstheme="minorHAnsi"/>
          <w:szCs w:val="22"/>
          <w:lang w:val="fr-FR"/>
        </w:rPr>
        <w:t>relations de proximité ou de lien familial proche</w:t>
      </w:r>
      <w:r w:rsidRPr="00C73365">
        <w:rPr>
          <w:rFonts w:asciiTheme="minorHAnsi" w:hAnsiTheme="minorHAnsi" w:cstheme="minorHAnsi"/>
          <w:lang w:val="fr-FR"/>
        </w:rPr>
        <w:t xml:space="preserve"> avec un mandataire social ou un actionnaire de référence </w:t>
      </w:r>
      <w:r w:rsidRPr="00C73365">
        <w:rPr>
          <w:rFonts w:asciiTheme="minorHAnsi" w:hAnsiTheme="minorHAnsi" w:cstheme="minorHAnsi"/>
          <w:szCs w:val="22"/>
          <w:lang w:val="fr-FR"/>
        </w:rPr>
        <w:t>;</w:t>
      </w:r>
    </w:p>
    <w:p w:rsidR="00B740A8" w:rsidRPr="00C73365" w:rsidRDefault="00B740A8" w:rsidP="00434C49">
      <w:pPr>
        <w:pStyle w:val="ListParagraph"/>
        <w:numPr>
          <w:ilvl w:val="0"/>
          <w:numId w:val="87"/>
        </w:numPr>
        <w:spacing w:after="0"/>
        <w:rPr>
          <w:rFonts w:asciiTheme="minorHAnsi" w:hAnsiTheme="minorHAnsi" w:cstheme="minorHAnsi"/>
          <w:szCs w:val="22"/>
          <w:lang w:val="fr-FR"/>
        </w:rPr>
      </w:pPr>
      <w:r w:rsidRPr="00C73365">
        <w:rPr>
          <w:rFonts w:asciiTheme="minorHAnsi" w:hAnsiTheme="minorHAnsi" w:cstheme="minorHAnsi"/>
          <w:szCs w:val="22"/>
          <w:lang w:val="fr-FR"/>
        </w:rPr>
        <w:t>n’ont pas été, au cours des six dernières années, commissaires aux comptes de l’entreprise.</w:t>
      </w:r>
    </w:p>
    <w:p w:rsidR="00B740A8" w:rsidRPr="00C73365" w:rsidRDefault="00B740A8" w:rsidP="00B740A8">
      <w:pPr>
        <w:rPr>
          <w:rFonts w:asciiTheme="minorHAnsi" w:hAnsiTheme="minorHAnsi" w:cstheme="minorHAnsi"/>
          <w:szCs w:val="22"/>
          <w:lang w:val="fr-FR"/>
        </w:rPr>
      </w:pPr>
    </w:p>
    <w:p w:rsidR="009352D5" w:rsidRDefault="009352D5" w:rsidP="004572A0">
      <w:pPr>
        <w:pStyle w:val="BodyText"/>
        <w:rPr>
          <w:rFonts w:asciiTheme="minorHAnsi" w:hAnsiTheme="minorHAnsi" w:cstheme="minorHAnsi"/>
          <w:lang w:val="fr-FR"/>
        </w:rPr>
      </w:pPr>
      <w:r>
        <w:rPr>
          <w:rFonts w:asciiTheme="minorHAnsi" w:hAnsiTheme="minorHAnsi" w:cstheme="minorHAnsi"/>
          <w:lang w:val="fr-FR"/>
        </w:rPr>
        <w:t>Le conseil d’administration considère également que</w:t>
      </w:r>
      <w:r w:rsidR="00872F5A">
        <w:rPr>
          <w:rFonts w:asciiTheme="minorHAnsi" w:hAnsiTheme="minorHAnsi" w:cstheme="minorHAnsi"/>
          <w:lang w:val="fr-FR"/>
        </w:rPr>
        <w:t xml:space="preserve"> l’attribution de bons de souscriptions d’actions à certains administrateurs (se référer au paragraphe 21.1.5 du présent document de base) </w:t>
      </w:r>
      <w:r>
        <w:rPr>
          <w:rFonts w:asciiTheme="minorHAnsi" w:hAnsiTheme="minorHAnsi" w:cstheme="minorHAnsi"/>
          <w:lang w:val="fr-FR"/>
        </w:rPr>
        <w:t xml:space="preserve">n’affecte nullement leur qualification en tant qu’administrateurs indépendants au sens du </w:t>
      </w:r>
      <w:r w:rsidRPr="00C73365">
        <w:rPr>
          <w:rFonts w:asciiTheme="minorHAnsi" w:hAnsiTheme="minorHAnsi" w:cstheme="minorHAnsi"/>
          <w:lang w:val="fr-FR"/>
        </w:rPr>
        <w:t>Code de gouvernement d’entreprise pour les valeurs moyennes et petites tel qu’il a été publié en décembre 2009 et mis à jour en 2016 par MiddleNext</w:t>
      </w:r>
      <w:r w:rsidR="007E1DA7">
        <w:rPr>
          <w:rFonts w:asciiTheme="minorHAnsi" w:hAnsiTheme="minorHAnsi" w:cstheme="minorHAnsi"/>
          <w:lang w:val="fr-FR"/>
        </w:rPr>
        <w:t>.</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 nombre de réunions du conseil d’administration tient compte des différents évènements qui ponctuent la vie de la Société. Ainsi, le conseil d’administration se réunit d’autant plus fréquemment que l’actualité de la Société le justifie.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Au cours de l’exercice clos le 31 décembre 2017, le conseil d’administration de la Société s’est réuni neuf fois et le taux de présence des membres du conseil d’administration s’est élevé à 80,29 %.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Lors de sa séance du 15 mars 2018, le conseil d’administration a examiné au cas par cas la situation de chacun des membres concernés au regard des critères d’indépendance énoncés par les dispositions du Code de gouvernement d’entreprise pour les valeurs moyennes et petites tel qu’il a été publié en décembre 2009 et mis à jour en 2016 par MiddleNext. </w:t>
      </w:r>
    </w:p>
    <w:p w:rsidR="00B740A8" w:rsidRPr="00C73365" w:rsidRDefault="00B740A8" w:rsidP="00B740A8">
      <w:pPr>
        <w:pStyle w:val="ConmainL3"/>
        <w:numPr>
          <w:ilvl w:val="2"/>
          <w:numId w:val="9"/>
        </w:numPr>
        <w:spacing w:after="0"/>
        <w:rPr>
          <w:rFonts w:asciiTheme="minorHAnsi" w:hAnsiTheme="minorHAnsi" w:cstheme="minorHAnsi"/>
          <w:b/>
          <w:color w:val="7030A0"/>
          <w:lang w:val="fr-FR"/>
        </w:rPr>
      </w:pPr>
      <w:bookmarkStart w:id="830" w:name="_Toc401594116"/>
      <w:r w:rsidRPr="00C73365">
        <w:rPr>
          <w:rFonts w:asciiTheme="minorHAnsi" w:hAnsiTheme="minorHAnsi" w:cstheme="minorHAnsi"/>
          <w:b/>
          <w:color w:val="7030A0"/>
          <w:lang w:val="fr-FR"/>
        </w:rPr>
        <w:t>Comités spécialisés</w:t>
      </w:r>
      <w:bookmarkEnd w:id="830"/>
    </w:p>
    <w:p w:rsidR="00B740A8" w:rsidRPr="00C73365" w:rsidRDefault="00B740A8" w:rsidP="00B740A8">
      <w:pPr>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A la date du présent document de référence, le conseil d’administration a mis en place deux comités : un </w:t>
      </w:r>
      <w:r w:rsidR="00AC15E8">
        <w:rPr>
          <w:rFonts w:asciiTheme="minorHAnsi" w:hAnsiTheme="minorHAnsi" w:cstheme="minorHAnsi"/>
          <w:lang w:val="fr-FR"/>
        </w:rPr>
        <w:t>comité des recrutements et des rémunérations</w:t>
      </w:r>
      <w:r w:rsidRPr="00C73365">
        <w:rPr>
          <w:rFonts w:asciiTheme="minorHAnsi" w:hAnsiTheme="minorHAnsi" w:cstheme="minorHAnsi"/>
          <w:lang w:val="fr-FR"/>
        </w:rPr>
        <w:t xml:space="preserve"> et un comité d’audit. Par ailleurs, la Société a mis en place un comité scientifique qui assiste le management et le conseil dans leurs travaux. </w:t>
      </w:r>
    </w:p>
    <w:p w:rsidR="00B740A8" w:rsidRPr="00C73365" w:rsidRDefault="00B740A8" w:rsidP="00F516CA">
      <w:pPr>
        <w:rPr>
          <w:rFonts w:asciiTheme="minorHAnsi" w:eastAsia="Calibri" w:hAnsiTheme="minorHAnsi" w:cstheme="minorHAnsi"/>
          <w:b/>
          <w:u w:val="single"/>
          <w:lang w:val="fr-FR"/>
        </w:rPr>
      </w:pPr>
      <w:r w:rsidRPr="00C73365">
        <w:rPr>
          <w:rFonts w:asciiTheme="minorHAnsi" w:hAnsiTheme="minorHAnsi" w:cstheme="minorHAnsi"/>
          <w:b/>
          <w:u w:val="single"/>
          <w:lang w:val="fr-FR"/>
        </w:rPr>
        <w:t>Le comité d’audit</w:t>
      </w:r>
    </w:p>
    <w:p w:rsidR="00B740A8" w:rsidRPr="00C73365" w:rsidRDefault="00B740A8" w:rsidP="004572A0">
      <w:pPr>
        <w:pStyle w:val="BodyText"/>
        <w:rPr>
          <w:rFonts w:asciiTheme="minorHAnsi" w:eastAsia="Calibri" w:hAnsiTheme="minorHAnsi" w:cstheme="minorHAnsi"/>
          <w:b/>
          <w:lang w:val="fr-FR"/>
        </w:rPr>
      </w:pPr>
      <w:r w:rsidRPr="00C73365">
        <w:rPr>
          <w:rFonts w:asciiTheme="minorHAnsi" w:eastAsia="Calibri" w:hAnsiTheme="minorHAnsi" w:cstheme="minorHAnsi"/>
          <w:b/>
          <w:lang w:val="fr-FR"/>
        </w:rPr>
        <w:t>Missions - Attributions</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 comité d’audit a pour missions essentielles d’assurer le suivi du processus d’élaboration de l’information financière, de l’efficacité des systèmes de contrôle interne et de gestion des risques ainsi que du contrôle légal des comptes sociaux par le Commissaire aux comptes. Il pilote la procédure de sélection du Commissaire aux comptes et veille à son indépendance.</w:t>
      </w:r>
    </w:p>
    <w:p w:rsidR="00B740A8" w:rsidRPr="00C73365" w:rsidRDefault="00B740A8" w:rsidP="00F516CA">
      <w:pPr>
        <w:pStyle w:val="BodyTextFirstIndent2"/>
        <w:ind w:left="0" w:firstLine="0"/>
        <w:rPr>
          <w:rFonts w:asciiTheme="minorHAnsi" w:eastAsia="Calibri" w:hAnsiTheme="minorHAnsi" w:cstheme="minorHAnsi"/>
          <w:b/>
          <w:lang w:val="fr-FR"/>
        </w:rPr>
      </w:pPr>
      <w:r w:rsidRPr="00C73365">
        <w:rPr>
          <w:rFonts w:asciiTheme="minorHAnsi" w:eastAsia="Calibri" w:hAnsiTheme="minorHAnsi" w:cstheme="minorHAnsi"/>
          <w:b/>
          <w:lang w:val="fr-FR"/>
        </w:rPr>
        <w:t xml:space="preserve">Modalités de fonctionnement </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 comité d’audit se réunit au moins une fois par an. Toutes les réunions du comité se sont tenues en présence de l’ensemble de ses membres.</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Participent également à ces réunions le Commissaire aux comptes et le Directeur administratif et financier.</w:t>
      </w:r>
    </w:p>
    <w:p w:rsidR="00B740A8" w:rsidRPr="00C73365" w:rsidRDefault="00B740A8" w:rsidP="004572A0">
      <w:pPr>
        <w:pStyle w:val="BodyText"/>
        <w:rPr>
          <w:rFonts w:asciiTheme="minorHAnsi" w:eastAsia="Calibri" w:hAnsiTheme="minorHAnsi" w:cstheme="minorHAnsi"/>
          <w:b/>
          <w:lang w:val="fr-FR"/>
        </w:rPr>
      </w:pPr>
      <w:r w:rsidRPr="00C73365">
        <w:rPr>
          <w:rFonts w:asciiTheme="minorHAnsi" w:eastAsia="Calibri" w:hAnsiTheme="minorHAnsi" w:cstheme="minorHAnsi"/>
          <w:b/>
          <w:lang w:val="fr-FR"/>
        </w:rPr>
        <w:t xml:space="preserve">Composition </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Il est composé de trois membres, désigné par le conseil d’administration. Les membres du comité d’audit sont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Madame Corinna zur Bonsen-Thomas : nommée Présidente du comité d’audit par le conseil d’administration en date du 22 janvier 2018 et ce pour une durée illimitée,</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Monsieur Claude Bertrand : nommé par le conseil d’administration en date du 22 janvier 2018 et ce pour une durée illimitée,</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Madame Joy Amundson : nommée par le conseil d’administration en date du 23 janvier 2017 et ce pour une durée illimitée.</w:t>
      </w:r>
    </w:p>
    <w:p w:rsidR="00B740A8" w:rsidRPr="00C73365" w:rsidRDefault="00B740A8" w:rsidP="00B740A8">
      <w:pPr>
        <w:rPr>
          <w:rFonts w:asciiTheme="minorHAnsi" w:eastAsia="Calibri" w:hAnsiTheme="minorHAnsi" w:cstheme="minorHAnsi"/>
          <w:szCs w:val="20"/>
          <w:lang w:val="fr-FR"/>
        </w:rPr>
      </w:pPr>
    </w:p>
    <w:p w:rsidR="00B740A8" w:rsidRPr="00C73365" w:rsidRDefault="00B740A8" w:rsidP="00F516CA">
      <w:pPr>
        <w:rPr>
          <w:rFonts w:asciiTheme="minorHAnsi" w:hAnsiTheme="minorHAnsi" w:cstheme="minorHAnsi"/>
          <w:b/>
          <w:u w:val="single"/>
          <w:lang w:val="fr-FR"/>
        </w:rPr>
      </w:pPr>
      <w:r w:rsidRPr="00C73365">
        <w:rPr>
          <w:rFonts w:asciiTheme="minorHAnsi" w:hAnsiTheme="minorHAnsi" w:cstheme="minorHAnsi"/>
          <w:b/>
          <w:u w:val="single"/>
          <w:lang w:val="fr-FR"/>
        </w:rPr>
        <w:t xml:space="preserve">Le </w:t>
      </w:r>
      <w:r w:rsidR="00AC15E8">
        <w:rPr>
          <w:rFonts w:asciiTheme="minorHAnsi" w:hAnsiTheme="minorHAnsi" w:cstheme="minorHAnsi"/>
          <w:b/>
          <w:u w:val="single"/>
          <w:lang w:val="fr-FR"/>
        </w:rPr>
        <w:t>comité des recrutements et des rémunérations</w:t>
      </w:r>
    </w:p>
    <w:p w:rsidR="00B740A8" w:rsidRPr="00C73365" w:rsidRDefault="00B740A8" w:rsidP="004572A0">
      <w:pPr>
        <w:pStyle w:val="BodyText"/>
        <w:rPr>
          <w:rFonts w:asciiTheme="minorHAnsi" w:eastAsia="Calibri" w:hAnsiTheme="minorHAnsi" w:cstheme="minorHAnsi"/>
          <w:b/>
          <w:lang w:val="fr-FR"/>
        </w:rPr>
      </w:pPr>
      <w:r w:rsidRPr="00C73365">
        <w:rPr>
          <w:rFonts w:asciiTheme="minorHAnsi" w:eastAsia="Calibri" w:hAnsiTheme="minorHAnsi" w:cstheme="minorHAnsi"/>
          <w:b/>
          <w:lang w:val="fr-FR"/>
        </w:rPr>
        <w:t>Missions - Attributions</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Le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est notamment chargé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 xml:space="preserve">de faire toute proposition au conseil d’administration concernant la fixation des éléments de la rémunération du président, du directeur général, des mandataires sociaux et des principaux cadres dirigeants, ainsi qu’en </w:t>
      </w:r>
      <w:r w:rsidRPr="00C93577">
        <w:rPr>
          <w:rFonts w:asciiTheme="minorHAnsi" w:hAnsiTheme="minorHAnsi" w:cstheme="minorHAnsi"/>
          <w:lang w:val="fr-FR"/>
        </w:rPr>
        <w:lastRenderedPageBreak/>
        <w:t xml:space="preserve">matière de politique d’actionnariat et d’outils d’intéressement des dirigeants et des salariés de la Société, en tenant compte des objectifs de la Société et des performances individuelles et collectives réalisées ; et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d’identifier, d’évaluer et de proposer la nomination d’administrateurs indépendants en vue d’une bonne gouvernance de la Société.</w:t>
      </w:r>
    </w:p>
    <w:p w:rsidR="00B740A8" w:rsidRPr="00C73365" w:rsidRDefault="00B740A8" w:rsidP="00B740A8">
      <w:pPr>
        <w:rPr>
          <w:rFonts w:asciiTheme="minorHAnsi" w:eastAsia="Calibri" w:hAnsiTheme="minorHAnsi" w:cstheme="minorHAnsi"/>
          <w:szCs w:val="20"/>
          <w:lang w:val="fr-FR"/>
        </w:rPr>
      </w:pP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De manière générale, le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apporte tout conseil et formule toute recommandation appropriée dans les domaines ci-dessus.</w:t>
      </w:r>
    </w:p>
    <w:p w:rsidR="00B740A8" w:rsidRPr="00C73365" w:rsidRDefault="00B740A8" w:rsidP="004572A0">
      <w:pPr>
        <w:pStyle w:val="BodyText"/>
        <w:rPr>
          <w:rFonts w:asciiTheme="minorHAnsi" w:eastAsia="Calibri" w:hAnsiTheme="minorHAnsi" w:cstheme="minorHAnsi"/>
          <w:b/>
          <w:lang w:val="fr-FR"/>
        </w:rPr>
      </w:pPr>
      <w:r w:rsidRPr="00C73365">
        <w:rPr>
          <w:rFonts w:asciiTheme="minorHAnsi" w:eastAsia="Calibri" w:hAnsiTheme="minorHAnsi" w:cstheme="minorHAnsi"/>
          <w:b/>
          <w:lang w:val="fr-FR"/>
        </w:rPr>
        <w:t xml:space="preserve">Modalités de fonctionnement </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Le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se réunit au moins une fois par an, selon un calendrier fixé par son président, sur convocation de ce dernier, à son initiative ou à l’initiative de deux membres au moins du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du Président du conseil d’administration ou du Directeur général.</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L’ordre du jour de chaque réunion est arrêté par le Président du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ou, lorsqu’il n’est pas à l’initiative de la réunion, par le président du comité en concertation avec le Président du conseil d’administration, le Directeur général ou les membres du comité selon le cas.</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L’ordre du jour de chaque réunion adressé aux membres du comité, sauf urgence, sept jours calendaires au moins avant la date de la réunion.</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 Président du conseil d’administration de la Société, s’il n’est pas membre du comité, peut être invité à participer aux réunions du comité. Le comité l’invite à lui présenter ses propositions. Il n’a pas voix délibérative et n’assiste pas aux délibérations relatives à sa propre situation.</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Le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peut demander au président du conseil d’administration à bénéficier de l’assistance de tout cadre dirigeant de la Société dont les compétences pourraient faciliter le traitement d’un point à l’ordre du jour. Le président du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ou le président de séance attire l’attention de toute personne participant aux débats sur les obligations de confidentialité qui lui incombent.</w:t>
      </w:r>
    </w:p>
    <w:p w:rsidR="00B740A8" w:rsidRPr="00C73365" w:rsidRDefault="00B740A8" w:rsidP="00F516CA">
      <w:pPr>
        <w:pStyle w:val="BodyTextFirstIndent2"/>
        <w:ind w:left="0" w:firstLine="0"/>
        <w:rPr>
          <w:rFonts w:asciiTheme="minorHAnsi" w:eastAsia="Calibri" w:hAnsiTheme="minorHAnsi" w:cstheme="minorHAnsi"/>
          <w:b/>
          <w:lang w:val="fr-FR"/>
        </w:rPr>
      </w:pPr>
      <w:r w:rsidRPr="00C73365">
        <w:rPr>
          <w:rFonts w:asciiTheme="minorHAnsi" w:eastAsia="Calibri" w:hAnsiTheme="minorHAnsi" w:cstheme="minorHAnsi"/>
          <w:b/>
          <w:lang w:val="fr-FR"/>
        </w:rPr>
        <w:t xml:space="preserve">Composition </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Le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est composé d’au moins deux membres désignés par le conseil d’administration. Les membres du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ne sont pas obligatoirement des membres du conseil d’administration. Ils sont nommés pour une durée non limitée.</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 xml:space="preserve">Les membres du </w:t>
      </w:r>
      <w:r w:rsidR="00AC15E8">
        <w:rPr>
          <w:rFonts w:asciiTheme="minorHAnsi" w:eastAsia="Calibri" w:hAnsiTheme="minorHAnsi" w:cstheme="minorHAnsi"/>
          <w:lang w:val="fr-FR"/>
        </w:rPr>
        <w:t>comité des recrutements et des rémunérations</w:t>
      </w:r>
      <w:r w:rsidRPr="00C73365">
        <w:rPr>
          <w:rFonts w:asciiTheme="minorHAnsi" w:eastAsia="Calibri" w:hAnsiTheme="minorHAnsi" w:cstheme="minorHAnsi"/>
          <w:lang w:val="fr-FR"/>
        </w:rPr>
        <w:t xml:space="preserve"> sont :</w:t>
      </w:r>
    </w:p>
    <w:p w:rsidR="00B740A8" w:rsidRPr="00C73365" w:rsidRDefault="00B740A8" w:rsidP="004572A0">
      <w:pPr>
        <w:pStyle w:val="ListBullet"/>
        <w:rPr>
          <w:rFonts w:asciiTheme="minorHAnsi" w:hAnsiTheme="minorHAnsi" w:cstheme="minorHAnsi"/>
        </w:rPr>
      </w:pPr>
      <w:r w:rsidRPr="00C73365">
        <w:rPr>
          <w:rFonts w:asciiTheme="minorHAnsi" w:hAnsiTheme="minorHAnsi" w:cstheme="minorHAnsi"/>
        </w:rPr>
        <w:t>Monsieur Philippe Pouletty (Président),</w:t>
      </w:r>
    </w:p>
    <w:p w:rsidR="00B740A8" w:rsidRPr="00C73365" w:rsidRDefault="00B740A8" w:rsidP="004572A0">
      <w:pPr>
        <w:pStyle w:val="ListBullet"/>
        <w:rPr>
          <w:rFonts w:asciiTheme="minorHAnsi" w:hAnsiTheme="minorHAnsi" w:cstheme="minorHAnsi"/>
        </w:rPr>
      </w:pPr>
      <w:r w:rsidRPr="00C73365">
        <w:rPr>
          <w:rFonts w:asciiTheme="minorHAnsi" w:hAnsiTheme="minorHAnsi" w:cstheme="minorHAnsi"/>
        </w:rPr>
        <w:t>Monsieur Jean-Jacques Bertrand.</w:t>
      </w:r>
    </w:p>
    <w:p w:rsidR="00B740A8" w:rsidRPr="00C73365" w:rsidRDefault="00B740A8" w:rsidP="00B740A8">
      <w:pPr>
        <w:rPr>
          <w:rFonts w:asciiTheme="minorHAnsi" w:eastAsia="Calibri" w:hAnsiTheme="minorHAnsi" w:cstheme="minorHAnsi"/>
          <w:szCs w:val="20"/>
          <w:u w:val="single"/>
          <w:lang w:val="fr-FR"/>
        </w:rPr>
      </w:pPr>
    </w:p>
    <w:p w:rsidR="00B740A8" w:rsidRPr="00C73365" w:rsidRDefault="00B740A8" w:rsidP="00F516CA">
      <w:pPr>
        <w:rPr>
          <w:rFonts w:asciiTheme="minorHAnsi" w:hAnsiTheme="minorHAnsi" w:cstheme="minorHAnsi"/>
          <w:b/>
          <w:u w:val="single"/>
          <w:lang w:val="fr-FR"/>
        </w:rPr>
      </w:pPr>
      <w:r w:rsidRPr="00C73365">
        <w:rPr>
          <w:rFonts w:asciiTheme="minorHAnsi" w:hAnsiTheme="minorHAnsi" w:cstheme="minorHAnsi"/>
          <w:b/>
          <w:u w:val="single"/>
          <w:lang w:val="fr-FR"/>
        </w:rPr>
        <w:t xml:space="preserve">Le comité scientifique </w:t>
      </w:r>
    </w:p>
    <w:p w:rsidR="00B740A8" w:rsidRPr="00C73365" w:rsidRDefault="00B740A8" w:rsidP="004572A0">
      <w:pPr>
        <w:pStyle w:val="BodyText"/>
        <w:rPr>
          <w:rFonts w:asciiTheme="minorHAnsi" w:eastAsia="Calibri" w:hAnsiTheme="minorHAnsi" w:cstheme="minorHAnsi"/>
          <w:b/>
          <w:lang w:val="fr-FR"/>
        </w:rPr>
      </w:pPr>
      <w:r w:rsidRPr="00C73365">
        <w:rPr>
          <w:rFonts w:asciiTheme="minorHAnsi" w:eastAsia="Calibri" w:hAnsiTheme="minorHAnsi" w:cstheme="minorHAnsi"/>
          <w:b/>
          <w:lang w:val="fr-FR"/>
        </w:rPr>
        <w:t>Missions – Attributions</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hAnsiTheme="minorHAnsi" w:cstheme="minorHAnsi"/>
          <w:lang w:val="fr-FR"/>
        </w:rPr>
        <w:t>La Société a mis en place un comité scientifique qui assiste le management et le conseil dans leurs travaux.</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 comité scientifique a pour mission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d’examiner des questions scientifiques particulières qui lui seraient soumises par la Société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 xml:space="preserve">de formuler des recommandations pour la détermination des grandes orientations prises par la Société dans le domaine scientifique ; et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de formuler des recommandations pour la définition des priorités de la Société dans le domaine de la recherche et du développement, et des moyens permettant d’aboutir à la réalisation des objectifs ainsi définis.</w:t>
      </w:r>
    </w:p>
    <w:p w:rsidR="00B740A8" w:rsidRPr="00C73365" w:rsidRDefault="00B740A8" w:rsidP="00B740A8">
      <w:pPr>
        <w:rPr>
          <w:rFonts w:asciiTheme="minorHAnsi" w:eastAsia="Calibri" w:hAnsiTheme="minorHAnsi" w:cstheme="minorHAnsi"/>
          <w:szCs w:val="20"/>
          <w:lang w:val="fr-FR"/>
        </w:rPr>
      </w:pPr>
    </w:p>
    <w:p w:rsidR="00B740A8" w:rsidRPr="00C73365" w:rsidRDefault="00B740A8" w:rsidP="004572A0">
      <w:pPr>
        <w:pStyle w:val="BodyText"/>
        <w:rPr>
          <w:rFonts w:asciiTheme="minorHAnsi" w:eastAsia="Calibri" w:hAnsiTheme="minorHAnsi" w:cstheme="minorHAnsi"/>
          <w:b/>
          <w:lang w:val="fr-FR"/>
        </w:rPr>
      </w:pPr>
      <w:r w:rsidRPr="00C73365">
        <w:rPr>
          <w:rFonts w:asciiTheme="minorHAnsi" w:eastAsia="Calibri" w:hAnsiTheme="minorHAnsi" w:cstheme="minorHAnsi"/>
          <w:b/>
          <w:lang w:val="fr-FR"/>
        </w:rPr>
        <w:lastRenderedPageBreak/>
        <w:t xml:space="preserve">Modalités de fonctionnement </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 comité scientifique se réunit au moins une fois par an, selon un calendrier fixé par son président, sur convocation de ce dernier, à son initiative ou à l’initiative de deux membres au moins du comité scientifique, du Président du conseil d’administration ou du Directeur général.</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L’ordre du jour de chaque réunion est arrêté par le Président du comité Scientifique, ou, lorsqu’il n’est pas à l’initiative de la réunion, par le Président du comité en concertation avec le Président du conseil d’administration, le Directeur général ou les membres du comité selon le cas.</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L’ordre du jour de chaque réunion est adressé aux membres du comité, sauf urgence, sept jours calendaires au moins avant la date de la réunion.</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L’ensemble des travaux du département scientifique de la Société ainsi que ses objectifs sont présentés au comité scientifique lors de ses réunions. Il fait également une analyse détaillée des données qui lui sont fournies.</w:t>
      </w:r>
    </w:p>
    <w:p w:rsidR="00B740A8" w:rsidRPr="00C73365" w:rsidRDefault="00B740A8" w:rsidP="004572A0">
      <w:pPr>
        <w:pStyle w:val="BodyText"/>
        <w:rPr>
          <w:rFonts w:asciiTheme="minorHAnsi" w:eastAsia="Calibri" w:hAnsiTheme="minorHAnsi" w:cstheme="minorHAnsi"/>
          <w:b/>
          <w:lang w:val="fr-FR"/>
        </w:rPr>
      </w:pPr>
      <w:r w:rsidRPr="00C73365">
        <w:rPr>
          <w:rFonts w:asciiTheme="minorHAnsi" w:eastAsia="Calibri" w:hAnsiTheme="minorHAnsi" w:cstheme="minorHAnsi"/>
          <w:b/>
          <w:lang w:val="fr-FR"/>
        </w:rPr>
        <w:t xml:space="preserve">Composition </w:t>
      </w:r>
    </w:p>
    <w:p w:rsidR="00B740A8" w:rsidRPr="00C73365" w:rsidRDefault="00B740A8" w:rsidP="004572A0">
      <w:pPr>
        <w:pStyle w:val="BodyText"/>
        <w:rPr>
          <w:rFonts w:asciiTheme="minorHAnsi" w:eastAsia="Calibri" w:hAnsiTheme="minorHAnsi" w:cstheme="minorHAnsi"/>
          <w:lang w:val="fr-FR"/>
        </w:rPr>
      </w:pPr>
      <w:r w:rsidRPr="00C73365">
        <w:rPr>
          <w:rFonts w:asciiTheme="minorHAnsi" w:eastAsia="Calibri" w:hAnsiTheme="minorHAnsi" w:cstheme="minorHAnsi"/>
          <w:lang w:val="fr-FR"/>
        </w:rPr>
        <w:t>Les membres du comité scientifique sont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Professeur Luc Teyton, M.D., Ph.D., directeur du département d</w:t>
      </w:r>
      <w:r w:rsidR="004572A0" w:rsidRPr="00C93577">
        <w:rPr>
          <w:rFonts w:asciiTheme="minorHAnsi" w:hAnsiTheme="minorHAnsi" w:cstheme="minorHAnsi"/>
          <w:lang w:val="fr-FR"/>
        </w:rPr>
        <w:t>’</w:t>
      </w:r>
      <w:r w:rsidRPr="00C93577">
        <w:rPr>
          <w:rFonts w:asciiTheme="minorHAnsi" w:hAnsiTheme="minorHAnsi" w:cstheme="minorHAnsi"/>
          <w:lang w:val="fr-FR"/>
        </w:rPr>
        <w:t>immunologie de l’institut de recherche Scripps, à La Jolla, États-Unis (président du comité scientifique)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Professeur Christoph Huber, M.D., ex-président, département d’hématologie-oncologie de l’Université de Mayence, Allemagne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Dr. Jean-Paul Prieels, ancien vice-président de la R&amp;D de GSK Biologics, à Rixensart, Belgique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Professeur Lawrence Stanberry, M.D., Ph.D., directeur du département de pédiatrie du Collège des médecins et chirurgiens de l</w:t>
      </w:r>
      <w:r w:rsidR="004572A0" w:rsidRPr="00C93577">
        <w:rPr>
          <w:rFonts w:asciiTheme="minorHAnsi" w:hAnsiTheme="minorHAnsi" w:cstheme="minorHAnsi"/>
          <w:lang w:val="fr-FR"/>
        </w:rPr>
        <w:t>’</w:t>
      </w:r>
      <w:r w:rsidRPr="00C93577">
        <w:rPr>
          <w:rFonts w:asciiTheme="minorHAnsi" w:hAnsiTheme="minorHAnsi" w:cstheme="minorHAnsi"/>
          <w:lang w:val="fr-FR"/>
        </w:rPr>
        <w:t>Université Columbia, à New York, États-Unis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Professeur Jamal Tazi, PhD, directeur du département de génétique moléculaire, CNRS et Université de Montpellier, France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Professeur Christian Trepo, M.D., Ph.D., département d’hépato-gastroentérologie, à l’Hôpital universitaire de Lyon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Professeur Christian Brechot, M.D., Ph.D., ancien directeur général de l’Institut Pasteur, à Paris, France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Professeur Ian Mcgowan, M.D., Ph.D., département de gastroentérologie, hépatologie et nutrition à la faculté de médecine de l’Université de Pittsburg aux Etats-Unis.</w:t>
      </w:r>
    </w:p>
    <w:p w:rsidR="00B740A8" w:rsidRPr="00C73365" w:rsidRDefault="00B740A8" w:rsidP="00B740A8">
      <w:pPr>
        <w:rPr>
          <w:rFonts w:asciiTheme="minorHAnsi" w:eastAsia="Calibri" w:hAnsiTheme="minorHAnsi" w:cstheme="minorHAnsi"/>
          <w:szCs w:val="20"/>
          <w:lang w:val="fr-FR"/>
        </w:rPr>
      </w:pPr>
    </w:p>
    <w:p w:rsidR="00B740A8" w:rsidRPr="00C73365" w:rsidRDefault="00B740A8" w:rsidP="00B740A8">
      <w:pPr>
        <w:spacing w:line="264" w:lineRule="auto"/>
        <w:ind w:left="1440" w:hanging="990"/>
        <w:rPr>
          <w:rFonts w:asciiTheme="minorHAnsi" w:hAnsiTheme="minorHAnsi" w:cstheme="minorHAnsi"/>
          <w:b/>
          <w:szCs w:val="22"/>
          <w:lang w:val="fr-FR"/>
        </w:rPr>
      </w:pPr>
      <w:bookmarkStart w:id="831" w:name="_Toc290245375"/>
      <w:bookmarkStart w:id="832" w:name="_Toc290293298"/>
      <w:bookmarkStart w:id="833" w:name="_Toc290294932"/>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834" w:name="_Toc271734062"/>
      <w:bookmarkStart w:id="835" w:name="_Toc292135890"/>
      <w:bookmarkStart w:id="836" w:name="_Toc401594117"/>
      <w:bookmarkStart w:id="837" w:name="_Toc462673278"/>
      <w:bookmarkStart w:id="838" w:name="_Toc467835627"/>
      <w:bookmarkStart w:id="839" w:name="_Toc482695299"/>
      <w:bookmarkStart w:id="840" w:name="_Toc512863943"/>
      <w:bookmarkEnd w:id="831"/>
      <w:bookmarkEnd w:id="832"/>
      <w:bookmarkEnd w:id="833"/>
      <w:r w:rsidRPr="00C73365">
        <w:rPr>
          <w:rFonts w:asciiTheme="minorHAnsi" w:hAnsiTheme="minorHAnsi" w:cstheme="minorHAnsi"/>
          <w:sz w:val="22"/>
          <w:lang w:val="fr-FR"/>
        </w:rPr>
        <w:t>Déclaration relative au gouvernement d’entreprise</w:t>
      </w:r>
      <w:bookmarkEnd w:id="834"/>
      <w:bookmarkEnd w:id="835"/>
      <w:bookmarkEnd w:id="836"/>
      <w:bookmarkEnd w:id="837"/>
      <w:bookmarkEnd w:id="838"/>
      <w:bookmarkEnd w:id="839"/>
      <w:bookmarkEnd w:id="840"/>
    </w:p>
    <w:p w:rsidR="00B740A8" w:rsidRPr="00C73365" w:rsidRDefault="00B740A8" w:rsidP="00B740A8">
      <w:pPr>
        <w:pStyle w:val="ConmainL2"/>
        <w:numPr>
          <w:ilvl w:val="0"/>
          <w:numId w:val="0"/>
        </w:numPr>
        <w:spacing w:after="0"/>
        <w:outlineLvl w:val="9"/>
        <w:rPr>
          <w:rFonts w:asciiTheme="minorHAnsi" w:hAnsiTheme="minorHAnsi" w:cstheme="minorHAnsi"/>
          <w:sz w:val="22"/>
          <w:lang w:val="fr-FR"/>
        </w:rPr>
      </w:pPr>
    </w:p>
    <w:p w:rsidR="00B740A8" w:rsidRPr="00C73365" w:rsidRDefault="00B740A8" w:rsidP="00F516CA">
      <w:pPr>
        <w:rPr>
          <w:rFonts w:asciiTheme="minorHAnsi" w:hAnsiTheme="minorHAnsi" w:cstheme="minorHAnsi"/>
          <w:lang w:val="fr-FR"/>
        </w:rPr>
      </w:pPr>
      <w:r w:rsidRPr="00C73365">
        <w:rPr>
          <w:rFonts w:asciiTheme="minorHAnsi" w:hAnsiTheme="minorHAnsi" w:cstheme="minorHAnsi"/>
          <w:lang w:val="fr-FR"/>
        </w:rPr>
        <w:t xml:space="preserve">Afin de se conformer aux exigences de l’article L. 225-37-4 du Code de commerce, la Société a désigné le Code de gouvernement d’entreprise pour les valeurs moyennes et petites tel qu’il a été publié en décembre 2009 et mis à jour en </w:t>
      </w:r>
      <w:r w:rsidR="00E73A7C">
        <w:rPr>
          <w:rFonts w:asciiTheme="minorHAnsi" w:hAnsiTheme="minorHAnsi" w:cstheme="minorHAnsi"/>
          <w:lang w:val="fr-FR"/>
        </w:rPr>
        <w:t>septembre</w:t>
      </w:r>
      <w:r w:rsidRPr="00C73365">
        <w:rPr>
          <w:rFonts w:asciiTheme="minorHAnsi" w:hAnsiTheme="minorHAnsi" w:cstheme="minorHAnsi"/>
          <w:lang w:val="fr-FR"/>
        </w:rPr>
        <w:t xml:space="preserve"> 2016 par MiddleNext comme code de référence auquel elle entend se référer.</w:t>
      </w:r>
    </w:p>
    <w:p w:rsidR="00B740A8" w:rsidRPr="00C73365" w:rsidRDefault="00B740A8" w:rsidP="00F516CA">
      <w:pPr>
        <w:rPr>
          <w:rFonts w:asciiTheme="minorHAnsi" w:hAnsiTheme="minorHAnsi" w:cstheme="minorHAnsi"/>
          <w:lang w:val="fr-FR"/>
        </w:rPr>
      </w:pPr>
      <w:r w:rsidRPr="00C73365">
        <w:rPr>
          <w:rFonts w:asciiTheme="minorHAnsi" w:hAnsiTheme="minorHAnsi" w:cstheme="minorHAnsi"/>
          <w:lang w:val="fr-FR"/>
        </w:rPr>
        <w:t>La Société a pour objectif de se conformer à l’ensemble des recommandations du Code de gouvernement d’entreprise MiddleNext pour les valeurs moyennes et petites. Ces dispositifs doivent cependant être adaptés à la taille et aux moyens de la Société.</w:t>
      </w:r>
    </w:p>
    <w:p w:rsidR="00B740A8" w:rsidRPr="00C73365" w:rsidRDefault="00B740A8" w:rsidP="00B740A8">
      <w:pPr>
        <w:rPr>
          <w:rFonts w:asciiTheme="minorHAnsi" w:hAnsiTheme="minorHAnsi" w:cstheme="minorHAnsi"/>
          <w:szCs w:val="20"/>
          <w:lang w:val="fr-FR"/>
        </w:rPr>
      </w:pPr>
    </w:p>
    <w:p w:rsidR="00B740A8" w:rsidRPr="00C73365" w:rsidRDefault="00B740A8" w:rsidP="00B740A8">
      <w:pPr>
        <w:rPr>
          <w:rFonts w:asciiTheme="minorHAnsi" w:hAnsiTheme="minorHAnsi" w:cstheme="minorHAnsi"/>
          <w:szCs w:val="20"/>
          <w:lang w:val="fr-FR"/>
        </w:rPr>
      </w:pPr>
      <w:r w:rsidRPr="00C73365">
        <w:rPr>
          <w:rFonts w:asciiTheme="minorHAnsi" w:hAnsiTheme="minorHAnsi" w:cstheme="minorHAnsi"/>
          <w:szCs w:val="20"/>
          <w:lang w:val="fr-FR"/>
        </w:rPr>
        <w:br w:type="page"/>
      </w:r>
    </w:p>
    <w:p w:rsidR="00B740A8" w:rsidRPr="00C73365" w:rsidRDefault="00B740A8" w:rsidP="00B740A8">
      <w:pPr>
        <w:rPr>
          <w:rFonts w:asciiTheme="minorHAnsi" w:hAnsiTheme="minorHAnsi" w:cstheme="minorHAnsi"/>
          <w:szCs w:val="20"/>
          <w:lang w:val="fr-FR"/>
        </w:rPr>
      </w:pPr>
    </w:p>
    <w:p w:rsidR="00B740A8" w:rsidRPr="00C73365" w:rsidRDefault="00B740A8" w:rsidP="00B740A8">
      <w:pPr>
        <w:rPr>
          <w:rFonts w:asciiTheme="minorHAnsi" w:hAnsiTheme="minorHAnsi" w:cstheme="minorHAnsi"/>
          <w:szCs w:val="20"/>
          <w:lang w:val="fr-FR"/>
        </w:rPr>
      </w:pPr>
    </w:p>
    <w:tbl>
      <w:tblPr>
        <w:tblW w:w="9489" w:type="dxa"/>
        <w:tblCellMar>
          <w:left w:w="70" w:type="dxa"/>
          <w:right w:w="70" w:type="dxa"/>
        </w:tblCellMar>
        <w:tblLook w:val="04A0" w:firstRow="1" w:lastRow="0" w:firstColumn="1" w:lastColumn="0" w:noHBand="0" w:noVBand="1"/>
      </w:tblPr>
      <w:tblGrid>
        <w:gridCol w:w="4355"/>
        <w:gridCol w:w="146"/>
        <w:gridCol w:w="855"/>
        <w:gridCol w:w="146"/>
        <w:gridCol w:w="1027"/>
        <w:gridCol w:w="146"/>
        <w:gridCol w:w="1357"/>
        <w:gridCol w:w="146"/>
        <w:gridCol w:w="1311"/>
      </w:tblGrid>
      <w:tr w:rsidR="00B740A8" w:rsidRPr="00C73365" w:rsidTr="00D1541A">
        <w:trPr>
          <w:trHeight w:val="680"/>
        </w:trPr>
        <w:tc>
          <w:tcPr>
            <w:tcW w:w="0" w:type="auto"/>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Recommandations du Code MiddleNext</w:t>
            </w:r>
          </w:p>
        </w:tc>
        <w:tc>
          <w:tcPr>
            <w:tcW w:w="0" w:type="auto"/>
            <w:tcBorders>
              <w:top w:val="nil"/>
              <w:left w:val="nil"/>
              <w:bottom w:val="nil"/>
              <w:right w:val="nil"/>
            </w:tcBorders>
            <w:shd w:val="clear" w:color="auto" w:fill="auto"/>
            <w:noWrap/>
            <w:vAlign w:val="bottom"/>
            <w:hideMark/>
          </w:tcPr>
          <w:p w:rsidR="00B740A8" w:rsidRPr="00C73365" w:rsidRDefault="00B740A8" w:rsidP="00D1541A">
            <w:pPr>
              <w:jc w:val="center"/>
              <w:rPr>
                <w:rFonts w:asciiTheme="minorHAnsi" w:hAnsiTheme="minorHAnsi" w:cstheme="minorHAnsi"/>
                <w:b/>
                <w:bCs/>
                <w:color w:val="000000"/>
                <w:szCs w:val="20"/>
                <w:lang w:val="fr-FR" w:eastAsia="fr-FR"/>
              </w:rPr>
            </w:pPr>
          </w:p>
        </w:tc>
        <w:tc>
          <w:tcPr>
            <w:tcW w:w="0" w:type="auto"/>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Adoptée</w:t>
            </w:r>
          </w:p>
        </w:tc>
        <w:tc>
          <w:tcPr>
            <w:tcW w:w="0" w:type="auto"/>
            <w:tcBorders>
              <w:top w:val="nil"/>
              <w:left w:val="nil"/>
              <w:bottom w:val="nil"/>
              <w:right w:val="nil"/>
            </w:tcBorders>
            <w:shd w:val="clear" w:color="auto" w:fill="auto"/>
            <w:noWrap/>
            <w:vAlign w:val="bottom"/>
            <w:hideMark/>
          </w:tcPr>
          <w:p w:rsidR="00B740A8" w:rsidRPr="00C73365" w:rsidRDefault="00B740A8" w:rsidP="00D1541A">
            <w:pPr>
              <w:jc w:val="center"/>
              <w:rPr>
                <w:rFonts w:asciiTheme="minorHAnsi" w:hAnsiTheme="minorHAnsi" w:cstheme="minorHAnsi"/>
                <w:b/>
                <w:bCs/>
                <w:color w:val="000000"/>
                <w:szCs w:val="20"/>
                <w:lang w:val="fr-FR" w:eastAsia="fr-FR"/>
              </w:rPr>
            </w:pPr>
          </w:p>
        </w:tc>
        <w:tc>
          <w:tcPr>
            <w:tcW w:w="0" w:type="auto"/>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Sera adoptée</w:t>
            </w:r>
          </w:p>
        </w:tc>
        <w:tc>
          <w:tcPr>
            <w:tcW w:w="0" w:type="auto"/>
            <w:tcBorders>
              <w:top w:val="nil"/>
              <w:left w:val="nil"/>
              <w:bottom w:val="nil"/>
              <w:right w:val="nil"/>
            </w:tcBorders>
            <w:shd w:val="clear" w:color="auto" w:fill="auto"/>
            <w:noWrap/>
            <w:vAlign w:val="bottom"/>
            <w:hideMark/>
          </w:tcPr>
          <w:p w:rsidR="00B740A8" w:rsidRPr="00C73365" w:rsidRDefault="00B740A8" w:rsidP="00D1541A">
            <w:pPr>
              <w:jc w:val="center"/>
              <w:rPr>
                <w:rFonts w:asciiTheme="minorHAnsi" w:hAnsiTheme="minorHAnsi" w:cstheme="minorHAnsi"/>
                <w:b/>
                <w:bCs/>
                <w:color w:val="000000"/>
                <w:szCs w:val="20"/>
                <w:lang w:val="fr-FR" w:eastAsia="fr-FR"/>
              </w:rPr>
            </w:pPr>
          </w:p>
        </w:tc>
        <w:tc>
          <w:tcPr>
            <w:tcW w:w="0" w:type="auto"/>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En cours de réflexion</w:t>
            </w:r>
          </w:p>
        </w:tc>
        <w:tc>
          <w:tcPr>
            <w:tcW w:w="0" w:type="auto"/>
            <w:tcBorders>
              <w:top w:val="nil"/>
              <w:left w:val="nil"/>
              <w:bottom w:val="nil"/>
              <w:right w:val="nil"/>
            </w:tcBorders>
            <w:shd w:val="clear" w:color="auto" w:fill="auto"/>
            <w:noWrap/>
            <w:vAlign w:val="bottom"/>
            <w:hideMark/>
          </w:tcPr>
          <w:p w:rsidR="00B740A8" w:rsidRPr="00C73365" w:rsidRDefault="00B740A8" w:rsidP="00D1541A">
            <w:pPr>
              <w:jc w:val="center"/>
              <w:rPr>
                <w:rFonts w:asciiTheme="minorHAnsi" w:hAnsiTheme="minorHAnsi" w:cstheme="minorHAnsi"/>
                <w:b/>
                <w:bCs/>
                <w:color w:val="000000"/>
                <w:szCs w:val="20"/>
                <w:lang w:val="fr-FR" w:eastAsia="fr-FR"/>
              </w:rPr>
            </w:pPr>
          </w:p>
        </w:tc>
        <w:tc>
          <w:tcPr>
            <w:tcW w:w="0" w:type="auto"/>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Ne sera pas adoptée</w:t>
            </w:r>
          </w:p>
        </w:tc>
      </w:tr>
      <w:tr w:rsidR="00B740A8" w:rsidRPr="00F06F79" w:rsidTr="00D1541A">
        <w:trPr>
          <w:trHeight w:val="20"/>
        </w:trPr>
        <w:tc>
          <w:tcPr>
            <w:tcW w:w="0" w:type="auto"/>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I. Le pouvoir de surveillance</w:t>
            </w:r>
          </w:p>
        </w:tc>
        <w:tc>
          <w:tcPr>
            <w:tcW w:w="0" w:type="auto"/>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
                <w:bCs/>
                <w:color w:val="7030A0"/>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R1 : Déontologie des membres du conseil </w:t>
            </w:r>
          </w:p>
        </w:tc>
        <w:tc>
          <w:tcPr>
            <w:tcW w:w="0" w:type="auto"/>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highlight w:val="yellow"/>
                <w:lang w:val="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X</w:t>
            </w: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R2 : Conflits d’intérêts</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highlight w:val="yellow"/>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3 : Composition du conseil – Présence de membres indépendants au sein du conseil</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4 : Information des membres du conseil</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5 : Organisation des réunions du conseil et des comités</w:t>
            </w:r>
          </w:p>
        </w:tc>
        <w:tc>
          <w:tcPr>
            <w:tcW w:w="0" w:type="auto"/>
            <w:tcBorders>
              <w:top w:val="nil"/>
              <w:left w:val="nil"/>
              <w:bottom w:val="nil"/>
              <w:right w:val="nil"/>
            </w:tcBorders>
            <w:shd w:val="clear" w:color="auto" w:fill="auto"/>
            <w:noWrap/>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6 : Mise en place des comités</w:t>
            </w:r>
          </w:p>
        </w:tc>
        <w:tc>
          <w:tcPr>
            <w:tcW w:w="0" w:type="auto"/>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7 : Mise en place d’un règlement intérieur du conseil</w:t>
            </w:r>
          </w:p>
        </w:tc>
        <w:tc>
          <w:tcPr>
            <w:tcW w:w="0" w:type="auto"/>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8 : Choix de chaque membre du conseil</w:t>
            </w:r>
          </w:p>
        </w:tc>
        <w:tc>
          <w:tcPr>
            <w:tcW w:w="0" w:type="auto"/>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9 : Durée des mandats des membres du conseil</w:t>
            </w:r>
          </w:p>
        </w:tc>
        <w:tc>
          <w:tcPr>
            <w:tcW w:w="0" w:type="auto"/>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10 : Rémunération des membres du conseil</w:t>
            </w:r>
          </w:p>
        </w:tc>
        <w:tc>
          <w:tcPr>
            <w:tcW w:w="0" w:type="auto"/>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11 : Mise en place d’une évaluation des travaux du conseil</w:t>
            </w:r>
          </w:p>
        </w:tc>
        <w:tc>
          <w:tcPr>
            <w:tcW w:w="0" w:type="auto"/>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12 : Relation avec les actionnaires</w:t>
            </w:r>
          </w:p>
        </w:tc>
        <w:tc>
          <w:tcPr>
            <w:tcW w:w="0" w:type="auto"/>
            <w:tcBorders>
              <w:top w:val="nil"/>
              <w:left w:val="nil"/>
              <w:bottom w:val="nil"/>
              <w:right w:val="nil"/>
            </w:tcBorders>
            <w:shd w:val="clear" w:color="auto" w:fill="auto"/>
            <w:noWrap/>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II. Le pouvoir exécutif</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b/>
                <w:bCs/>
                <w:color w:val="7030A0"/>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szCs w:val="20"/>
                <w:lang w:val="fr-FR" w:eastAsia="fr-FR"/>
              </w:rPr>
            </w:pPr>
          </w:p>
        </w:tc>
        <w:tc>
          <w:tcPr>
            <w:tcW w:w="0" w:type="auto"/>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13 : Définition et transparence de la rémunération des dirigeants mandataires sociaux</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R 14 : Préparation de la succession des « dirigeants » </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15 : Cumul contrat de travail et mandat social</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16 : Indemnités de départ</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17 : Régimes de retraite supplémentaires</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18 : Stock-options et attribution gratuite d’actions</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r w:rsidR="00B740A8" w:rsidRPr="00C73365" w:rsidTr="00D1541A">
        <w:trPr>
          <w:trHeight w:val="20"/>
        </w:trPr>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 19 : Revue des points de vigilance</w:t>
            </w:r>
          </w:p>
        </w:tc>
        <w:tc>
          <w:tcPr>
            <w:tcW w:w="0" w:type="auto"/>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X</w:t>
            </w: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c>
          <w:tcPr>
            <w:tcW w:w="0" w:type="auto"/>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Cs w:val="20"/>
                <w:lang w:val="fr-FR" w:eastAsia="fr-FR"/>
              </w:rPr>
            </w:pPr>
          </w:p>
        </w:tc>
      </w:tr>
    </w:tbl>
    <w:p w:rsidR="00B740A8" w:rsidRPr="00C73365" w:rsidRDefault="00B740A8" w:rsidP="00B740A8">
      <w:pPr>
        <w:rPr>
          <w:rFonts w:asciiTheme="minorHAnsi" w:hAnsiTheme="minorHAnsi" w:cstheme="minorHAnsi"/>
          <w:szCs w:val="22"/>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Société considère en particulier qu’elle ne se trouve pas en conformité avec la recommandation R1 – Déontologie des membres du conseil – dans la mesure où Monsieur Philippe Pouletty, Président du conseil d’administration de la Société, a accepté plus de trois autres mandats d’administrateur dans des sociétés cotées. Les autres recommandations contenues dans la recommandation R1 sont presque toutes suivies par la Société, à l’exception de la présence de tous les membres du conseil d’administration aux assemblées générales.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Concernant la recommandation R11, la Société a lors de la réunion du conseil d’administration du 20 novembre 2017 procédé à l’auto-évaluation du conseil. Les membres du conseil d’administration ont notamment été invités à s’exprimer sur les points suivants :</w:t>
      </w:r>
    </w:p>
    <w:p w:rsidR="00B740A8" w:rsidRPr="00C93577" w:rsidRDefault="00B740A8" w:rsidP="004572A0">
      <w:pPr>
        <w:pStyle w:val="ListBullet3"/>
        <w:numPr>
          <w:ilvl w:val="0"/>
          <w:numId w:val="50"/>
        </w:numPr>
        <w:rPr>
          <w:rFonts w:asciiTheme="minorHAnsi" w:hAnsiTheme="minorHAnsi" w:cstheme="minorHAnsi"/>
          <w:lang w:val="fr-FR"/>
        </w:rPr>
      </w:pPr>
      <w:r w:rsidRPr="00C93577">
        <w:rPr>
          <w:rFonts w:asciiTheme="minorHAnsi" w:hAnsiTheme="minorHAnsi" w:cstheme="minorHAnsi"/>
          <w:lang w:val="fr-FR"/>
        </w:rPr>
        <w:t>modalités de fonctionnement du conseil d’administration ;</w:t>
      </w:r>
    </w:p>
    <w:p w:rsidR="00B740A8" w:rsidRPr="00C93577" w:rsidRDefault="00B740A8" w:rsidP="004572A0">
      <w:pPr>
        <w:pStyle w:val="ListBullet3"/>
        <w:numPr>
          <w:ilvl w:val="0"/>
          <w:numId w:val="50"/>
        </w:numPr>
        <w:rPr>
          <w:rFonts w:asciiTheme="minorHAnsi" w:hAnsiTheme="minorHAnsi" w:cstheme="minorHAnsi"/>
          <w:lang w:val="fr-FR"/>
        </w:rPr>
      </w:pPr>
      <w:r w:rsidRPr="00C93577">
        <w:rPr>
          <w:rFonts w:asciiTheme="minorHAnsi" w:hAnsiTheme="minorHAnsi" w:cstheme="minorHAnsi"/>
          <w:lang w:val="fr-FR"/>
        </w:rPr>
        <w:t>vérification que les questions importantes soient convenablement préparées et débattues ;</w:t>
      </w:r>
    </w:p>
    <w:p w:rsidR="00B740A8" w:rsidRPr="00C93577" w:rsidRDefault="00B740A8" w:rsidP="004572A0">
      <w:pPr>
        <w:pStyle w:val="ListBullet3"/>
        <w:numPr>
          <w:ilvl w:val="0"/>
          <w:numId w:val="50"/>
        </w:numPr>
        <w:rPr>
          <w:rFonts w:asciiTheme="minorHAnsi" w:hAnsiTheme="minorHAnsi" w:cstheme="minorHAnsi"/>
          <w:lang w:val="fr-FR"/>
        </w:rPr>
      </w:pPr>
      <w:r w:rsidRPr="00C93577">
        <w:rPr>
          <w:rFonts w:asciiTheme="minorHAnsi" w:hAnsiTheme="minorHAnsi" w:cstheme="minorHAnsi"/>
          <w:lang w:val="fr-FR"/>
        </w:rPr>
        <w:lastRenderedPageBreak/>
        <w:t>mesure de la contribution effective de chaque administrateur aux travaux du conseil du fait de sa compétence et de son implication dans les délibérations.</w:t>
      </w:r>
    </w:p>
    <w:p w:rsidR="00B740A8" w:rsidRPr="00C73365" w:rsidRDefault="00B740A8" w:rsidP="00B740A8">
      <w:pPr>
        <w:rPr>
          <w:rFonts w:asciiTheme="minorHAnsi" w:hAnsiTheme="minorHAnsi" w:cstheme="minorHAnsi"/>
          <w:szCs w:val="22"/>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Concernant la recommandation R14, ce sujet est actuellement à l’étude au sein du conseil d’administration qui n’a pour le moment arrêté aucun plan de succession des dirigeants.</w:t>
      </w:r>
    </w:p>
    <w:p w:rsidR="00B740A8" w:rsidRPr="00C73365" w:rsidRDefault="00B740A8" w:rsidP="00B740A8">
      <w:pPr>
        <w:rPr>
          <w:rFonts w:asciiTheme="minorHAnsi" w:hAnsiTheme="minorHAnsi" w:cstheme="minorHAnsi"/>
          <w:sz w:val="21"/>
          <w:szCs w:val="21"/>
          <w:lang w:val="fr-FR"/>
        </w:rPr>
      </w:pPr>
    </w:p>
    <w:p w:rsidR="00B740A8" w:rsidRPr="00C73365" w:rsidRDefault="00B740A8" w:rsidP="00B740A8">
      <w:pPr>
        <w:spacing w:after="160" w:line="259" w:lineRule="auto"/>
        <w:rPr>
          <w:rFonts w:asciiTheme="minorHAnsi" w:hAnsiTheme="minorHAnsi" w:cstheme="minorHAnsi"/>
          <w:szCs w:val="22"/>
          <w:lang w:val="fr-FR"/>
        </w:rPr>
      </w:pPr>
      <w:r w:rsidRPr="00C73365">
        <w:rPr>
          <w:rFonts w:asciiTheme="minorHAnsi" w:hAnsiTheme="minorHAnsi" w:cstheme="minorHAnsi"/>
          <w:szCs w:val="22"/>
          <w:lang w:val="fr-FR"/>
        </w:rPr>
        <w:br w:type="page"/>
      </w:r>
    </w:p>
    <w:p w:rsidR="00B740A8" w:rsidRPr="00C73365" w:rsidRDefault="00B740A8" w:rsidP="00B740A8">
      <w:pPr>
        <w:ind w:left="720"/>
        <w:rPr>
          <w:rFonts w:asciiTheme="minorHAnsi" w:hAnsiTheme="minorHAnsi" w:cstheme="minorHAnsi"/>
          <w:szCs w:val="22"/>
          <w:lang w:val="fr-FR"/>
        </w:rPr>
      </w:pPr>
    </w:p>
    <w:p w:rsidR="00B740A8" w:rsidRPr="00C73365" w:rsidRDefault="00B740A8" w:rsidP="00B740A8">
      <w:pPr>
        <w:pStyle w:val="ConmainL2"/>
        <w:numPr>
          <w:ilvl w:val="1"/>
          <w:numId w:val="9"/>
        </w:numPr>
        <w:rPr>
          <w:rFonts w:asciiTheme="minorHAnsi" w:hAnsiTheme="minorHAnsi" w:cstheme="minorHAnsi"/>
          <w:sz w:val="22"/>
          <w:lang w:val="fr-FR"/>
        </w:rPr>
      </w:pPr>
      <w:bookmarkStart w:id="841" w:name="_Toc271734063"/>
      <w:bookmarkStart w:id="842" w:name="_Toc292135891"/>
      <w:bookmarkStart w:id="843" w:name="_Toc401594118"/>
      <w:bookmarkStart w:id="844" w:name="_Toc462673279"/>
      <w:bookmarkStart w:id="845" w:name="_Toc467835628"/>
      <w:bookmarkStart w:id="846" w:name="_Toc482695300"/>
      <w:bookmarkStart w:id="847" w:name="_Toc512863944"/>
      <w:r w:rsidRPr="00C73365">
        <w:rPr>
          <w:rFonts w:asciiTheme="minorHAnsi" w:hAnsiTheme="minorHAnsi" w:cstheme="minorHAnsi"/>
          <w:sz w:val="22"/>
          <w:lang w:val="fr-FR"/>
        </w:rPr>
        <w:t>Rapport du conseil d’administration sur le gouvernement d’entreprise</w:t>
      </w:r>
      <w:bookmarkEnd w:id="841"/>
      <w:bookmarkEnd w:id="842"/>
      <w:bookmarkEnd w:id="843"/>
      <w:bookmarkEnd w:id="844"/>
      <w:bookmarkEnd w:id="845"/>
      <w:bookmarkEnd w:id="846"/>
      <w:bookmarkEnd w:id="847"/>
    </w:p>
    <w:p w:rsidR="00B740A8" w:rsidRPr="00C73365" w:rsidRDefault="00B740A8" w:rsidP="00F516CA">
      <w:pPr>
        <w:rPr>
          <w:rFonts w:asciiTheme="minorHAnsi" w:eastAsia="Calibri" w:hAnsiTheme="minorHAnsi" w:cstheme="minorHAnsi"/>
          <w:lang w:val="fr-FR"/>
        </w:rPr>
      </w:pPr>
      <w:r w:rsidRPr="00C73365">
        <w:rPr>
          <w:rFonts w:asciiTheme="minorHAnsi" w:eastAsia="Calibri" w:hAnsiTheme="minorHAnsi" w:cstheme="minorHAnsi"/>
          <w:lang w:val="fr-FR"/>
        </w:rPr>
        <w:t xml:space="preserve">Se référer à la section </w:t>
      </w:r>
      <w:r w:rsidR="00E33728" w:rsidRPr="00C73365">
        <w:rPr>
          <w:rFonts w:asciiTheme="minorHAnsi" w:eastAsia="Calibri" w:hAnsiTheme="minorHAnsi" w:cstheme="minorHAnsi"/>
          <w:lang w:val="fr-FR"/>
        </w:rPr>
        <w:t>26.3</w:t>
      </w:r>
      <w:r w:rsidRPr="00C73365">
        <w:rPr>
          <w:rFonts w:asciiTheme="minorHAnsi" w:eastAsia="Calibri" w:hAnsiTheme="minorHAnsi" w:cstheme="minorHAnsi"/>
          <w:lang w:val="fr-FR"/>
        </w:rPr>
        <w:t xml:space="preserve"> du présent document de référence. </w:t>
      </w:r>
    </w:p>
    <w:p w:rsidR="00B740A8" w:rsidRPr="00C73365" w:rsidRDefault="00B740A8" w:rsidP="00B740A8">
      <w:pPr>
        <w:rPr>
          <w:rFonts w:asciiTheme="minorHAnsi" w:hAnsiTheme="minorHAnsi" w:cstheme="minorHAnsi"/>
          <w:b/>
          <w:szCs w:val="20"/>
          <w:lang w:val="fr-FR"/>
        </w:rPr>
      </w:pPr>
      <w:bookmarkStart w:id="848" w:name="_Toc453668230"/>
      <w:r w:rsidRPr="00C73365">
        <w:rPr>
          <w:rFonts w:asciiTheme="minorHAnsi" w:hAnsiTheme="minorHAnsi" w:cstheme="minorHAnsi"/>
          <w:b/>
          <w:szCs w:val="20"/>
          <w:lang w:val="fr-FR"/>
        </w:rPr>
        <w:br w:type="page"/>
      </w:r>
    </w:p>
    <w:p w:rsidR="00B740A8" w:rsidRPr="00C73365" w:rsidRDefault="00B740A8" w:rsidP="00B740A8">
      <w:pPr>
        <w:ind w:left="720"/>
        <w:rPr>
          <w:rFonts w:asciiTheme="minorHAnsi" w:hAnsiTheme="minorHAnsi" w:cstheme="minorHAnsi"/>
          <w:b/>
          <w:szCs w:val="20"/>
          <w:lang w:val="fr-FR"/>
        </w:rPr>
      </w:pPr>
    </w:p>
    <w:p w:rsidR="00B740A8" w:rsidRDefault="00B740A8" w:rsidP="00B740A8">
      <w:pPr>
        <w:pStyle w:val="ConmainL2"/>
        <w:numPr>
          <w:ilvl w:val="1"/>
          <w:numId w:val="9"/>
        </w:numPr>
        <w:ind w:left="0" w:firstLine="0"/>
        <w:rPr>
          <w:rFonts w:asciiTheme="minorHAnsi" w:hAnsiTheme="minorHAnsi" w:cstheme="minorHAnsi"/>
          <w:sz w:val="22"/>
          <w:lang w:val="fr-FR"/>
        </w:rPr>
      </w:pPr>
      <w:bookmarkStart w:id="849" w:name="_Toc476145818"/>
      <w:bookmarkStart w:id="850" w:name="_Toc476145819"/>
      <w:bookmarkStart w:id="851" w:name="_Toc476145820"/>
      <w:bookmarkStart w:id="852" w:name="_Toc476145821"/>
      <w:bookmarkStart w:id="853" w:name="_Toc478134778"/>
      <w:bookmarkStart w:id="854" w:name="_Toc478459585"/>
      <w:bookmarkStart w:id="855" w:name="_Toc478554791"/>
      <w:bookmarkStart w:id="856" w:name="_Toc478715776"/>
      <w:bookmarkStart w:id="857" w:name="_Toc478730911"/>
      <w:bookmarkStart w:id="858" w:name="_Toc478731703"/>
      <w:bookmarkStart w:id="859" w:name="_Toc479947657"/>
      <w:bookmarkStart w:id="860" w:name="_Toc478134779"/>
      <w:bookmarkStart w:id="861" w:name="_Toc478459586"/>
      <w:bookmarkStart w:id="862" w:name="_Toc478554792"/>
      <w:bookmarkStart w:id="863" w:name="_Toc478715777"/>
      <w:bookmarkStart w:id="864" w:name="_Toc478730912"/>
      <w:bookmarkStart w:id="865" w:name="_Toc478731704"/>
      <w:bookmarkStart w:id="866" w:name="_Toc479947658"/>
      <w:bookmarkStart w:id="867" w:name="_Toc478134780"/>
      <w:bookmarkStart w:id="868" w:name="_Toc478459587"/>
      <w:bookmarkStart w:id="869" w:name="_Toc478554793"/>
      <w:bookmarkStart w:id="870" w:name="_Toc478715778"/>
      <w:bookmarkStart w:id="871" w:name="_Toc478730913"/>
      <w:bookmarkStart w:id="872" w:name="_Toc478731705"/>
      <w:bookmarkStart w:id="873" w:name="_Toc479947659"/>
      <w:bookmarkStart w:id="874" w:name="_Toc478134781"/>
      <w:bookmarkStart w:id="875" w:name="_Toc478459588"/>
      <w:bookmarkStart w:id="876" w:name="_Toc478554794"/>
      <w:bookmarkStart w:id="877" w:name="_Toc478715779"/>
      <w:bookmarkStart w:id="878" w:name="_Toc478730914"/>
      <w:bookmarkStart w:id="879" w:name="_Toc478731706"/>
      <w:bookmarkStart w:id="880" w:name="_Toc479947660"/>
      <w:bookmarkStart w:id="881" w:name="_Toc478134782"/>
      <w:bookmarkStart w:id="882" w:name="_Toc478459589"/>
      <w:bookmarkStart w:id="883" w:name="_Toc478554795"/>
      <w:bookmarkStart w:id="884" w:name="_Toc478715780"/>
      <w:bookmarkStart w:id="885" w:name="_Toc478730915"/>
      <w:bookmarkStart w:id="886" w:name="_Toc478731707"/>
      <w:bookmarkStart w:id="887" w:name="_Toc479947661"/>
      <w:bookmarkStart w:id="888" w:name="_Toc478134783"/>
      <w:bookmarkStart w:id="889" w:name="_Toc478459590"/>
      <w:bookmarkStart w:id="890" w:name="_Toc478554796"/>
      <w:bookmarkStart w:id="891" w:name="_Toc478715781"/>
      <w:bookmarkStart w:id="892" w:name="_Toc478730916"/>
      <w:bookmarkStart w:id="893" w:name="_Toc478731708"/>
      <w:bookmarkStart w:id="894" w:name="_Toc479947662"/>
      <w:bookmarkStart w:id="895" w:name="_Toc478134784"/>
      <w:bookmarkStart w:id="896" w:name="_Toc478459591"/>
      <w:bookmarkStart w:id="897" w:name="_Toc478554797"/>
      <w:bookmarkStart w:id="898" w:name="_Toc478715782"/>
      <w:bookmarkStart w:id="899" w:name="_Toc478730917"/>
      <w:bookmarkStart w:id="900" w:name="_Toc478731709"/>
      <w:bookmarkStart w:id="901" w:name="_Toc479947663"/>
      <w:bookmarkStart w:id="902" w:name="_Toc478134785"/>
      <w:bookmarkStart w:id="903" w:name="_Toc478459592"/>
      <w:bookmarkStart w:id="904" w:name="_Toc478554798"/>
      <w:bookmarkStart w:id="905" w:name="_Toc478715783"/>
      <w:bookmarkStart w:id="906" w:name="_Toc478730918"/>
      <w:bookmarkStart w:id="907" w:name="_Toc478731710"/>
      <w:bookmarkStart w:id="908" w:name="_Toc479947664"/>
      <w:bookmarkStart w:id="909" w:name="_Toc478134786"/>
      <w:bookmarkStart w:id="910" w:name="_Toc478459593"/>
      <w:bookmarkStart w:id="911" w:name="_Toc478554799"/>
      <w:bookmarkStart w:id="912" w:name="_Toc478715784"/>
      <w:bookmarkStart w:id="913" w:name="_Toc478730919"/>
      <w:bookmarkStart w:id="914" w:name="_Toc478731711"/>
      <w:bookmarkStart w:id="915" w:name="_Toc479947665"/>
      <w:bookmarkStart w:id="916" w:name="_Toc478134787"/>
      <w:bookmarkStart w:id="917" w:name="_Toc478459594"/>
      <w:bookmarkStart w:id="918" w:name="_Toc478554800"/>
      <w:bookmarkStart w:id="919" w:name="_Toc478715785"/>
      <w:bookmarkStart w:id="920" w:name="_Toc478730920"/>
      <w:bookmarkStart w:id="921" w:name="_Toc478731712"/>
      <w:bookmarkStart w:id="922" w:name="_Toc479947666"/>
      <w:bookmarkStart w:id="923" w:name="_Toc478134788"/>
      <w:bookmarkStart w:id="924" w:name="_Toc478459595"/>
      <w:bookmarkStart w:id="925" w:name="_Toc478554801"/>
      <w:bookmarkStart w:id="926" w:name="_Toc478715786"/>
      <w:bookmarkStart w:id="927" w:name="_Toc478730921"/>
      <w:bookmarkStart w:id="928" w:name="_Toc478731713"/>
      <w:bookmarkStart w:id="929" w:name="_Toc479947667"/>
      <w:bookmarkStart w:id="930" w:name="_Toc462673280"/>
      <w:bookmarkStart w:id="931" w:name="_Toc467835629"/>
      <w:bookmarkStart w:id="932" w:name="_Toc482695301"/>
      <w:bookmarkStart w:id="933" w:name="_Toc512863945"/>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r w:rsidRPr="00C73365">
        <w:rPr>
          <w:rFonts w:asciiTheme="minorHAnsi" w:hAnsiTheme="minorHAnsi" w:cstheme="minorHAnsi"/>
          <w:sz w:val="22"/>
          <w:lang w:val="fr-FR"/>
        </w:rPr>
        <w:t xml:space="preserve">Rapport du commissaire aux comptes sur le rapport du </w:t>
      </w:r>
      <w:bookmarkEnd w:id="930"/>
      <w:bookmarkEnd w:id="931"/>
      <w:bookmarkEnd w:id="932"/>
      <w:r w:rsidRPr="00C73365">
        <w:rPr>
          <w:rFonts w:asciiTheme="minorHAnsi" w:hAnsiTheme="minorHAnsi" w:cstheme="minorHAnsi"/>
          <w:sz w:val="22"/>
          <w:lang w:val="fr-FR"/>
        </w:rPr>
        <w:t>conseil d’administration sur le gouvernement d’entreprise</w:t>
      </w:r>
      <w:bookmarkEnd w:id="933"/>
    </w:p>
    <w:p w:rsidR="003D2B68" w:rsidRDefault="003D2B68" w:rsidP="003D2B68">
      <w:pPr>
        <w:rPr>
          <w:lang w:val="fr-FR"/>
        </w:rPr>
      </w:pPr>
      <w:r w:rsidRPr="003D2B68">
        <w:rPr>
          <w:lang w:val="fr-FR"/>
        </w:rPr>
        <w:t>Se référer</w:t>
      </w:r>
      <w:r>
        <w:rPr>
          <w:lang w:val="fr-FR"/>
        </w:rPr>
        <w:t xml:space="preserve"> au paragraphe : </w:t>
      </w:r>
      <w:r w:rsidRPr="003D2B68">
        <w:rPr>
          <w:lang w:val="fr-FR"/>
        </w:rPr>
        <w:t>20.2.1</w:t>
      </w:r>
      <w:r>
        <w:rPr>
          <w:lang w:val="fr-FR"/>
        </w:rPr>
        <w:t xml:space="preserve"> </w:t>
      </w:r>
      <w:r w:rsidRPr="003D2B68">
        <w:rPr>
          <w:lang w:val="fr-FR"/>
        </w:rPr>
        <w:t>Rapport d’audit des commissaires aux comptes sur les comptes sociaux d’ABIVAX établis selon les normes françaises pour l’exercice clos le 31 Décembre 2017</w:t>
      </w:r>
      <w:r>
        <w:rPr>
          <w:lang w:val="fr-FR"/>
        </w:rPr>
        <w:t>.</w:t>
      </w:r>
    </w:p>
    <w:p w:rsidR="003D2B68" w:rsidRPr="003D2B68" w:rsidRDefault="003D2B68" w:rsidP="003D2B68">
      <w:pPr>
        <w:rPr>
          <w:lang w:val="fr-FR"/>
        </w:rPr>
      </w:pPr>
      <w:r>
        <w:rPr>
          <w:lang w:val="fr-FR"/>
        </w:rPr>
        <w:t xml:space="preserve">Le </w:t>
      </w:r>
      <w:r w:rsidRPr="003D2B68">
        <w:rPr>
          <w:lang w:val="fr-FR"/>
        </w:rPr>
        <w:t>Rapport d’audit des commissaires aux comptes sur les comptes sociaux d’ABIVAX</w:t>
      </w:r>
      <w:r>
        <w:rPr>
          <w:lang w:val="fr-FR"/>
        </w:rPr>
        <w:t xml:space="preserve"> comprend le rapport sur le gouvernement d’entreprise</w:t>
      </w:r>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bookmarkStart w:id="934" w:name="_Toc401594120"/>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rsidR="00B740A8" w:rsidRPr="00C73365" w:rsidRDefault="00B740A8" w:rsidP="00B740A8">
      <w:pPr>
        <w:pStyle w:val="ConmainL2"/>
        <w:numPr>
          <w:ilvl w:val="0"/>
          <w:numId w:val="0"/>
        </w:numPr>
        <w:jc w:val="left"/>
        <w:outlineLvl w:val="9"/>
        <w:rPr>
          <w:rFonts w:asciiTheme="minorHAnsi" w:hAnsiTheme="minorHAnsi" w:cstheme="minorHAnsi"/>
          <w:lang w:val="fr-FR" w:eastAsia="fr-FR"/>
        </w:rPr>
      </w:pPr>
    </w:p>
    <w:p w:rsidR="00B740A8" w:rsidRPr="00C73365" w:rsidRDefault="00B740A8" w:rsidP="00B740A8">
      <w:pPr>
        <w:spacing w:after="160" w:line="259" w:lineRule="auto"/>
        <w:rPr>
          <w:rFonts w:asciiTheme="minorHAnsi" w:hAnsiTheme="minorHAnsi" w:cstheme="minorHAnsi"/>
          <w:b/>
          <w:szCs w:val="20"/>
          <w:lang w:val="fr-FR" w:eastAsia="fr-FR"/>
        </w:rPr>
      </w:pPr>
      <w:r w:rsidRPr="00C73365">
        <w:rPr>
          <w:rFonts w:asciiTheme="minorHAnsi" w:hAnsiTheme="minorHAnsi" w:cstheme="minorHAnsi"/>
          <w:lang w:val="fr-FR" w:eastAsia="fr-FR"/>
        </w:rPr>
        <w:br w:type="page"/>
      </w:r>
    </w:p>
    <w:p w:rsidR="00B740A8" w:rsidRPr="00C73365" w:rsidRDefault="00B740A8" w:rsidP="00B740A8">
      <w:pPr>
        <w:pStyle w:val="ConmainL1"/>
        <w:numPr>
          <w:ilvl w:val="0"/>
          <w:numId w:val="9"/>
        </w:numPr>
        <w:rPr>
          <w:rFonts w:asciiTheme="minorHAnsi" w:hAnsiTheme="minorHAnsi" w:cstheme="minorHAnsi"/>
          <w:sz w:val="22"/>
          <w:lang w:val="fr-FR"/>
        </w:rPr>
      </w:pPr>
      <w:bookmarkStart w:id="935" w:name="_Toc462673281"/>
      <w:bookmarkStart w:id="936" w:name="_Toc467835630"/>
      <w:bookmarkStart w:id="937" w:name="_Toc482695303"/>
      <w:bookmarkStart w:id="938" w:name="_Toc512863946"/>
      <w:r w:rsidRPr="00C73365">
        <w:rPr>
          <w:rFonts w:asciiTheme="minorHAnsi" w:hAnsiTheme="minorHAnsi" w:cstheme="minorHAnsi"/>
          <w:sz w:val="22"/>
          <w:lang w:val="fr-FR"/>
        </w:rPr>
        <w:lastRenderedPageBreak/>
        <w:t>SALARIES</w:t>
      </w:r>
      <w:bookmarkEnd w:id="935"/>
      <w:bookmarkEnd w:id="936"/>
      <w:bookmarkEnd w:id="937"/>
      <w:bookmarkEnd w:id="938"/>
      <w:r w:rsidRPr="00C73365">
        <w:rPr>
          <w:rFonts w:asciiTheme="minorHAnsi" w:hAnsiTheme="minorHAnsi" w:cstheme="minorHAnsi"/>
          <w:sz w:val="22"/>
          <w:lang w:val="fr-FR"/>
        </w:rPr>
        <w:t xml:space="preserve"> </w:t>
      </w: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939" w:name="_Toc462673282"/>
      <w:bookmarkStart w:id="940" w:name="_Toc467835631"/>
      <w:bookmarkStart w:id="941" w:name="_Toc482695304"/>
      <w:bookmarkStart w:id="942" w:name="_Toc512863947"/>
      <w:r w:rsidRPr="00C73365">
        <w:rPr>
          <w:rFonts w:asciiTheme="minorHAnsi" w:hAnsiTheme="minorHAnsi" w:cstheme="minorHAnsi"/>
          <w:sz w:val="22"/>
          <w:lang w:val="fr-FR"/>
        </w:rPr>
        <w:t>Ressources humaines</w:t>
      </w:r>
      <w:bookmarkEnd w:id="934"/>
      <w:bookmarkEnd w:id="939"/>
      <w:bookmarkEnd w:id="940"/>
      <w:bookmarkEnd w:id="941"/>
      <w:bookmarkEnd w:id="942"/>
    </w:p>
    <w:p w:rsidR="00B740A8" w:rsidRPr="00C73365" w:rsidRDefault="00B740A8" w:rsidP="00B740A8">
      <w:pPr>
        <w:pStyle w:val="ConmainL2"/>
        <w:numPr>
          <w:ilvl w:val="0"/>
          <w:numId w:val="0"/>
        </w:numPr>
        <w:spacing w:after="0"/>
        <w:outlineLvl w:val="9"/>
        <w:rPr>
          <w:rFonts w:asciiTheme="minorHAnsi" w:hAnsiTheme="minorHAnsi" w:cstheme="minorHAnsi"/>
          <w:sz w:val="22"/>
          <w:lang w:val="fr-FR"/>
        </w:rPr>
      </w:pPr>
    </w:p>
    <w:p w:rsidR="00B740A8" w:rsidRPr="00C73365" w:rsidRDefault="00B740A8" w:rsidP="00B740A8">
      <w:pPr>
        <w:pStyle w:val="ConmainL3"/>
        <w:numPr>
          <w:ilvl w:val="2"/>
          <w:numId w:val="9"/>
        </w:numPr>
        <w:spacing w:after="0"/>
        <w:ind w:left="1440"/>
        <w:rPr>
          <w:rFonts w:asciiTheme="minorHAnsi" w:hAnsiTheme="minorHAnsi" w:cstheme="minorHAnsi"/>
          <w:b/>
          <w:color w:val="7030A0"/>
          <w:lang w:val="fr-FR"/>
        </w:rPr>
      </w:pPr>
      <w:bookmarkStart w:id="943" w:name="_Toc290245387"/>
      <w:bookmarkStart w:id="944" w:name="_Toc290293310"/>
      <w:bookmarkStart w:id="945" w:name="_Toc290294944"/>
      <w:bookmarkStart w:id="946" w:name="_Toc291712712"/>
      <w:bookmarkStart w:id="947" w:name="_Toc292267550"/>
      <w:bookmarkStart w:id="948" w:name="_Toc292876470"/>
      <w:bookmarkStart w:id="949" w:name="_Toc293328306"/>
      <w:bookmarkStart w:id="950" w:name="_Toc299092993"/>
      <w:bookmarkStart w:id="951" w:name="_Toc299094478"/>
      <w:r w:rsidRPr="00C73365">
        <w:rPr>
          <w:rFonts w:asciiTheme="minorHAnsi" w:hAnsiTheme="minorHAnsi" w:cstheme="minorHAnsi"/>
          <w:b/>
          <w:color w:val="7030A0"/>
          <w:lang w:val="fr-FR"/>
        </w:rPr>
        <w:t xml:space="preserve">Organigramme opérationnel à la date d’enregistrement du présent document de </w:t>
      </w:r>
      <w:bookmarkEnd w:id="943"/>
      <w:bookmarkEnd w:id="944"/>
      <w:bookmarkEnd w:id="945"/>
      <w:bookmarkEnd w:id="946"/>
      <w:bookmarkEnd w:id="947"/>
      <w:bookmarkEnd w:id="948"/>
      <w:bookmarkEnd w:id="949"/>
      <w:bookmarkEnd w:id="950"/>
      <w:bookmarkEnd w:id="951"/>
      <w:r w:rsidRPr="00C73365">
        <w:rPr>
          <w:rFonts w:asciiTheme="minorHAnsi" w:hAnsiTheme="minorHAnsi" w:cstheme="minorHAnsi"/>
          <w:b/>
          <w:color w:val="7030A0"/>
          <w:lang w:val="fr-FR"/>
        </w:rPr>
        <w:t>référence</w:t>
      </w:r>
    </w:p>
    <w:p w:rsidR="00F14A52" w:rsidRPr="00C73365" w:rsidRDefault="00F14A52" w:rsidP="00F14A52">
      <w:pPr>
        <w:rPr>
          <w:rFonts w:asciiTheme="minorHAnsi" w:hAnsiTheme="minorHAnsi" w:cstheme="minorHAnsi"/>
          <w:lang w:val="fr-FR"/>
        </w:rPr>
      </w:pPr>
    </w:p>
    <w:p w:rsidR="00F14A52" w:rsidRPr="00C73365" w:rsidRDefault="00F14A52" w:rsidP="004572A0">
      <w:pPr>
        <w:pStyle w:val="BodyText"/>
        <w:rPr>
          <w:rFonts w:asciiTheme="minorHAnsi" w:hAnsiTheme="minorHAnsi" w:cstheme="minorHAnsi"/>
          <w:lang w:val="fr-FR"/>
        </w:rPr>
      </w:pPr>
      <w:r w:rsidRPr="00C73365">
        <w:rPr>
          <w:rFonts w:asciiTheme="minorHAnsi" w:hAnsiTheme="minorHAnsi" w:cstheme="minorHAnsi"/>
          <w:lang w:val="fr-FR"/>
        </w:rPr>
        <w:t>A la date d’enregistrement du présent document de référence, l’organigramme fonctionnel de la Société est le suivant :</w:t>
      </w:r>
    </w:p>
    <w:p w:rsidR="005C36A7" w:rsidRDefault="005C36A7" w:rsidP="004572A0">
      <w:pPr>
        <w:pStyle w:val="BodyText"/>
        <w:rPr>
          <w:rFonts w:asciiTheme="minorHAnsi" w:hAnsiTheme="minorHAnsi" w:cstheme="minorHAnsi"/>
          <w:lang w:val="fr-FR"/>
        </w:rPr>
      </w:pPr>
      <w:r w:rsidRPr="00F06B5C">
        <w:rPr>
          <w:rFonts w:asciiTheme="minorHAnsi" w:hAnsiTheme="minorHAnsi" w:cstheme="minorHAnsi"/>
          <w:b/>
          <w:noProof/>
          <w:lang w:val="fr-FR" w:eastAsia="fr-FR"/>
        </w:rPr>
        <w:drawing>
          <wp:inline distT="0" distB="0" distL="0" distR="0" wp14:anchorId="68A293AA" wp14:editId="4007BE0B">
            <wp:extent cx="6120765" cy="2954020"/>
            <wp:effectExtent l="38100" t="0" r="89535" b="0"/>
            <wp:docPr id="20" name="Diagramme 20">
              <a:extLst xmlns:a="http://schemas.openxmlformats.org/drawingml/2006/main">
                <a:ext uri="{FF2B5EF4-FFF2-40B4-BE49-F238E27FC236}">
                  <a16:creationId xmlns:a16="http://schemas.microsoft.com/office/drawing/2014/main" id="{B81C9680-E0BB-4EF9-8E49-DA0712372C8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F14A52" w:rsidRPr="00C73365" w:rsidRDefault="00F14A52" w:rsidP="004572A0">
      <w:pPr>
        <w:pStyle w:val="BodyText"/>
        <w:rPr>
          <w:rFonts w:asciiTheme="minorHAnsi" w:hAnsiTheme="minorHAnsi" w:cstheme="minorHAnsi"/>
          <w:lang w:val="fr-FR"/>
        </w:rPr>
      </w:pPr>
      <w:r w:rsidRPr="00C73365">
        <w:rPr>
          <w:rFonts w:asciiTheme="minorHAnsi" w:hAnsiTheme="minorHAnsi" w:cstheme="minorHAnsi"/>
          <w:lang w:val="fr-FR"/>
        </w:rPr>
        <w:t>Les principaux managers de la Société bénéficient tous d’une grande expérience dans le management de l’innovation technologique et la R&amp;D. Leurs expériences sont résumées au paragraphe 6.4.2 du présent document de référence.</w:t>
      </w:r>
    </w:p>
    <w:p w:rsidR="00B740A8" w:rsidRPr="00C73365" w:rsidRDefault="00B740A8" w:rsidP="00B740A8">
      <w:pPr>
        <w:pStyle w:val="ConmainL3"/>
        <w:numPr>
          <w:ilvl w:val="2"/>
          <w:numId w:val="9"/>
        </w:numPr>
        <w:spacing w:after="0"/>
        <w:ind w:left="1440"/>
        <w:rPr>
          <w:rFonts w:asciiTheme="minorHAnsi" w:hAnsiTheme="minorHAnsi" w:cstheme="minorHAnsi"/>
          <w:szCs w:val="20"/>
          <w:lang w:val="fr-FR"/>
        </w:rPr>
      </w:pPr>
      <w:bookmarkStart w:id="952" w:name="_Toc290245389"/>
      <w:bookmarkStart w:id="953" w:name="_Toc290293312"/>
      <w:bookmarkStart w:id="954" w:name="_Toc290294946"/>
      <w:bookmarkStart w:id="955" w:name="_Toc291712714"/>
      <w:bookmarkStart w:id="956" w:name="_Toc292267552"/>
      <w:bookmarkStart w:id="957" w:name="_Toc292876472"/>
      <w:bookmarkStart w:id="958" w:name="_Toc293328308"/>
      <w:bookmarkStart w:id="959" w:name="_Toc299092994"/>
      <w:bookmarkStart w:id="960" w:name="_Toc299094479"/>
      <w:r w:rsidRPr="00C73365">
        <w:rPr>
          <w:rFonts w:asciiTheme="minorHAnsi" w:hAnsiTheme="minorHAnsi" w:cstheme="minorHAnsi"/>
          <w:b/>
          <w:color w:val="7030A0"/>
          <w:lang w:val="fr-FR"/>
        </w:rPr>
        <w:t>Nombre et répartition des effectifs</w:t>
      </w:r>
      <w:bookmarkStart w:id="961" w:name="_Toc301551487"/>
      <w:bookmarkStart w:id="962" w:name="_Toc301891850"/>
      <w:bookmarkStart w:id="963" w:name="_Toc302047140"/>
      <w:bookmarkStart w:id="964" w:name="_Toc302066572"/>
      <w:bookmarkStart w:id="965" w:name="_Toc302394363"/>
      <w:bookmarkStart w:id="966" w:name="_Toc302414423"/>
      <w:bookmarkStart w:id="967" w:name="_Toc302584365"/>
      <w:bookmarkStart w:id="968" w:name="_Toc302673712"/>
      <w:bookmarkEnd w:id="952"/>
      <w:bookmarkEnd w:id="953"/>
      <w:bookmarkEnd w:id="954"/>
      <w:bookmarkEnd w:id="955"/>
      <w:bookmarkEnd w:id="956"/>
      <w:bookmarkEnd w:id="957"/>
      <w:bookmarkEnd w:id="958"/>
      <w:bookmarkEnd w:id="959"/>
      <w:bookmarkEnd w:id="960"/>
    </w:p>
    <w:p w:rsidR="00F14A52" w:rsidRPr="00C73365" w:rsidRDefault="00F14A52" w:rsidP="00F14A52">
      <w:pPr>
        <w:rPr>
          <w:rFonts w:asciiTheme="minorHAnsi" w:hAnsiTheme="minorHAnsi" w:cstheme="minorHAnsi"/>
          <w:highlight w:val="yellow"/>
          <w:lang w:val="fr-FR"/>
        </w:rPr>
      </w:pPr>
    </w:p>
    <w:p w:rsidR="00F14A52" w:rsidRPr="00C73365" w:rsidRDefault="00F14A52" w:rsidP="004572A0">
      <w:pPr>
        <w:pStyle w:val="BodyText"/>
        <w:rPr>
          <w:rFonts w:asciiTheme="minorHAnsi" w:hAnsiTheme="minorHAnsi" w:cstheme="minorHAnsi"/>
          <w:lang w:val="fr-FR"/>
        </w:rPr>
      </w:pPr>
      <w:r w:rsidRPr="00C73365">
        <w:rPr>
          <w:rFonts w:asciiTheme="minorHAnsi" w:hAnsiTheme="minorHAnsi" w:cstheme="minorHAnsi"/>
          <w:lang w:val="fr-FR"/>
        </w:rPr>
        <w:t>A la date d’enregistrement du présent document de référence, l’effectif de la Société se chiffre à 2</w:t>
      </w:r>
      <w:r w:rsidR="00D468B1" w:rsidRPr="00C73365">
        <w:rPr>
          <w:rFonts w:asciiTheme="minorHAnsi" w:hAnsiTheme="minorHAnsi" w:cstheme="minorHAnsi"/>
          <w:lang w:val="fr-FR"/>
        </w:rPr>
        <w:t>3</w:t>
      </w:r>
      <w:r w:rsidRPr="00C73365">
        <w:rPr>
          <w:rFonts w:asciiTheme="minorHAnsi" w:hAnsiTheme="minorHAnsi" w:cstheme="minorHAnsi"/>
          <w:lang w:val="fr-FR"/>
        </w:rPr>
        <w:t xml:space="preserve"> salariés.</w:t>
      </w:r>
    </w:p>
    <w:tbl>
      <w:tblPr>
        <w:tblW w:w="3163" w:type="dxa"/>
        <w:tblInd w:w="2832" w:type="dxa"/>
        <w:tblCellMar>
          <w:left w:w="70" w:type="dxa"/>
          <w:right w:w="70" w:type="dxa"/>
        </w:tblCellMar>
        <w:tblLook w:val="04A0" w:firstRow="1" w:lastRow="0" w:firstColumn="1" w:lastColumn="0" w:noHBand="0" w:noVBand="1"/>
      </w:tblPr>
      <w:tblGrid>
        <w:gridCol w:w="1922"/>
        <w:gridCol w:w="1241"/>
      </w:tblGrid>
      <w:tr w:rsidR="00F14A52" w:rsidRPr="00C73365" w:rsidTr="00D468B1">
        <w:trPr>
          <w:trHeight w:val="630"/>
        </w:trPr>
        <w:tc>
          <w:tcPr>
            <w:tcW w:w="1922" w:type="dxa"/>
            <w:tcBorders>
              <w:top w:val="single" w:sz="12" w:space="0" w:color="7030A0"/>
              <w:left w:val="nil"/>
              <w:bottom w:val="single" w:sz="8" w:space="0" w:color="7030A0"/>
              <w:right w:val="nil"/>
            </w:tcBorders>
            <w:shd w:val="clear" w:color="auto" w:fill="auto"/>
            <w:vAlign w:val="center"/>
            <w:hideMark/>
          </w:tcPr>
          <w:p w:rsidR="00F14A52" w:rsidRPr="00C73365" w:rsidRDefault="00F14A52" w:rsidP="00D468B1">
            <w:pPr>
              <w:jc w:val="cente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Effectifs à date</w:t>
            </w:r>
          </w:p>
        </w:tc>
        <w:tc>
          <w:tcPr>
            <w:tcW w:w="1241" w:type="dxa"/>
            <w:tcBorders>
              <w:top w:val="single" w:sz="12" w:space="0" w:color="7030A0"/>
              <w:left w:val="nil"/>
              <w:bottom w:val="single" w:sz="8" w:space="0" w:color="7030A0"/>
              <w:right w:val="nil"/>
            </w:tcBorders>
            <w:shd w:val="clear" w:color="auto" w:fill="auto"/>
            <w:vAlign w:val="center"/>
            <w:hideMark/>
          </w:tcPr>
          <w:p w:rsidR="00F14A52" w:rsidRPr="00C73365" w:rsidRDefault="00F14A52" w:rsidP="00D468B1">
            <w:pPr>
              <w:jc w:val="cente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Mars-18</w:t>
            </w:r>
          </w:p>
        </w:tc>
      </w:tr>
      <w:tr w:rsidR="00F14A52" w:rsidRPr="00C73365" w:rsidTr="00D468B1">
        <w:trPr>
          <w:trHeight w:val="154"/>
        </w:trPr>
        <w:tc>
          <w:tcPr>
            <w:tcW w:w="1922" w:type="dxa"/>
            <w:tcBorders>
              <w:top w:val="nil"/>
              <w:left w:val="nil"/>
              <w:bottom w:val="nil"/>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Cadres</w:t>
            </w:r>
          </w:p>
        </w:tc>
        <w:tc>
          <w:tcPr>
            <w:tcW w:w="1241" w:type="dxa"/>
            <w:tcBorders>
              <w:top w:val="nil"/>
              <w:left w:val="nil"/>
              <w:bottom w:val="nil"/>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w:t>
            </w:r>
          </w:p>
        </w:tc>
      </w:tr>
      <w:tr w:rsidR="00F14A52" w:rsidRPr="00C73365" w:rsidTr="00D468B1">
        <w:trPr>
          <w:trHeight w:val="154"/>
        </w:trPr>
        <w:tc>
          <w:tcPr>
            <w:tcW w:w="1922" w:type="dxa"/>
            <w:tcBorders>
              <w:top w:val="nil"/>
              <w:left w:val="nil"/>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 Cadres</w:t>
            </w:r>
          </w:p>
        </w:tc>
        <w:tc>
          <w:tcPr>
            <w:tcW w:w="1241" w:type="dxa"/>
            <w:tcBorders>
              <w:top w:val="nil"/>
              <w:left w:val="nil"/>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w:t>
            </w:r>
          </w:p>
        </w:tc>
      </w:tr>
      <w:tr w:rsidR="00F14A52" w:rsidRPr="00C73365" w:rsidTr="00D468B1">
        <w:trPr>
          <w:trHeight w:val="193"/>
        </w:trPr>
        <w:tc>
          <w:tcPr>
            <w:tcW w:w="1922" w:type="dxa"/>
            <w:tcBorders>
              <w:top w:val="nil"/>
              <w:left w:val="nil"/>
              <w:bottom w:val="single" w:sz="4" w:space="0" w:color="7030A0"/>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Mandataire social</w:t>
            </w:r>
          </w:p>
        </w:tc>
        <w:tc>
          <w:tcPr>
            <w:tcW w:w="1241" w:type="dxa"/>
            <w:tcBorders>
              <w:top w:val="nil"/>
              <w:left w:val="nil"/>
              <w:bottom w:val="single" w:sz="4" w:space="0" w:color="7030A0"/>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p>
        </w:tc>
      </w:tr>
      <w:tr w:rsidR="00F14A52" w:rsidRPr="00C73365" w:rsidTr="00D468B1">
        <w:trPr>
          <w:trHeight w:val="368"/>
        </w:trPr>
        <w:tc>
          <w:tcPr>
            <w:tcW w:w="1922" w:type="dxa"/>
            <w:tcBorders>
              <w:top w:val="single" w:sz="4" w:space="0" w:color="7030A0"/>
              <w:left w:val="nil"/>
              <w:bottom w:val="single" w:sz="8" w:space="0" w:color="7030A0"/>
              <w:right w:val="nil"/>
            </w:tcBorders>
            <w:shd w:val="clear" w:color="auto" w:fill="auto"/>
            <w:noWrap/>
            <w:vAlign w:val="center"/>
            <w:hideMark/>
          </w:tcPr>
          <w:p w:rsidR="00F14A52" w:rsidRPr="00C73365" w:rsidRDefault="00F14A52" w:rsidP="00D468B1">
            <w:pPr>
              <w:jc w:val="center"/>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Total Positions</w:t>
            </w:r>
          </w:p>
        </w:tc>
        <w:tc>
          <w:tcPr>
            <w:tcW w:w="1241" w:type="dxa"/>
            <w:tcBorders>
              <w:top w:val="single" w:sz="4" w:space="0" w:color="7030A0"/>
              <w:left w:val="nil"/>
              <w:bottom w:val="single" w:sz="8" w:space="0" w:color="7030A0"/>
              <w:right w:val="nil"/>
            </w:tcBorders>
            <w:shd w:val="clear" w:color="auto" w:fill="auto"/>
            <w:vAlign w:val="center"/>
            <w:hideMark/>
          </w:tcPr>
          <w:p w:rsidR="00F14A52" w:rsidRPr="00C73365" w:rsidRDefault="00F14A52" w:rsidP="00D468B1">
            <w:pPr>
              <w:jc w:val="center"/>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23</w:t>
            </w:r>
          </w:p>
        </w:tc>
      </w:tr>
    </w:tbl>
    <w:p w:rsidR="00F14A52" w:rsidRPr="00C73365" w:rsidRDefault="00F14A52" w:rsidP="00D468B1">
      <w:pPr>
        <w:ind w:left="2832"/>
        <w:jc w:val="center"/>
        <w:rPr>
          <w:rFonts w:asciiTheme="minorHAnsi" w:hAnsiTheme="minorHAnsi" w:cstheme="minorHAnsi"/>
          <w:b/>
          <w:color w:val="7030A0"/>
          <w:szCs w:val="20"/>
          <w:lang w:val="fr-FR" w:bidi="fr-FR"/>
        </w:rPr>
      </w:pPr>
    </w:p>
    <w:tbl>
      <w:tblPr>
        <w:tblW w:w="3158" w:type="dxa"/>
        <w:tblInd w:w="2832" w:type="dxa"/>
        <w:tblCellMar>
          <w:left w:w="70" w:type="dxa"/>
          <w:right w:w="70" w:type="dxa"/>
        </w:tblCellMar>
        <w:tblLook w:val="04A0" w:firstRow="1" w:lastRow="0" w:firstColumn="1" w:lastColumn="0" w:noHBand="0" w:noVBand="1"/>
      </w:tblPr>
      <w:tblGrid>
        <w:gridCol w:w="1967"/>
        <w:gridCol w:w="1191"/>
      </w:tblGrid>
      <w:tr w:rsidR="00F14A52" w:rsidRPr="00C73365" w:rsidTr="00D468B1">
        <w:trPr>
          <w:trHeight w:val="680"/>
        </w:trPr>
        <w:tc>
          <w:tcPr>
            <w:tcW w:w="1967" w:type="dxa"/>
            <w:tcBorders>
              <w:top w:val="single" w:sz="12" w:space="0" w:color="7030A0"/>
              <w:left w:val="nil"/>
              <w:bottom w:val="single" w:sz="8" w:space="0" w:color="7030A0"/>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b/>
                <w:color w:val="000000"/>
                <w:szCs w:val="20"/>
                <w:lang w:val="fr-FR" w:eastAsia="fr-FR"/>
              </w:rPr>
              <w:t>Effectifs par site</w:t>
            </w:r>
          </w:p>
        </w:tc>
        <w:tc>
          <w:tcPr>
            <w:tcW w:w="1191" w:type="dxa"/>
            <w:tcBorders>
              <w:top w:val="single" w:sz="12" w:space="0" w:color="7030A0"/>
              <w:left w:val="nil"/>
              <w:bottom w:val="single" w:sz="8" w:space="0" w:color="7030A0"/>
              <w:right w:val="nil"/>
            </w:tcBorders>
            <w:shd w:val="clear" w:color="auto" w:fill="auto"/>
            <w:vAlign w:val="center"/>
            <w:hideMark/>
          </w:tcPr>
          <w:p w:rsidR="00F14A52" w:rsidRPr="00C73365" w:rsidRDefault="00F14A52" w:rsidP="00D468B1">
            <w:pPr>
              <w:jc w:val="center"/>
              <w:rPr>
                <w:rFonts w:asciiTheme="minorHAnsi" w:hAnsiTheme="minorHAnsi" w:cstheme="minorHAnsi"/>
                <w:b/>
                <w:color w:val="000000"/>
                <w:szCs w:val="20"/>
                <w:lang w:val="fr-FR" w:eastAsia="fr-FR"/>
              </w:rPr>
            </w:pPr>
            <w:r w:rsidRPr="00C73365">
              <w:rPr>
                <w:rFonts w:asciiTheme="minorHAnsi" w:hAnsiTheme="minorHAnsi" w:cstheme="minorHAnsi"/>
                <w:b/>
                <w:color w:val="000000"/>
                <w:szCs w:val="20"/>
                <w:lang w:val="fr-FR" w:eastAsia="fr-FR"/>
              </w:rPr>
              <w:t>Mars-18</w:t>
            </w:r>
          </w:p>
        </w:tc>
      </w:tr>
      <w:tr w:rsidR="00F14A52" w:rsidRPr="00C73365" w:rsidTr="00D468B1">
        <w:trPr>
          <w:trHeight w:val="180"/>
        </w:trPr>
        <w:tc>
          <w:tcPr>
            <w:tcW w:w="1967" w:type="dxa"/>
            <w:tcBorders>
              <w:top w:val="nil"/>
              <w:left w:val="nil"/>
              <w:bottom w:val="nil"/>
              <w:right w:val="nil"/>
            </w:tcBorders>
            <w:shd w:val="clear" w:color="auto" w:fill="auto"/>
            <w:noWrap/>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Paris</w:t>
            </w:r>
          </w:p>
        </w:tc>
        <w:tc>
          <w:tcPr>
            <w:tcW w:w="1191" w:type="dxa"/>
            <w:tcBorders>
              <w:top w:val="nil"/>
              <w:left w:val="nil"/>
              <w:bottom w:val="nil"/>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12</w:t>
            </w:r>
          </w:p>
        </w:tc>
      </w:tr>
      <w:tr w:rsidR="00F14A52" w:rsidRPr="00C73365" w:rsidTr="00D468B1">
        <w:trPr>
          <w:trHeight w:val="180"/>
        </w:trPr>
        <w:tc>
          <w:tcPr>
            <w:tcW w:w="1967" w:type="dxa"/>
            <w:tcBorders>
              <w:top w:val="nil"/>
              <w:left w:val="nil"/>
              <w:bottom w:val="nil"/>
              <w:right w:val="nil"/>
            </w:tcBorders>
            <w:shd w:val="clear" w:color="auto" w:fill="auto"/>
            <w:noWrap/>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Montpellier</w:t>
            </w:r>
          </w:p>
        </w:tc>
        <w:tc>
          <w:tcPr>
            <w:tcW w:w="1191" w:type="dxa"/>
            <w:tcBorders>
              <w:top w:val="nil"/>
              <w:left w:val="nil"/>
              <w:bottom w:val="nil"/>
              <w:right w:val="nil"/>
            </w:tcBorders>
            <w:shd w:val="clear" w:color="auto" w:fill="auto"/>
            <w:vAlign w:val="center"/>
            <w:hideMark/>
          </w:tcPr>
          <w:p w:rsidR="00F14A52" w:rsidRPr="00C73365" w:rsidRDefault="00F14A52" w:rsidP="00D468B1">
            <w:pPr>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w:t>
            </w:r>
          </w:p>
        </w:tc>
      </w:tr>
    </w:tbl>
    <w:p w:rsidR="00B740A8" w:rsidRPr="00C73365" w:rsidRDefault="00B740A8" w:rsidP="00B740A8">
      <w:pPr>
        <w:pStyle w:val="ConmainL3"/>
        <w:tabs>
          <w:tab w:val="clear" w:pos="360"/>
        </w:tabs>
        <w:spacing w:after="0"/>
        <w:outlineLvl w:val="9"/>
        <w:rPr>
          <w:rFonts w:asciiTheme="minorHAnsi" w:hAnsiTheme="minorHAnsi" w:cstheme="minorHAnsi"/>
          <w:szCs w:val="20"/>
          <w:lang w:val="fr-FR"/>
        </w:rPr>
      </w:pPr>
    </w:p>
    <w:bookmarkEnd w:id="961"/>
    <w:bookmarkEnd w:id="962"/>
    <w:bookmarkEnd w:id="963"/>
    <w:bookmarkEnd w:id="964"/>
    <w:bookmarkEnd w:id="965"/>
    <w:bookmarkEnd w:id="966"/>
    <w:bookmarkEnd w:id="967"/>
    <w:bookmarkEnd w:id="968"/>
    <w:p w:rsidR="00B740A8" w:rsidRPr="00C73365" w:rsidRDefault="00B740A8" w:rsidP="00B740A8">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Représentation du personnel</w:t>
      </w:r>
    </w:p>
    <w:p w:rsidR="00B740A8" w:rsidRPr="00C73365" w:rsidRDefault="00B740A8" w:rsidP="00B740A8">
      <w:pPr>
        <w:rPr>
          <w:rFonts w:asciiTheme="minorHAnsi" w:hAnsiTheme="minorHAnsi" w:cstheme="minorHAnsi"/>
          <w:lang w:val="fr-FR"/>
        </w:rPr>
      </w:pP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969" w:name="_Toc401594121"/>
      <w:bookmarkStart w:id="970" w:name="_Toc462673283"/>
      <w:bookmarkStart w:id="971" w:name="_Toc467835632"/>
      <w:bookmarkStart w:id="972" w:name="_Toc482695305"/>
      <w:bookmarkStart w:id="973" w:name="_Toc512863948"/>
      <w:r w:rsidRPr="00C73365">
        <w:rPr>
          <w:rFonts w:asciiTheme="minorHAnsi" w:hAnsiTheme="minorHAnsi" w:cstheme="minorHAnsi"/>
          <w:sz w:val="22"/>
          <w:lang w:val="fr-FR"/>
        </w:rPr>
        <w:lastRenderedPageBreak/>
        <w:t>Participations et stock-options des mandataires sociaux</w:t>
      </w:r>
      <w:bookmarkEnd w:id="969"/>
      <w:bookmarkEnd w:id="970"/>
      <w:bookmarkEnd w:id="971"/>
      <w:bookmarkEnd w:id="972"/>
      <w:bookmarkEnd w:id="973"/>
    </w:p>
    <w:p w:rsidR="00B740A8" w:rsidRPr="00C73365" w:rsidRDefault="00B740A8" w:rsidP="00B740A8">
      <w:pPr>
        <w:pStyle w:val="ConmainL2"/>
        <w:numPr>
          <w:ilvl w:val="0"/>
          <w:numId w:val="0"/>
        </w:numPr>
        <w:spacing w:after="0"/>
        <w:outlineLvl w:val="9"/>
        <w:rPr>
          <w:rFonts w:asciiTheme="minorHAnsi" w:hAnsiTheme="minorHAnsi" w:cstheme="minorHAnsi"/>
          <w:sz w:val="22"/>
          <w:lang w:val="fr-FR"/>
        </w:rPr>
      </w:pP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Il est envoyé aux sections 15.3 « Actions attribuées gratuitement, bons de souscription d’actions et options de souscription d’actions attribués aux mandataires sociaux » et 18.1 « Répartition du capital et des droits de vote ».</w:t>
      </w:r>
    </w:p>
    <w:p w:rsidR="00B740A8" w:rsidRPr="00C73365" w:rsidRDefault="00B740A8" w:rsidP="00B740A8">
      <w:pPr>
        <w:pStyle w:val="ConmainL2"/>
        <w:numPr>
          <w:ilvl w:val="1"/>
          <w:numId w:val="9"/>
        </w:numPr>
        <w:rPr>
          <w:rFonts w:asciiTheme="minorHAnsi" w:hAnsiTheme="minorHAnsi" w:cstheme="minorHAnsi"/>
          <w:sz w:val="22"/>
          <w:lang w:val="fr-FR"/>
        </w:rPr>
      </w:pPr>
      <w:bookmarkStart w:id="974" w:name="_Toc401594122"/>
      <w:bookmarkStart w:id="975" w:name="_Toc462673284"/>
      <w:bookmarkStart w:id="976" w:name="_Toc467835633"/>
      <w:bookmarkStart w:id="977" w:name="_Toc482695306"/>
      <w:bookmarkStart w:id="978" w:name="_Toc512863949"/>
      <w:r w:rsidRPr="00C73365">
        <w:rPr>
          <w:rFonts w:asciiTheme="minorHAnsi" w:hAnsiTheme="minorHAnsi" w:cstheme="minorHAnsi"/>
          <w:sz w:val="22"/>
          <w:lang w:val="fr-FR"/>
        </w:rPr>
        <w:t>Participation des salariés dans le capital de la Société</w:t>
      </w:r>
      <w:bookmarkEnd w:id="974"/>
      <w:bookmarkEnd w:id="975"/>
      <w:bookmarkEnd w:id="976"/>
      <w:bookmarkEnd w:id="977"/>
      <w:bookmarkEnd w:id="978"/>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A la date d’enregistrement du présent document de référence, certains salariés détiennent des actions de la Société.</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 xml:space="preserve">Certains salariés sont également titulaires de </w:t>
      </w:r>
      <w:r w:rsidR="00656913">
        <w:rPr>
          <w:rFonts w:asciiTheme="minorHAnsi" w:hAnsiTheme="minorHAnsi" w:cstheme="minorHAnsi"/>
          <w:lang w:val="fr-FR"/>
        </w:rPr>
        <w:t>BCE</w:t>
      </w:r>
      <w:r w:rsidRPr="00C73365">
        <w:rPr>
          <w:rFonts w:asciiTheme="minorHAnsi" w:hAnsiTheme="minorHAnsi" w:cstheme="minorHAnsi"/>
          <w:lang w:val="fr-FR"/>
        </w:rPr>
        <w:t xml:space="preserve"> pouvant leur conférer au total une participation de 4,29% du capital social de la Société, au 31 mars 2018, sur une base du capital pleinement diluée (c’est-à-dire en tenant compte en sus des 9.904.231 actions émises par la Société, de l’exercice de l’intégralité des </w:t>
      </w:r>
      <w:r w:rsidR="00656913">
        <w:rPr>
          <w:rFonts w:asciiTheme="minorHAnsi" w:hAnsiTheme="minorHAnsi" w:cstheme="minorHAnsi"/>
          <w:lang w:val="fr-FR"/>
        </w:rPr>
        <w:t>BCE</w:t>
      </w:r>
      <w:r w:rsidRPr="00C73365">
        <w:rPr>
          <w:rFonts w:asciiTheme="minorHAnsi" w:hAnsiTheme="minorHAnsi" w:cstheme="minorHAnsi"/>
          <w:lang w:val="fr-FR"/>
        </w:rPr>
        <w:t xml:space="preserve"> donnant à leurs titulaires le droit de souscrire à 1 251 581 actions de la Société et l’intégralité des BSA donnant à leurs titulaires le droit de souscrire à 447 784 actions de la Société dont le détail des </w:t>
      </w:r>
      <w:r w:rsidR="00656913">
        <w:rPr>
          <w:rFonts w:asciiTheme="minorHAnsi" w:hAnsiTheme="minorHAnsi" w:cstheme="minorHAnsi"/>
          <w:lang w:val="fr-FR"/>
        </w:rPr>
        <w:t>BCE</w:t>
      </w:r>
      <w:r w:rsidRPr="00C73365">
        <w:rPr>
          <w:rFonts w:asciiTheme="minorHAnsi" w:hAnsiTheme="minorHAnsi" w:cstheme="minorHAnsi"/>
          <w:lang w:val="fr-FR"/>
        </w:rPr>
        <w:t xml:space="preserve"> et BSA figure à l’article 21.1.5 « </w:t>
      </w:r>
      <w:r w:rsidR="00CA545C" w:rsidRPr="00CA545C">
        <w:rPr>
          <w:rFonts w:asciiTheme="minorHAnsi" w:hAnsiTheme="minorHAnsi" w:cstheme="minorHAnsi"/>
          <w:lang w:val="fr-FR"/>
        </w:rPr>
        <w:t>Valeurs mobilières convertibles, échangeables ou assorties de bons de souscription</w:t>
      </w:r>
      <w:r w:rsidR="00CA545C">
        <w:rPr>
          <w:rFonts w:asciiTheme="minorHAnsi" w:hAnsiTheme="minorHAnsi" w:cstheme="minorHAnsi"/>
          <w:lang w:val="fr-FR"/>
        </w:rPr>
        <w:t xml:space="preserve"> </w:t>
      </w:r>
      <w:r w:rsidRPr="00C73365">
        <w:rPr>
          <w:rFonts w:asciiTheme="minorHAnsi" w:hAnsiTheme="minorHAnsi" w:cstheme="minorHAnsi"/>
          <w:lang w:val="fr-FR"/>
        </w:rPr>
        <w:t xml:space="preserve">» en cas d’exercice intégral des </w:t>
      </w:r>
      <w:r w:rsidR="00656913">
        <w:rPr>
          <w:rFonts w:asciiTheme="minorHAnsi" w:hAnsiTheme="minorHAnsi" w:cstheme="minorHAnsi"/>
          <w:lang w:val="fr-FR"/>
        </w:rPr>
        <w:t>BCE</w:t>
      </w:r>
      <w:r w:rsidRPr="00C73365">
        <w:rPr>
          <w:rFonts w:asciiTheme="minorHAnsi" w:hAnsiTheme="minorHAnsi" w:cstheme="minorHAnsi"/>
          <w:lang w:val="fr-FR"/>
        </w:rPr>
        <w:t xml:space="preserve"> dont ces salariés sont titulaires.</w:t>
      </w:r>
    </w:p>
    <w:p w:rsidR="00B740A8" w:rsidRPr="00C73365" w:rsidRDefault="00B740A8" w:rsidP="00B740A8">
      <w:pPr>
        <w:pStyle w:val="ConmainL2"/>
        <w:numPr>
          <w:ilvl w:val="1"/>
          <w:numId w:val="9"/>
        </w:numPr>
        <w:rPr>
          <w:rFonts w:asciiTheme="minorHAnsi" w:hAnsiTheme="minorHAnsi" w:cstheme="minorHAnsi"/>
          <w:sz w:val="22"/>
          <w:lang w:val="fr-FR"/>
        </w:rPr>
      </w:pPr>
      <w:bookmarkStart w:id="979" w:name="_Toc401594123"/>
      <w:bookmarkStart w:id="980" w:name="_Toc462673285"/>
      <w:bookmarkStart w:id="981" w:name="_Toc467835634"/>
      <w:bookmarkStart w:id="982" w:name="_Toc482695307"/>
      <w:bookmarkStart w:id="983" w:name="_Toc512863950"/>
      <w:r w:rsidRPr="00C73365">
        <w:rPr>
          <w:rFonts w:asciiTheme="minorHAnsi" w:hAnsiTheme="minorHAnsi" w:cstheme="minorHAnsi"/>
          <w:sz w:val="22"/>
          <w:lang w:val="fr-FR"/>
        </w:rPr>
        <w:t>Contrats d’intéressement et de participation</w:t>
      </w:r>
      <w:bookmarkEnd w:id="979"/>
      <w:bookmarkEnd w:id="980"/>
      <w:bookmarkEnd w:id="981"/>
      <w:bookmarkEnd w:id="982"/>
      <w:bookmarkEnd w:id="983"/>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Néant.</w:t>
      </w:r>
      <w:r w:rsidRPr="00C73365">
        <w:rPr>
          <w:rFonts w:asciiTheme="minorHAnsi" w:hAnsiTheme="minorHAnsi" w:cstheme="minorHAnsi"/>
          <w:lang w:val="fr-FR"/>
        </w:rPr>
        <w:br w:type="page"/>
      </w:r>
    </w:p>
    <w:p w:rsidR="00B740A8" w:rsidRPr="00C73365" w:rsidRDefault="00B740A8" w:rsidP="00B740A8">
      <w:pPr>
        <w:pStyle w:val="ListParagraph"/>
        <w:numPr>
          <w:ilvl w:val="0"/>
          <w:numId w:val="9"/>
        </w:numPr>
        <w:spacing w:after="0"/>
        <w:outlineLvl w:val="0"/>
        <w:rPr>
          <w:rFonts w:asciiTheme="minorHAnsi" w:hAnsiTheme="minorHAnsi" w:cstheme="minorHAnsi"/>
          <w:b/>
          <w:sz w:val="22"/>
          <w:lang w:val="fr-FR"/>
        </w:rPr>
      </w:pPr>
      <w:bookmarkStart w:id="984" w:name="_Toc462673286"/>
      <w:bookmarkStart w:id="985" w:name="_Toc467835635"/>
      <w:bookmarkStart w:id="986" w:name="_Toc482695308"/>
      <w:bookmarkStart w:id="987" w:name="_Toc512863951"/>
      <w:r w:rsidRPr="00C73365">
        <w:rPr>
          <w:rFonts w:asciiTheme="minorHAnsi" w:hAnsiTheme="minorHAnsi" w:cstheme="minorHAnsi"/>
          <w:b/>
          <w:sz w:val="22"/>
          <w:lang w:val="fr-FR"/>
        </w:rPr>
        <w:lastRenderedPageBreak/>
        <w:t>PRINCIPAUX ACTIONNAIRES</w:t>
      </w:r>
      <w:bookmarkEnd w:id="984"/>
      <w:bookmarkEnd w:id="985"/>
      <w:bookmarkEnd w:id="986"/>
      <w:bookmarkEnd w:id="987"/>
    </w:p>
    <w:p w:rsidR="00B740A8" w:rsidRPr="00C73365" w:rsidRDefault="00B740A8" w:rsidP="00B740A8">
      <w:pPr>
        <w:rPr>
          <w:rFonts w:asciiTheme="minorHAnsi" w:hAnsiTheme="minorHAnsi" w:cstheme="minorHAnsi"/>
          <w:b/>
          <w:lang w:val="fr-FR"/>
        </w:rPr>
      </w:pPr>
    </w:p>
    <w:p w:rsidR="00B740A8" w:rsidRPr="00C73365" w:rsidRDefault="00B740A8" w:rsidP="00B740A8">
      <w:pPr>
        <w:pStyle w:val="ConmainL2"/>
        <w:numPr>
          <w:ilvl w:val="1"/>
          <w:numId w:val="9"/>
        </w:numPr>
        <w:spacing w:after="0"/>
        <w:rPr>
          <w:rFonts w:asciiTheme="minorHAnsi" w:hAnsiTheme="minorHAnsi" w:cstheme="minorHAnsi"/>
          <w:spacing w:val="-2"/>
          <w:lang w:val="fr-FR"/>
        </w:rPr>
      </w:pPr>
      <w:bookmarkStart w:id="988" w:name="_Toc467835636"/>
      <w:bookmarkStart w:id="989" w:name="_Toc482695309"/>
      <w:bookmarkStart w:id="990" w:name="_Toc462673287"/>
      <w:bookmarkStart w:id="991" w:name="_Hlk510083359"/>
      <w:bookmarkStart w:id="992" w:name="_Toc512863952"/>
      <w:r w:rsidRPr="00C73365">
        <w:rPr>
          <w:rFonts w:asciiTheme="minorHAnsi" w:hAnsiTheme="minorHAnsi" w:cstheme="minorHAnsi"/>
          <w:spacing w:val="-2"/>
          <w:sz w:val="22"/>
          <w:lang w:val="fr-FR"/>
        </w:rPr>
        <w:t>Répartition du capital et des droits de vote</w:t>
      </w:r>
      <w:bookmarkEnd w:id="988"/>
      <w:bookmarkEnd w:id="989"/>
      <w:bookmarkEnd w:id="992"/>
      <w:r w:rsidRPr="00C73365">
        <w:rPr>
          <w:rFonts w:asciiTheme="minorHAnsi" w:hAnsiTheme="minorHAnsi" w:cstheme="minorHAnsi"/>
          <w:spacing w:val="-2"/>
          <w:sz w:val="22"/>
          <w:lang w:val="fr-FR"/>
        </w:rPr>
        <w:t xml:space="preserve"> </w:t>
      </w:r>
    </w:p>
    <w:p w:rsidR="00B740A8" w:rsidRPr="00C73365" w:rsidRDefault="00B740A8" w:rsidP="00B740A8">
      <w:pPr>
        <w:pStyle w:val="ConmainL2"/>
        <w:numPr>
          <w:ilvl w:val="0"/>
          <w:numId w:val="0"/>
        </w:numPr>
        <w:spacing w:after="0"/>
        <w:ind w:left="720"/>
        <w:outlineLvl w:val="9"/>
        <w:rPr>
          <w:rFonts w:asciiTheme="minorHAnsi" w:hAnsiTheme="minorHAnsi" w:cstheme="minorHAnsi"/>
          <w:spacing w:val="-2"/>
          <w:lang w:val="fr-FR"/>
        </w:rPr>
      </w:pPr>
    </w:p>
    <w:p w:rsidR="00B740A8" w:rsidRPr="00C73365" w:rsidRDefault="00B740A8" w:rsidP="00B740A8">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Répartition du capital et des droits de vote </w:t>
      </w:r>
      <w:bookmarkEnd w:id="990"/>
      <w:r w:rsidRPr="00C73365">
        <w:rPr>
          <w:rFonts w:asciiTheme="minorHAnsi" w:hAnsiTheme="minorHAnsi" w:cstheme="minorHAnsi"/>
          <w:b/>
          <w:color w:val="7030A0"/>
          <w:lang w:val="fr-FR"/>
        </w:rPr>
        <w:t>au 31 mars 2018</w:t>
      </w:r>
    </w:p>
    <w:p w:rsidR="00B740A8" w:rsidRPr="00C73365" w:rsidRDefault="00B740A8" w:rsidP="00B740A8">
      <w:pPr>
        <w:pStyle w:val="ConmainL2"/>
        <w:numPr>
          <w:ilvl w:val="0"/>
          <w:numId w:val="0"/>
        </w:numPr>
        <w:spacing w:after="0"/>
        <w:ind w:left="1980"/>
        <w:outlineLvl w:val="9"/>
        <w:rPr>
          <w:rFonts w:asciiTheme="minorHAnsi" w:hAnsiTheme="minorHAnsi" w:cstheme="minorHAnsi"/>
          <w:spacing w:val="-2"/>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Le tableau ci-dessous synthétise l’actionnariat de la Société au 31 mars 2018:</w:t>
      </w:r>
    </w:p>
    <w:tbl>
      <w:tblPr>
        <w:tblW w:w="9921" w:type="dxa"/>
        <w:tblInd w:w="-3"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0" w:type="dxa"/>
          <w:right w:w="0" w:type="dxa"/>
        </w:tblCellMar>
        <w:tblLook w:val="04A0" w:firstRow="1" w:lastRow="0" w:firstColumn="1" w:lastColumn="0" w:noHBand="0" w:noVBand="1"/>
      </w:tblPr>
      <w:tblGrid>
        <w:gridCol w:w="3323"/>
        <w:gridCol w:w="1601"/>
        <w:gridCol w:w="1595"/>
        <w:gridCol w:w="1701"/>
        <w:gridCol w:w="1701"/>
      </w:tblGrid>
      <w:tr w:rsidR="00B740A8" w:rsidRPr="00F06F79" w:rsidTr="00D1541A">
        <w:trPr>
          <w:trHeight w:val="1372"/>
        </w:trPr>
        <w:tc>
          <w:tcPr>
            <w:tcW w:w="3323" w:type="dxa"/>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Actionnaires</w:t>
            </w:r>
          </w:p>
        </w:tc>
        <w:tc>
          <w:tcPr>
            <w:tcW w:w="1601" w:type="dxa"/>
            <w:tcBorders>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Nombre d’actions (capital non dilué)</w:t>
            </w:r>
          </w:p>
        </w:tc>
        <w:tc>
          <w:tcPr>
            <w:tcW w:w="1595" w:type="dxa"/>
            <w:tcBorders>
              <w:left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
                <w:bCs/>
                <w:color w:val="000000"/>
                <w:sz w:val="18"/>
                <w:szCs w:val="18"/>
                <w:lang w:val="fr-FR" w:eastAsia="fr-FR"/>
              </w:rPr>
            </w:pPr>
            <w:r w:rsidRPr="00C73365">
              <w:rPr>
                <w:rFonts w:asciiTheme="minorHAnsi" w:hAnsiTheme="minorHAnsi" w:cstheme="minorHAnsi"/>
                <w:b/>
                <w:color w:val="000000"/>
                <w:sz w:val="18"/>
                <w:lang w:val="fr-FR"/>
              </w:rPr>
              <w:t>% du capital</w:t>
            </w:r>
          </w:p>
          <w:p w:rsidR="00B740A8" w:rsidRPr="00C73365" w:rsidRDefault="00B740A8" w:rsidP="00D1541A">
            <w:pPr>
              <w:jc w:val="right"/>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(non dilué)</w:t>
            </w:r>
          </w:p>
        </w:tc>
        <w:tc>
          <w:tcPr>
            <w:tcW w:w="1701" w:type="dxa"/>
            <w:tcBorders>
              <w:left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 des droits de vote</w:t>
            </w:r>
          </w:p>
          <w:p w:rsidR="00B740A8" w:rsidRPr="00C73365" w:rsidRDefault="00B740A8" w:rsidP="00D1541A">
            <w:pPr>
              <w:jc w:val="right"/>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(non dilué)</w:t>
            </w:r>
          </w:p>
        </w:tc>
        <w:tc>
          <w:tcPr>
            <w:tcW w:w="1701" w:type="dxa"/>
            <w:tcBorders>
              <w:lef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
                <w:bCs/>
                <w:color w:val="000000"/>
                <w:sz w:val="18"/>
                <w:szCs w:val="18"/>
                <w:lang w:val="fr-FR" w:eastAsia="fr-FR"/>
              </w:rPr>
            </w:pPr>
            <w:r w:rsidRPr="00C73365">
              <w:rPr>
                <w:rFonts w:asciiTheme="minorHAnsi" w:hAnsiTheme="minorHAnsi" w:cstheme="minorHAnsi"/>
                <w:b/>
                <w:color w:val="000000"/>
                <w:sz w:val="18"/>
                <w:lang w:val="fr-FR"/>
              </w:rPr>
              <w:t>% des droits de vote</w:t>
            </w:r>
          </w:p>
          <w:p w:rsidR="00B740A8" w:rsidRPr="00C73365" w:rsidRDefault="00B740A8" w:rsidP="00D1541A">
            <w:pPr>
              <w:jc w:val="right"/>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(dilué)</w:t>
            </w:r>
          </w:p>
        </w:tc>
      </w:tr>
      <w:tr w:rsidR="00B740A8" w:rsidRPr="00C73365" w:rsidTr="00D1541A">
        <w:trPr>
          <w:trHeight w:val="300"/>
        </w:trPr>
        <w:tc>
          <w:tcPr>
            <w:tcW w:w="3323" w:type="dxa"/>
            <w:tcBorders>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Holding Incubatrice</w:t>
            </w:r>
          </w:p>
        </w:tc>
        <w:tc>
          <w:tcPr>
            <w:tcW w:w="1601" w:type="dxa"/>
            <w:tcBorders>
              <w:top w:val="single" w:sz="4" w:space="0" w:color="7030A0"/>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257 600</w:t>
            </w:r>
          </w:p>
        </w:tc>
        <w:tc>
          <w:tcPr>
            <w:tcW w:w="1595" w:type="dxa"/>
            <w:tcBorders>
              <w:top w:val="single" w:sz="4" w:space="0" w:color="7030A0"/>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2,59%</w:t>
            </w:r>
          </w:p>
        </w:tc>
        <w:tc>
          <w:tcPr>
            <w:tcW w:w="1701" w:type="dxa"/>
            <w:tcBorders>
              <w:top w:val="single" w:sz="4" w:space="0" w:color="7030A0"/>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3,</w:t>
            </w:r>
            <w:r w:rsidRPr="00C73365">
              <w:rPr>
                <w:rFonts w:asciiTheme="minorHAnsi" w:hAnsiTheme="minorHAnsi" w:cstheme="minorHAnsi"/>
                <w:bCs/>
                <w:color w:val="000000"/>
                <w:sz w:val="18"/>
                <w:szCs w:val="18"/>
                <w:lang w:val="fr-FR" w:eastAsia="fr-FR"/>
              </w:rPr>
              <w:t>19</w:t>
            </w:r>
            <w:r w:rsidRPr="00C73365">
              <w:rPr>
                <w:rFonts w:asciiTheme="minorHAnsi" w:hAnsiTheme="minorHAnsi" w:cstheme="minorHAnsi"/>
                <w:color w:val="000000"/>
                <w:sz w:val="18"/>
                <w:lang w:val="fr-FR"/>
              </w:rPr>
              <w:t>%</w:t>
            </w:r>
          </w:p>
        </w:tc>
        <w:tc>
          <w:tcPr>
            <w:tcW w:w="1701" w:type="dxa"/>
            <w:tcBorders>
              <w:top w:val="single" w:sz="4" w:space="0" w:color="7030A0"/>
              <w:left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2,</w:t>
            </w:r>
            <w:r w:rsidRPr="00C73365">
              <w:rPr>
                <w:rFonts w:asciiTheme="minorHAnsi" w:hAnsiTheme="minorHAnsi" w:cstheme="minorHAnsi"/>
                <w:bCs/>
                <w:color w:val="000000"/>
                <w:sz w:val="18"/>
                <w:szCs w:val="18"/>
                <w:lang w:val="fr-FR" w:eastAsia="fr-FR"/>
              </w:rPr>
              <w:t>75</w:t>
            </w:r>
            <w:r w:rsidRPr="00C73365">
              <w:rPr>
                <w:rFonts w:asciiTheme="minorHAnsi" w:hAnsiTheme="minorHAnsi" w:cstheme="minorHAnsi"/>
                <w:color w:val="000000"/>
                <w:sz w:val="18"/>
                <w:lang w:val="fr-FR"/>
              </w:rPr>
              <w:t>%</w:t>
            </w:r>
          </w:p>
        </w:tc>
      </w:tr>
      <w:tr w:rsidR="00B740A8" w:rsidRPr="00C73365"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Truffle</w:t>
            </w:r>
            <w:r w:rsidRPr="00C73365">
              <w:rPr>
                <w:rFonts w:asciiTheme="minorHAnsi" w:hAnsiTheme="minorHAnsi" w:cstheme="minorHAnsi"/>
                <w:b/>
                <w:bCs/>
                <w:color w:val="000000"/>
                <w:sz w:val="18"/>
                <w:szCs w:val="18"/>
                <w:lang w:val="fr-FR" w:eastAsia="fr-FR"/>
              </w:rPr>
              <w:t xml:space="preserve"> Capital</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5 889 189</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59,22</w:t>
            </w:r>
            <w:r w:rsidRPr="00C73365">
              <w:rPr>
                <w:rFonts w:asciiTheme="minorHAnsi" w:hAnsiTheme="minorHAnsi" w:cstheme="minorHAnsi"/>
                <w:color w:val="000000"/>
                <w:sz w:val="18"/>
                <w:lang w:val="fr-FR"/>
              </w:rPr>
              <w:t>%</w:t>
            </w:r>
          </w:p>
        </w:tc>
        <w:tc>
          <w:tcPr>
            <w:tcW w:w="1701"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72,46</w:t>
            </w:r>
            <w:r w:rsidRPr="00C73365">
              <w:rPr>
                <w:rFonts w:asciiTheme="minorHAnsi" w:hAnsiTheme="minorHAnsi" w:cstheme="minorHAnsi"/>
                <w:color w:val="000000"/>
                <w:sz w:val="18"/>
                <w:lang w:val="fr-FR"/>
              </w:rPr>
              <w:t>%</w:t>
            </w:r>
          </w:p>
        </w:tc>
        <w:tc>
          <w:tcPr>
            <w:tcW w:w="1701" w:type="dxa"/>
            <w:tcBorders>
              <w:top w:val="nil"/>
              <w:left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62,51%</w:t>
            </w:r>
          </w:p>
        </w:tc>
      </w:tr>
      <w:tr w:rsidR="00B740A8" w:rsidRPr="00C73365"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Direction</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45 372</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0,46</w:t>
            </w:r>
            <w:r w:rsidRPr="00C73365">
              <w:rPr>
                <w:rFonts w:asciiTheme="minorHAnsi" w:hAnsiTheme="minorHAnsi" w:cstheme="minorHAnsi"/>
                <w:color w:val="000000"/>
                <w:sz w:val="18"/>
                <w:lang w:val="fr-FR"/>
              </w:rPr>
              <w:t>%</w:t>
            </w:r>
          </w:p>
        </w:tc>
        <w:tc>
          <w:tcPr>
            <w:tcW w:w="1701"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0,28%</w:t>
            </w:r>
          </w:p>
        </w:tc>
        <w:tc>
          <w:tcPr>
            <w:tcW w:w="1701" w:type="dxa"/>
            <w:tcBorders>
              <w:top w:val="nil"/>
              <w:left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4,18%</w:t>
            </w:r>
          </w:p>
        </w:tc>
      </w:tr>
      <w:tr w:rsidR="00B740A8" w:rsidRPr="00C73365"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Conseil d’administration</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446 011</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4,49</w:t>
            </w:r>
            <w:r w:rsidRPr="00C73365">
              <w:rPr>
                <w:rFonts w:asciiTheme="minorHAnsi" w:hAnsiTheme="minorHAnsi" w:cstheme="minorHAnsi"/>
                <w:color w:val="000000"/>
                <w:sz w:val="18"/>
                <w:lang w:val="fr-FR"/>
              </w:rPr>
              <w:t>%</w:t>
            </w:r>
          </w:p>
        </w:tc>
        <w:tc>
          <w:tcPr>
            <w:tcW w:w="1701"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2,76</w:t>
            </w:r>
            <w:r w:rsidRPr="00C73365">
              <w:rPr>
                <w:rFonts w:asciiTheme="minorHAnsi" w:hAnsiTheme="minorHAnsi" w:cstheme="minorHAnsi"/>
                <w:color w:val="000000"/>
                <w:sz w:val="18"/>
                <w:lang w:val="fr-FR"/>
              </w:rPr>
              <w:t>%</w:t>
            </w:r>
          </w:p>
        </w:tc>
        <w:tc>
          <w:tcPr>
            <w:tcW w:w="1701" w:type="dxa"/>
            <w:tcBorders>
              <w:top w:val="nil"/>
              <w:left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4,91%</w:t>
            </w:r>
          </w:p>
        </w:tc>
      </w:tr>
      <w:tr w:rsidR="00B740A8" w:rsidRPr="00C73365"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Salariés</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2 502</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0</w:t>
            </w:r>
            <w:r w:rsidRPr="00C73365">
              <w:rPr>
                <w:rFonts w:asciiTheme="minorHAnsi" w:hAnsiTheme="minorHAnsi" w:cstheme="minorHAnsi"/>
                <w:bCs/>
                <w:color w:val="000000"/>
                <w:sz w:val="18"/>
                <w:szCs w:val="18"/>
                <w:lang w:val="fr-FR" w:eastAsia="fr-FR"/>
              </w:rPr>
              <w:t>,03%</w:t>
            </w:r>
          </w:p>
        </w:tc>
        <w:tc>
          <w:tcPr>
            <w:tcW w:w="1701"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0</w:t>
            </w:r>
            <w:r w:rsidRPr="00C73365">
              <w:rPr>
                <w:rFonts w:asciiTheme="minorHAnsi" w:hAnsiTheme="minorHAnsi" w:cstheme="minorHAnsi"/>
                <w:bCs/>
                <w:color w:val="000000"/>
                <w:sz w:val="18"/>
                <w:szCs w:val="18"/>
                <w:lang w:val="fr-FR" w:eastAsia="fr-FR"/>
              </w:rPr>
              <w:t>,02</w:t>
            </w:r>
            <w:r w:rsidRPr="00C73365">
              <w:rPr>
                <w:rFonts w:asciiTheme="minorHAnsi" w:hAnsiTheme="minorHAnsi" w:cstheme="minorHAnsi"/>
                <w:color w:val="000000"/>
                <w:sz w:val="18"/>
                <w:lang w:val="fr-FR"/>
              </w:rPr>
              <w:t>%</w:t>
            </w:r>
          </w:p>
        </w:tc>
        <w:tc>
          <w:tcPr>
            <w:tcW w:w="1701" w:type="dxa"/>
            <w:tcBorders>
              <w:top w:val="nil"/>
              <w:left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1,08</w:t>
            </w:r>
            <w:r w:rsidRPr="00C73365">
              <w:rPr>
                <w:rFonts w:asciiTheme="minorHAnsi" w:hAnsiTheme="minorHAnsi" w:cstheme="minorHAnsi"/>
                <w:color w:val="000000"/>
                <w:sz w:val="18"/>
                <w:lang w:val="fr-FR"/>
              </w:rPr>
              <w:t>%</w:t>
            </w:r>
          </w:p>
        </w:tc>
      </w:tr>
      <w:tr w:rsidR="00B740A8" w:rsidRPr="00C73365"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Consultants*</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53 527</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0</w:t>
            </w:r>
            <w:r w:rsidRPr="00C73365">
              <w:rPr>
                <w:rFonts w:asciiTheme="minorHAnsi" w:hAnsiTheme="minorHAnsi" w:cstheme="minorHAnsi"/>
                <w:bCs/>
                <w:color w:val="000000"/>
                <w:sz w:val="18"/>
                <w:szCs w:val="18"/>
                <w:lang w:val="fr-FR" w:eastAsia="fr-FR"/>
              </w:rPr>
              <w:t>,54%</w:t>
            </w:r>
          </w:p>
        </w:tc>
        <w:tc>
          <w:tcPr>
            <w:tcW w:w="1701"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0</w:t>
            </w:r>
            <w:r w:rsidRPr="00C73365">
              <w:rPr>
                <w:rFonts w:asciiTheme="minorHAnsi" w:hAnsiTheme="minorHAnsi" w:cstheme="minorHAnsi"/>
                <w:bCs/>
                <w:color w:val="000000"/>
                <w:sz w:val="18"/>
                <w:szCs w:val="18"/>
                <w:lang w:val="fr-FR" w:eastAsia="fr-FR"/>
              </w:rPr>
              <w:t>,37</w:t>
            </w:r>
            <w:r w:rsidRPr="00C73365">
              <w:rPr>
                <w:rFonts w:asciiTheme="minorHAnsi" w:hAnsiTheme="minorHAnsi" w:cstheme="minorHAnsi"/>
                <w:color w:val="000000"/>
                <w:sz w:val="18"/>
                <w:lang w:val="fr-FR"/>
              </w:rPr>
              <w:t>%</w:t>
            </w:r>
          </w:p>
        </w:tc>
        <w:tc>
          <w:tcPr>
            <w:tcW w:w="1701" w:type="dxa"/>
            <w:tcBorders>
              <w:top w:val="nil"/>
              <w:left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1,36</w:t>
            </w:r>
            <w:r w:rsidRPr="00C73365">
              <w:rPr>
                <w:rFonts w:asciiTheme="minorHAnsi" w:hAnsiTheme="minorHAnsi" w:cstheme="minorHAnsi"/>
                <w:color w:val="000000"/>
                <w:sz w:val="18"/>
                <w:lang w:val="fr-FR"/>
              </w:rPr>
              <w:t>%</w:t>
            </w:r>
          </w:p>
        </w:tc>
      </w:tr>
      <w:tr w:rsidR="00B740A8" w:rsidRPr="00C73365"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Autres</w:t>
            </w:r>
            <w:r w:rsidRPr="00C73365">
              <w:rPr>
                <w:rFonts w:asciiTheme="minorHAnsi" w:hAnsiTheme="minorHAnsi" w:cstheme="minorHAnsi"/>
                <w:b/>
                <w:color w:val="000000"/>
                <w:sz w:val="18"/>
                <w:lang w:val="fr-FR"/>
              </w:rPr>
              <w:t>**</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187 883</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1,89</w:t>
            </w:r>
            <w:r w:rsidRPr="00C73365">
              <w:rPr>
                <w:rFonts w:asciiTheme="minorHAnsi" w:hAnsiTheme="minorHAnsi" w:cstheme="minorHAnsi"/>
                <w:color w:val="000000"/>
                <w:sz w:val="18"/>
                <w:lang w:val="fr-FR"/>
              </w:rPr>
              <w:t>%</w:t>
            </w:r>
          </w:p>
        </w:tc>
        <w:tc>
          <w:tcPr>
            <w:tcW w:w="1701"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2,15%</w:t>
            </w:r>
          </w:p>
        </w:tc>
        <w:tc>
          <w:tcPr>
            <w:tcW w:w="1701" w:type="dxa"/>
            <w:tcBorders>
              <w:top w:val="nil"/>
              <w:left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7,01%</w:t>
            </w:r>
          </w:p>
        </w:tc>
      </w:tr>
      <w:tr w:rsidR="00B740A8" w:rsidRPr="00C73365" w:rsidTr="00D1541A">
        <w:trPr>
          <w:trHeight w:val="300"/>
        </w:trPr>
        <w:tc>
          <w:tcPr>
            <w:tcW w:w="3323" w:type="dxa"/>
            <w:tcBorders>
              <w:top w:val="nil"/>
              <w:bottom w:val="nil"/>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Actions auto-détenues</w:t>
            </w:r>
          </w:p>
        </w:tc>
        <w:tc>
          <w:tcPr>
            <w:tcW w:w="1601" w:type="dxa"/>
            <w:tcBorders>
              <w:top w:val="nil"/>
              <w:left w:val="single" w:sz="4" w:space="0" w:color="7030A0"/>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34 000</w:t>
            </w:r>
          </w:p>
        </w:tc>
        <w:tc>
          <w:tcPr>
            <w:tcW w:w="1595" w:type="dxa"/>
            <w:tcBorders>
              <w:top w:val="nil"/>
              <w:left w:val="nil"/>
              <w:bottom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0,34</w:t>
            </w:r>
            <w:r w:rsidRPr="00C73365">
              <w:rPr>
                <w:rFonts w:asciiTheme="minorHAnsi" w:hAnsiTheme="minorHAnsi" w:cstheme="minorHAnsi"/>
                <w:color w:val="000000"/>
                <w:sz w:val="18"/>
                <w:lang w:val="fr-FR"/>
              </w:rPr>
              <w:t>%</w:t>
            </w:r>
          </w:p>
        </w:tc>
        <w:tc>
          <w:tcPr>
            <w:tcW w:w="1701" w:type="dxa"/>
            <w:tcBorders>
              <w:top w:val="nil"/>
              <w:left w:val="nil"/>
              <w:bottom w:val="nil"/>
              <w:right w:val="nil"/>
            </w:tcBorders>
            <w:shd w:val="clear" w:color="auto" w:fill="auto"/>
            <w:noWrap/>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0,00</w:t>
            </w:r>
            <w:r w:rsidRPr="00C73365">
              <w:rPr>
                <w:rFonts w:asciiTheme="minorHAnsi" w:hAnsiTheme="minorHAnsi" w:cstheme="minorHAnsi"/>
                <w:color w:val="000000"/>
                <w:sz w:val="18"/>
                <w:lang w:val="fr-FR"/>
              </w:rPr>
              <w:t>%</w:t>
            </w:r>
          </w:p>
        </w:tc>
        <w:tc>
          <w:tcPr>
            <w:tcW w:w="1701" w:type="dxa"/>
            <w:tcBorders>
              <w:top w:val="nil"/>
              <w:left w:val="nil"/>
              <w:bottom w:val="nil"/>
              <w:right w:val="single" w:sz="4" w:space="0" w:color="7030A0"/>
            </w:tcBorders>
            <w:shd w:val="clear" w:color="auto" w:fill="auto"/>
            <w:noWrap/>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0,00%</w:t>
            </w:r>
          </w:p>
        </w:tc>
      </w:tr>
      <w:tr w:rsidR="00B740A8" w:rsidRPr="00C73365" w:rsidTr="00D1541A">
        <w:trPr>
          <w:trHeight w:val="300"/>
        </w:trPr>
        <w:tc>
          <w:tcPr>
            <w:tcW w:w="3323" w:type="dxa"/>
            <w:tcBorders>
              <w:top w:val="nil"/>
              <w:bottom w:val="single" w:sz="4" w:space="0" w:color="7030A0"/>
              <w:right w:val="single" w:sz="4" w:space="0" w:color="7030A0"/>
            </w:tcBorders>
            <w:shd w:val="clear" w:color="auto" w:fill="auto"/>
            <w:noWrap/>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Flottant</w:t>
            </w:r>
          </w:p>
        </w:tc>
        <w:tc>
          <w:tcPr>
            <w:tcW w:w="1601" w:type="dxa"/>
            <w:tcBorders>
              <w:top w:val="nil"/>
              <w:left w:val="single" w:sz="4" w:space="0" w:color="7030A0"/>
              <w:bottom w:val="single" w:sz="4" w:space="0" w:color="7030A0"/>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3 028 147</w:t>
            </w:r>
          </w:p>
        </w:tc>
        <w:tc>
          <w:tcPr>
            <w:tcW w:w="1595" w:type="dxa"/>
            <w:tcBorders>
              <w:top w:val="nil"/>
              <w:left w:val="nil"/>
              <w:bottom w:val="single" w:sz="4" w:space="0" w:color="7030A0"/>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30,45</w:t>
            </w:r>
            <w:r w:rsidRPr="00C73365">
              <w:rPr>
                <w:rFonts w:asciiTheme="minorHAnsi" w:hAnsiTheme="minorHAnsi" w:cstheme="minorHAnsi"/>
                <w:color w:val="000000"/>
                <w:sz w:val="18"/>
                <w:lang w:val="fr-FR"/>
              </w:rPr>
              <w:t>%</w:t>
            </w:r>
          </w:p>
        </w:tc>
        <w:tc>
          <w:tcPr>
            <w:tcW w:w="1701" w:type="dxa"/>
            <w:tcBorders>
              <w:top w:val="nil"/>
              <w:left w:val="nil"/>
              <w:bottom w:val="single" w:sz="4" w:space="0" w:color="7030A0"/>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bCs/>
                <w:color w:val="000000"/>
                <w:sz w:val="18"/>
                <w:szCs w:val="18"/>
                <w:lang w:val="fr-FR" w:eastAsia="fr-FR"/>
              </w:rPr>
              <w:t>18,77</w:t>
            </w:r>
            <w:r w:rsidRPr="00C73365">
              <w:rPr>
                <w:rFonts w:asciiTheme="minorHAnsi" w:hAnsiTheme="minorHAnsi" w:cstheme="minorHAnsi"/>
                <w:color w:val="000000"/>
                <w:sz w:val="18"/>
                <w:lang w:val="fr-FR"/>
              </w:rPr>
              <w:t>%</w:t>
            </w:r>
          </w:p>
        </w:tc>
        <w:tc>
          <w:tcPr>
            <w:tcW w:w="1701" w:type="dxa"/>
            <w:tcBorders>
              <w:top w:val="nil"/>
              <w:left w:val="nil"/>
              <w:bottom w:val="single" w:sz="4" w:space="0" w:color="7030A0"/>
              <w:right w:val="single" w:sz="4" w:space="0" w:color="7030A0"/>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16,19%</w:t>
            </w:r>
          </w:p>
        </w:tc>
      </w:tr>
      <w:tr w:rsidR="00B740A8" w:rsidRPr="00C73365" w:rsidTr="00D1541A">
        <w:trPr>
          <w:trHeight w:val="300"/>
        </w:trPr>
        <w:tc>
          <w:tcPr>
            <w:tcW w:w="3323" w:type="dxa"/>
            <w:tcBorders>
              <w:top w:val="single" w:sz="4" w:space="0" w:color="7030A0"/>
            </w:tcBorders>
            <w:shd w:val="clear" w:color="auto" w:fill="auto"/>
            <w:noWrap/>
            <w:tcMar>
              <w:top w:w="0" w:type="dxa"/>
              <w:left w:w="108" w:type="dxa"/>
              <w:bottom w:w="0" w:type="dxa"/>
              <w:right w:w="108" w:type="dxa"/>
            </w:tcMar>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Total</w:t>
            </w:r>
          </w:p>
        </w:tc>
        <w:tc>
          <w:tcPr>
            <w:tcW w:w="1601" w:type="dxa"/>
            <w:tcBorders>
              <w:top w:val="single" w:sz="4" w:space="0" w:color="7030A0"/>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9</w:t>
            </w:r>
            <w:r w:rsidRPr="00C73365">
              <w:rPr>
                <w:rFonts w:asciiTheme="minorHAnsi" w:hAnsiTheme="minorHAnsi" w:cstheme="minorHAnsi"/>
                <w:bCs/>
                <w:color w:val="000000"/>
                <w:sz w:val="18"/>
                <w:szCs w:val="18"/>
                <w:lang w:val="fr-FR" w:eastAsia="fr-FR"/>
              </w:rPr>
              <w:t xml:space="preserve"> 904 231</w:t>
            </w:r>
          </w:p>
        </w:tc>
        <w:tc>
          <w:tcPr>
            <w:tcW w:w="1595" w:type="dxa"/>
            <w:tcBorders>
              <w:top w:val="single" w:sz="4" w:space="0" w:color="7030A0"/>
              <w:left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100</w:t>
            </w:r>
            <w:r w:rsidRPr="00C73365">
              <w:rPr>
                <w:rFonts w:asciiTheme="minorHAnsi" w:hAnsiTheme="minorHAnsi" w:cstheme="minorHAnsi"/>
                <w:bCs/>
                <w:color w:val="000000"/>
                <w:sz w:val="18"/>
                <w:szCs w:val="18"/>
                <w:lang w:val="fr-FR" w:eastAsia="fr-FR"/>
              </w:rPr>
              <w:t>,00</w:t>
            </w:r>
            <w:r w:rsidRPr="00C73365">
              <w:rPr>
                <w:rFonts w:asciiTheme="minorHAnsi" w:hAnsiTheme="minorHAnsi" w:cstheme="minorHAnsi"/>
                <w:color w:val="000000"/>
                <w:sz w:val="18"/>
                <w:lang w:val="fr-FR"/>
              </w:rPr>
              <w:t>%</w:t>
            </w:r>
          </w:p>
        </w:tc>
        <w:tc>
          <w:tcPr>
            <w:tcW w:w="1701" w:type="dxa"/>
            <w:tcBorders>
              <w:top w:val="single" w:sz="4" w:space="0" w:color="7030A0"/>
              <w:left w:val="nil"/>
              <w:righ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100</w:t>
            </w:r>
            <w:r w:rsidRPr="00C73365">
              <w:rPr>
                <w:rFonts w:asciiTheme="minorHAnsi" w:hAnsiTheme="minorHAnsi" w:cstheme="minorHAnsi"/>
                <w:bCs/>
                <w:color w:val="000000"/>
                <w:sz w:val="18"/>
                <w:szCs w:val="18"/>
                <w:lang w:val="fr-FR" w:eastAsia="fr-FR"/>
              </w:rPr>
              <w:t>,00</w:t>
            </w:r>
            <w:r w:rsidRPr="00C73365">
              <w:rPr>
                <w:rFonts w:asciiTheme="minorHAnsi" w:hAnsiTheme="minorHAnsi" w:cstheme="minorHAnsi"/>
                <w:color w:val="000000"/>
                <w:sz w:val="18"/>
                <w:lang w:val="fr-FR"/>
              </w:rPr>
              <w:t>%</w:t>
            </w:r>
          </w:p>
        </w:tc>
        <w:tc>
          <w:tcPr>
            <w:tcW w:w="1701" w:type="dxa"/>
            <w:tcBorders>
              <w:top w:val="single" w:sz="4" w:space="0" w:color="7030A0"/>
              <w:left w:val="nil"/>
            </w:tcBorders>
            <w:shd w:val="clear" w:color="auto" w:fill="auto"/>
            <w:tcMar>
              <w:top w:w="0" w:type="dxa"/>
              <w:left w:w="108" w:type="dxa"/>
              <w:bottom w:w="0" w:type="dxa"/>
              <w:right w:w="108" w:type="dxa"/>
            </w:tcMar>
            <w:vAlign w:val="center"/>
            <w:hideMark/>
          </w:tcPr>
          <w:p w:rsidR="00B740A8" w:rsidRPr="00C73365" w:rsidRDefault="00B740A8" w:rsidP="00D1541A">
            <w:pPr>
              <w:jc w:val="right"/>
              <w:rPr>
                <w:rFonts w:asciiTheme="minorHAnsi" w:hAnsiTheme="minorHAnsi" w:cstheme="minorHAnsi"/>
                <w:bCs/>
                <w:color w:val="000000"/>
                <w:sz w:val="18"/>
                <w:szCs w:val="18"/>
                <w:lang w:val="fr-FR" w:eastAsia="fr-FR"/>
              </w:rPr>
            </w:pPr>
            <w:r w:rsidRPr="00C73365">
              <w:rPr>
                <w:rFonts w:asciiTheme="minorHAnsi" w:hAnsiTheme="minorHAnsi" w:cstheme="minorHAnsi"/>
                <w:bCs/>
                <w:color w:val="000000"/>
                <w:sz w:val="18"/>
                <w:szCs w:val="18"/>
                <w:lang w:val="fr-FR" w:eastAsia="fr-FR"/>
              </w:rPr>
              <w:t>100,00%</w:t>
            </w:r>
          </w:p>
        </w:tc>
      </w:tr>
    </w:tbl>
    <w:p w:rsidR="00B740A8" w:rsidRPr="00C93577" w:rsidRDefault="00C73365" w:rsidP="00C73365">
      <w:pPr>
        <w:pStyle w:val="ListBullet"/>
        <w:numPr>
          <w:ilvl w:val="0"/>
          <w:numId w:val="0"/>
        </w:numPr>
        <w:spacing w:after="0"/>
        <w:rPr>
          <w:rFonts w:asciiTheme="minorHAnsi" w:hAnsiTheme="minorHAnsi" w:cstheme="minorHAnsi"/>
          <w:color w:val="000000"/>
          <w:lang w:val="fr-FR"/>
        </w:rPr>
      </w:pPr>
      <w:r w:rsidRPr="00C93577">
        <w:rPr>
          <w:rFonts w:asciiTheme="minorHAnsi" w:hAnsiTheme="minorHAnsi" w:cstheme="minorHAnsi"/>
          <w:lang w:val="fr-FR"/>
        </w:rPr>
        <w:t>*</w:t>
      </w:r>
      <w:r w:rsidR="00B740A8" w:rsidRPr="00C93577">
        <w:rPr>
          <w:rFonts w:asciiTheme="minorHAnsi" w:hAnsiTheme="minorHAnsi" w:cstheme="minorHAnsi"/>
          <w:lang w:val="fr-FR"/>
        </w:rPr>
        <w:t xml:space="preserve">Consultants : ce sont toutes les personnes qui ont un contrat de consultant avec </w:t>
      </w:r>
      <w:r w:rsidR="00EF089C" w:rsidRPr="00C93577">
        <w:rPr>
          <w:rFonts w:asciiTheme="minorHAnsi" w:hAnsiTheme="minorHAnsi" w:cstheme="minorHAnsi"/>
          <w:lang w:val="fr-FR"/>
        </w:rPr>
        <w:t>ABIVAX</w:t>
      </w:r>
      <w:r w:rsidR="00B740A8" w:rsidRPr="00C93577">
        <w:rPr>
          <w:rFonts w:asciiTheme="minorHAnsi" w:hAnsiTheme="minorHAnsi" w:cstheme="minorHAnsi"/>
          <w:lang w:val="fr-FR"/>
        </w:rPr>
        <w:t>.</w:t>
      </w:r>
    </w:p>
    <w:p w:rsidR="00B740A8" w:rsidRPr="00C73365" w:rsidRDefault="00B740A8" w:rsidP="00C73365">
      <w:pPr>
        <w:pStyle w:val="BodyText"/>
        <w:spacing w:after="0"/>
        <w:rPr>
          <w:rFonts w:asciiTheme="minorHAnsi" w:hAnsiTheme="minorHAnsi" w:cstheme="minorHAnsi"/>
          <w:i/>
          <w:lang w:val="fr-FR" w:eastAsia="fr-FR"/>
        </w:rPr>
      </w:pPr>
      <w:r w:rsidRPr="00C73365">
        <w:rPr>
          <w:rFonts w:asciiTheme="minorHAnsi" w:hAnsiTheme="minorHAnsi" w:cstheme="minorHAnsi"/>
          <w:i/>
          <w:lang w:val="fr-FR" w:eastAsia="fr-FR"/>
        </w:rPr>
        <w:t xml:space="preserve">** </w:t>
      </w:r>
      <w:r w:rsidRPr="00C73365">
        <w:rPr>
          <w:rFonts w:asciiTheme="minorHAnsi" w:hAnsiTheme="minorHAnsi" w:cstheme="minorHAnsi"/>
          <w:lang w:val="fr-FR" w:eastAsia="fr-FR"/>
        </w:rPr>
        <w:t>Autres : les actionnaires minoritaires historiques ou titulaires de BSA/</w:t>
      </w:r>
      <w:r w:rsidR="00656913">
        <w:rPr>
          <w:rFonts w:asciiTheme="minorHAnsi" w:hAnsiTheme="minorHAnsi" w:cstheme="minorHAnsi"/>
          <w:lang w:val="fr-FR" w:eastAsia="fr-FR"/>
        </w:rPr>
        <w:t>BCE</w:t>
      </w:r>
      <w:r w:rsidRPr="00C73365">
        <w:rPr>
          <w:rFonts w:asciiTheme="minorHAnsi" w:hAnsiTheme="minorHAnsi" w:cstheme="minorHAnsi"/>
          <w:lang w:val="fr-FR" w:eastAsia="fr-FR"/>
        </w:rPr>
        <w:t xml:space="preserve"> ainsi que des anciens salariés de la Société, des anciens membres du conseil ou certains membres des comités.</w:t>
      </w:r>
    </w:p>
    <w:p w:rsidR="00B740A8" w:rsidRPr="00C73365" w:rsidRDefault="00B740A8" w:rsidP="004572A0">
      <w:pPr>
        <w:pStyle w:val="BodyText"/>
        <w:rPr>
          <w:rFonts w:asciiTheme="minorHAnsi" w:hAnsiTheme="minorHAnsi" w:cstheme="minorHAnsi"/>
          <w:lang w:val="fr-FR"/>
        </w:rPr>
        <w:sectPr w:rsidR="00B740A8" w:rsidRPr="00C73365" w:rsidSect="00D1541A">
          <w:headerReference w:type="even" r:id="rId88"/>
          <w:footerReference w:type="even" r:id="rId89"/>
          <w:pgSz w:w="11907" w:h="16840" w:code="9"/>
          <w:pgMar w:top="1134" w:right="1134" w:bottom="1134" w:left="1134" w:header="709" w:footer="709" w:gutter="0"/>
          <w:cols w:space="708"/>
          <w:docGrid w:linePitch="360"/>
        </w:sectPr>
      </w:pPr>
    </w:p>
    <w:p w:rsidR="00B740A8" w:rsidRPr="00C73365" w:rsidRDefault="00B740A8" w:rsidP="00B740A8">
      <w:pPr>
        <w:rPr>
          <w:rFonts w:asciiTheme="minorHAnsi" w:hAnsiTheme="minorHAnsi" w:cstheme="minorHAnsi"/>
          <w:highlight w:val="yellow"/>
          <w:lang w:val="fr-FR"/>
        </w:rPr>
      </w:pPr>
      <w:bookmarkStart w:id="993" w:name="_Toc401594125"/>
    </w:p>
    <w:p w:rsidR="00B740A8" w:rsidRPr="00C73365" w:rsidRDefault="00B740A8" w:rsidP="00B740A8">
      <w:pPr>
        <w:pStyle w:val="ConmainL3"/>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Actionnaires significatifs non représentés au conseil d’administration</w:t>
      </w:r>
    </w:p>
    <w:p w:rsidR="00C73365" w:rsidRPr="00C73365" w:rsidRDefault="00C73365" w:rsidP="004572A0">
      <w:pPr>
        <w:pStyle w:val="BodyText"/>
        <w:rPr>
          <w:rFonts w:asciiTheme="minorHAnsi" w:hAnsiTheme="minorHAnsi" w:cstheme="minorHAnsi"/>
          <w:szCs w:val="24"/>
          <w:highlight w:val="yellow"/>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A la connaissance de la Société, aucun autre actionnaire détenant directement ou indirectement plus de 5% du capital social de la Société est non représenté au conseil d’administration</w:t>
      </w:r>
    </w:p>
    <w:p w:rsidR="00B740A8" w:rsidRPr="00C73365" w:rsidRDefault="00B740A8" w:rsidP="00B740A8">
      <w:pPr>
        <w:pStyle w:val="ConmainL3"/>
        <w:numPr>
          <w:ilvl w:val="2"/>
          <w:numId w:val="9"/>
        </w:num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t>Opérations récentes sur le capital de la Société</w:t>
      </w:r>
    </w:p>
    <w:p w:rsidR="00B740A8" w:rsidRPr="00C73365" w:rsidRDefault="00B740A8" w:rsidP="00B740A8">
      <w:pPr>
        <w:rPr>
          <w:rFonts w:asciiTheme="minorHAnsi" w:hAnsiTheme="minorHAnsi" w:cstheme="minorHAnsi"/>
          <w:highlight w:val="yellow"/>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cours de l’exercice 2017, différentes opérations sur le capital sont intervenues :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Le 17 mars 2017, 39.400 actions de la Société ont été souscrites par exercice de 394 BSA-2014-1.</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Le 1</w:t>
      </w:r>
      <w:r w:rsidRPr="00C93577">
        <w:rPr>
          <w:rFonts w:asciiTheme="minorHAnsi" w:hAnsiTheme="minorHAnsi" w:cstheme="minorHAnsi"/>
          <w:vertAlign w:val="superscript"/>
          <w:lang w:val="fr-FR"/>
        </w:rPr>
        <w:t>er</w:t>
      </w:r>
      <w:r w:rsidRPr="00C93577">
        <w:rPr>
          <w:rFonts w:asciiTheme="minorHAnsi" w:hAnsiTheme="minorHAnsi" w:cstheme="minorHAnsi"/>
          <w:lang w:val="fr-FR"/>
        </w:rPr>
        <w:t xml:space="preserve"> août 2017, 47.340 actions de la Société ont été souscrites par exercice de 473 BSA-2014-4 et 10.000 actions par exercice de 100 BCE-2014-4.</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 xml:space="preserve">Le 28 </w:t>
      </w:r>
      <w:r w:rsidR="00E73A7C">
        <w:rPr>
          <w:rFonts w:asciiTheme="minorHAnsi" w:hAnsiTheme="minorHAnsi" w:cstheme="minorHAnsi"/>
          <w:lang w:val="fr-FR"/>
        </w:rPr>
        <w:t>septembre</w:t>
      </w:r>
      <w:r w:rsidRPr="00C93577">
        <w:rPr>
          <w:rFonts w:asciiTheme="minorHAnsi" w:hAnsiTheme="minorHAnsi" w:cstheme="minorHAnsi"/>
          <w:lang w:val="fr-FR"/>
        </w:rPr>
        <w:t xml:space="preserve"> 2017, le Directeur général a souscrit à 40.000 actions par exercice de 400 BCE-2014-2.</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Le 29 octobre 2017, 2.900 actions de la Société ont été souscrites par exercice de 29 BSA-2014-7.</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Le 20 décembre 2017, 2.500 actions de la Société ont été souscrites par exercice de 2.500 BCE-2016-1.</w:t>
      </w:r>
    </w:p>
    <w:p w:rsidR="00B740A8" w:rsidRPr="00C93577" w:rsidRDefault="00B740A8" w:rsidP="00B740A8">
      <w:pPr>
        <w:pStyle w:val="ListBullet"/>
        <w:rPr>
          <w:rFonts w:asciiTheme="minorHAnsi" w:hAnsiTheme="minorHAnsi" w:cstheme="minorHAnsi"/>
          <w:lang w:val="fr-FR"/>
        </w:rPr>
      </w:pPr>
      <w:r w:rsidRPr="00C93577">
        <w:rPr>
          <w:rFonts w:asciiTheme="minorHAnsi" w:hAnsiTheme="minorHAnsi" w:cstheme="minorHAnsi"/>
          <w:lang w:val="fr-FR"/>
        </w:rPr>
        <w:t xml:space="preserve">Par ailleurs, en </w:t>
      </w:r>
      <w:r w:rsidR="00E73A7C">
        <w:rPr>
          <w:rFonts w:asciiTheme="minorHAnsi" w:hAnsiTheme="minorHAnsi" w:cstheme="minorHAnsi"/>
          <w:lang w:val="fr-FR"/>
        </w:rPr>
        <w:t>septembre</w:t>
      </w:r>
      <w:r w:rsidRPr="00C93577">
        <w:rPr>
          <w:rFonts w:asciiTheme="minorHAnsi" w:hAnsiTheme="minorHAnsi" w:cstheme="minorHAnsi"/>
          <w:lang w:val="fr-FR"/>
        </w:rPr>
        <w:t xml:space="preserve"> et octobre 2017, deux augmentations de capital résultant de l’exercice de BSA Kepler</w:t>
      </w:r>
      <w:r w:rsidR="00C73365" w:rsidRPr="00C93577">
        <w:rPr>
          <w:rFonts w:asciiTheme="minorHAnsi" w:hAnsiTheme="minorHAnsi" w:cstheme="minorHAnsi"/>
          <w:lang w:val="fr-FR"/>
        </w:rPr>
        <w:t xml:space="preserve"> Cheuvreux</w:t>
      </w:r>
      <w:r w:rsidRPr="00C93577">
        <w:rPr>
          <w:rFonts w:asciiTheme="minorHAnsi" w:hAnsiTheme="minorHAnsi" w:cstheme="minorHAnsi"/>
          <w:lang w:val="fr-FR"/>
        </w:rPr>
        <w:t xml:space="preserve"> correspondant à une ligne de financement en fonds propres ont conduit à la création de 60 000 actions nouvelles de la Société.</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cours de l’exercice 2018 : </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 xml:space="preserve">Le 14 février 2018, une action de la Société a été souscrite par exercice d’1 </w:t>
      </w:r>
      <w:r w:rsidR="00656913">
        <w:rPr>
          <w:rFonts w:asciiTheme="minorHAnsi" w:hAnsiTheme="minorHAnsi" w:cstheme="minorHAnsi"/>
          <w:lang w:val="fr-FR"/>
        </w:rPr>
        <w:t>BCE</w:t>
      </w:r>
      <w:r w:rsidRPr="00C93577">
        <w:rPr>
          <w:rFonts w:asciiTheme="minorHAnsi" w:hAnsiTheme="minorHAnsi" w:cstheme="minorHAnsi"/>
          <w:lang w:val="fr-FR"/>
        </w:rPr>
        <w:t xml:space="preserve"> 2016-1.</w:t>
      </w:r>
    </w:p>
    <w:p w:rsidR="00B740A8" w:rsidRPr="00C93577" w:rsidRDefault="00B740A8" w:rsidP="004572A0">
      <w:pPr>
        <w:pStyle w:val="ListBullet"/>
        <w:rPr>
          <w:rFonts w:asciiTheme="minorHAnsi" w:hAnsiTheme="minorHAnsi" w:cstheme="minorHAnsi"/>
          <w:lang w:val="fr-FR"/>
        </w:rPr>
      </w:pPr>
      <w:r w:rsidRPr="00C93577">
        <w:rPr>
          <w:rFonts w:asciiTheme="minorHAnsi" w:hAnsiTheme="minorHAnsi" w:cstheme="minorHAnsi"/>
          <w:lang w:val="fr-FR"/>
        </w:rPr>
        <w:t xml:space="preserve">Le 20 mars 2018, le Directeur </w:t>
      </w:r>
      <w:r w:rsidR="00C73365" w:rsidRPr="00C93577">
        <w:rPr>
          <w:rFonts w:asciiTheme="minorHAnsi" w:hAnsiTheme="minorHAnsi" w:cstheme="minorHAnsi"/>
          <w:lang w:val="fr-FR"/>
        </w:rPr>
        <w:t>G</w:t>
      </w:r>
      <w:r w:rsidRPr="00C93577">
        <w:rPr>
          <w:rFonts w:asciiTheme="minorHAnsi" w:hAnsiTheme="minorHAnsi" w:cstheme="minorHAnsi"/>
          <w:lang w:val="fr-FR"/>
        </w:rPr>
        <w:t xml:space="preserve">énéral a souscrit à 40.000 actions par exercice de 400 BCE-2014-2 et une action de la Société a été souscrite par exercice d’1 </w:t>
      </w:r>
      <w:r w:rsidR="00656913">
        <w:rPr>
          <w:rFonts w:asciiTheme="minorHAnsi" w:hAnsiTheme="minorHAnsi" w:cstheme="minorHAnsi"/>
          <w:lang w:val="fr-FR"/>
        </w:rPr>
        <w:t>BCE</w:t>
      </w:r>
      <w:r w:rsidRPr="00C93577">
        <w:rPr>
          <w:rFonts w:asciiTheme="minorHAnsi" w:hAnsiTheme="minorHAnsi" w:cstheme="minorHAnsi"/>
          <w:lang w:val="fr-FR"/>
        </w:rPr>
        <w:t xml:space="preserve"> 2016-1.</w:t>
      </w:r>
    </w:p>
    <w:p w:rsidR="00B740A8" w:rsidRPr="00C73365" w:rsidRDefault="00B740A8" w:rsidP="00B740A8">
      <w:pPr>
        <w:rPr>
          <w:rFonts w:asciiTheme="minorHAnsi" w:hAnsiTheme="minorHAnsi" w:cstheme="minorHAnsi"/>
          <w:lang w:val="fr-FR"/>
        </w:rPr>
      </w:pPr>
    </w:p>
    <w:p w:rsidR="00B740A8" w:rsidRPr="00C73365" w:rsidRDefault="00B740A8" w:rsidP="00B740A8">
      <w:pPr>
        <w:rPr>
          <w:rFonts w:asciiTheme="minorHAnsi" w:hAnsiTheme="minorHAnsi" w:cstheme="minorHAnsi"/>
          <w:highlight w:val="yellow"/>
          <w:lang w:val="fr-FR"/>
        </w:rPr>
      </w:pPr>
    </w:p>
    <w:p w:rsidR="00B740A8" w:rsidRPr="00C73365" w:rsidRDefault="00B740A8" w:rsidP="00B740A8">
      <w:pPr>
        <w:spacing w:after="160" w:line="259" w:lineRule="auto"/>
        <w:rPr>
          <w:rFonts w:asciiTheme="minorHAnsi" w:hAnsiTheme="minorHAnsi" w:cstheme="minorHAnsi"/>
          <w:highlight w:val="yellow"/>
          <w:lang w:val="fr-FR"/>
        </w:rPr>
      </w:pPr>
      <w:r w:rsidRPr="00C73365">
        <w:rPr>
          <w:rFonts w:asciiTheme="minorHAnsi" w:hAnsiTheme="minorHAnsi" w:cstheme="minorHAnsi"/>
          <w:highlight w:val="yellow"/>
          <w:lang w:val="fr-FR"/>
        </w:rPr>
        <w:br w:type="page"/>
      </w:r>
    </w:p>
    <w:p w:rsidR="00B740A8" w:rsidRPr="00C73365" w:rsidRDefault="00B740A8" w:rsidP="00B740A8">
      <w:pPr>
        <w:rPr>
          <w:rFonts w:asciiTheme="minorHAnsi" w:hAnsiTheme="minorHAnsi" w:cstheme="minorHAnsi"/>
          <w:highlight w:val="yellow"/>
          <w:lang w:val="fr-FR"/>
        </w:rPr>
      </w:pPr>
    </w:p>
    <w:p w:rsidR="00B740A8" w:rsidRPr="00C73365" w:rsidRDefault="00B740A8" w:rsidP="00B740A8">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Historique de la répartition du capital et des droits de vote </w:t>
      </w:r>
    </w:p>
    <w:p w:rsidR="00B740A8" w:rsidRPr="00C73365" w:rsidRDefault="00B740A8" w:rsidP="00B740A8">
      <w:pPr>
        <w:pStyle w:val="ListParagraph"/>
        <w:ind w:left="1980"/>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Le tableau ci-dessous indique l’évolution de la répartition du capital et des droits de vote de la Société au 31 décembre 2015, 31 décembre 2016 et 31 décembre 2017 :</w:t>
      </w:r>
    </w:p>
    <w:p w:rsidR="00B740A8" w:rsidRPr="00C73365" w:rsidRDefault="00B740A8" w:rsidP="00B740A8">
      <w:pPr>
        <w:rPr>
          <w:rFonts w:asciiTheme="minorHAnsi" w:hAnsiTheme="minorHAnsi" w:cstheme="minorHAnsi"/>
          <w:b/>
          <w:color w:val="7030A0"/>
          <w:highlight w:val="yellow"/>
          <w:lang w:val="fr-FR"/>
        </w:rPr>
      </w:pPr>
    </w:p>
    <w:tbl>
      <w:tblPr>
        <w:tblW w:w="10773"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CellMar>
          <w:left w:w="70" w:type="dxa"/>
          <w:right w:w="70" w:type="dxa"/>
        </w:tblCellMar>
        <w:tblLook w:val="04A0" w:firstRow="1" w:lastRow="0" w:firstColumn="1" w:lastColumn="0" w:noHBand="0" w:noVBand="1"/>
      </w:tblPr>
      <w:tblGrid>
        <w:gridCol w:w="1029"/>
        <w:gridCol w:w="787"/>
        <w:gridCol w:w="788"/>
        <w:gridCol w:w="940"/>
        <w:gridCol w:w="639"/>
        <w:gridCol w:w="789"/>
        <w:gridCol w:w="789"/>
        <w:gridCol w:w="901"/>
        <w:gridCol w:w="679"/>
        <w:gridCol w:w="860"/>
        <w:gridCol w:w="860"/>
        <w:gridCol w:w="860"/>
        <w:gridCol w:w="852"/>
      </w:tblGrid>
      <w:tr w:rsidR="00B740A8" w:rsidRPr="00C73365" w:rsidTr="00D1541A">
        <w:trPr>
          <w:trHeight w:val="406"/>
          <w:jc w:val="center"/>
        </w:trPr>
        <w:tc>
          <w:tcPr>
            <w:tcW w:w="1029" w:type="dxa"/>
            <w:vMerge w:val="restart"/>
            <w:shd w:val="clear" w:color="auto" w:fill="auto"/>
            <w:vAlign w:val="center"/>
            <w:hideMark/>
          </w:tcPr>
          <w:p w:rsidR="00B740A8" w:rsidRPr="00C73365" w:rsidRDefault="00B740A8" w:rsidP="00D1541A">
            <w:pP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Actionnaires</w:t>
            </w:r>
          </w:p>
        </w:tc>
        <w:tc>
          <w:tcPr>
            <w:tcW w:w="3154" w:type="dxa"/>
            <w:gridSpan w:val="4"/>
            <w:shd w:val="clear" w:color="auto" w:fill="auto"/>
            <w:noWrap/>
            <w:vAlign w:val="center"/>
            <w:hideMark/>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Au 31/12/</w:t>
            </w:r>
            <w:r w:rsidRPr="00C73365">
              <w:rPr>
                <w:rFonts w:asciiTheme="minorHAnsi" w:hAnsiTheme="minorHAnsi" w:cstheme="minorHAnsi"/>
                <w:b/>
                <w:bCs/>
                <w:color w:val="000000"/>
                <w:sz w:val="15"/>
                <w:szCs w:val="15"/>
                <w:lang w:val="fr-FR" w:eastAsia="fr-FR"/>
              </w:rPr>
              <w:t>2015</w:t>
            </w:r>
          </w:p>
        </w:tc>
        <w:tc>
          <w:tcPr>
            <w:tcW w:w="3158" w:type="dxa"/>
            <w:gridSpan w:val="4"/>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Au 31/12/</w:t>
            </w:r>
            <w:r w:rsidRPr="00C73365">
              <w:rPr>
                <w:rFonts w:asciiTheme="minorHAnsi" w:hAnsiTheme="minorHAnsi" w:cstheme="minorHAnsi"/>
                <w:b/>
                <w:bCs/>
                <w:color w:val="000000"/>
                <w:sz w:val="15"/>
                <w:szCs w:val="15"/>
                <w:lang w:val="fr-FR" w:eastAsia="fr-FR"/>
              </w:rPr>
              <w:t>2016</w:t>
            </w:r>
          </w:p>
        </w:tc>
        <w:tc>
          <w:tcPr>
            <w:tcW w:w="3432" w:type="dxa"/>
            <w:gridSpan w:val="4"/>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Au 31/12/</w:t>
            </w:r>
            <w:r w:rsidRPr="00C73365">
              <w:rPr>
                <w:rFonts w:asciiTheme="minorHAnsi" w:hAnsiTheme="minorHAnsi" w:cstheme="minorHAnsi"/>
                <w:b/>
                <w:bCs/>
                <w:color w:val="000000"/>
                <w:sz w:val="15"/>
                <w:szCs w:val="15"/>
                <w:lang w:val="fr-FR" w:eastAsia="fr-FR"/>
              </w:rPr>
              <w:t>2017</w:t>
            </w:r>
          </w:p>
        </w:tc>
      </w:tr>
      <w:tr w:rsidR="00B740A8" w:rsidRPr="008C1A4A" w:rsidTr="00D1541A">
        <w:trPr>
          <w:trHeight w:val="1168"/>
          <w:jc w:val="center"/>
        </w:trPr>
        <w:tc>
          <w:tcPr>
            <w:tcW w:w="1029" w:type="dxa"/>
            <w:vMerge/>
            <w:vAlign w:val="center"/>
            <w:hideMark/>
          </w:tcPr>
          <w:p w:rsidR="00B740A8" w:rsidRPr="00C73365" w:rsidRDefault="00B740A8" w:rsidP="00D1541A">
            <w:pPr>
              <w:rPr>
                <w:rFonts w:asciiTheme="minorHAnsi" w:hAnsiTheme="minorHAnsi" w:cstheme="minorHAnsi"/>
                <w:b/>
                <w:color w:val="000000"/>
                <w:sz w:val="15"/>
                <w:lang w:val="fr-FR"/>
              </w:rPr>
            </w:pPr>
          </w:p>
        </w:tc>
        <w:tc>
          <w:tcPr>
            <w:tcW w:w="787" w:type="dxa"/>
            <w:shd w:val="clear" w:color="auto" w:fill="auto"/>
            <w:vAlign w:val="center"/>
            <w:hideMark/>
          </w:tcPr>
          <w:p w:rsidR="00B740A8" w:rsidRPr="00C73365" w:rsidRDefault="00B740A8" w:rsidP="00D1541A">
            <w:pPr>
              <w:jc w:val="center"/>
              <w:rPr>
                <w:rFonts w:asciiTheme="minorHAnsi" w:hAnsiTheme="minorHAnsi" w:cstheme="minorHAnsi"/>
                <w:b/>
                <w:bCs/>
                <w:color w:val="000000"/>
                <w:sz w:val="15"/>
                <w:szCs w:val="15"/>
                <w:lang w:val="fr-FR" w:eastAsia="fr-FR"/>
              </w:rPr>
            </w:pPr>
            <w:r w:rsidRPr="00C73365">
              <w:rPr>
                <w:rFonts w:asciiTheme="minorHAnsi" w:hAnsiTheme="minorHAnsi" w:cstheme="minorHAnsi"/>
                <w:b/>
                <w:bCs/>
                <w:color w:val="000000"/>
                <w:sz w:val="15"/>
                <w:szCs w:val="15"/>
                <w:lang w:val="fr-FR" w:eastAsia="fr-FR"/>
              </w:rPr>
              <w:t>Nombre d’actions (capital non dilué)</w:t>
            </w:r>
          </w:p>
        </w:tc>
        <w:tc>
          <w:tcPr>
            <w:tcW w:w="788" w:type="dxa"/>
            <w:shd w:val="clear" w:color="auto" w:fill="auto"/>
            <w:vAlign w:val="center"/>
            <w:hideMark/>
          </w:tcPr>
          <w:p w:rsidR="00B740A8" w:rsidRPr="00C73365" w:rsidRDefault="00B740A8" w:rsidP="00D1541A">
            <w:pPr>
              <w:jc w:val="center"/>
              <w:rPr>
                <w:rFonts w:asciiTheme="minorHAnsi" w:hAnsiTheme="minorHAnsi" w:cstheme="minorHAnsi"/>
                <w:b/>
                <w:bCs/>
                <w:color w:val="000000"/>
                <w:sz w:val="15"/>
                <w:szCs w:val="15"/>
                <w:lang w:val="fr-FR" w:eastAsia="fr-FR"/>
              </w:rPr>
            </w:pPr>
            <w:r w:rsidRPr="00C73365">
              <w:rPr>
                <w:rFonts w:asciiTheme="minorHAnsi" w:hAnsiTheme="minorHAnsi" w:cstheme="minorHAnsi"/>
                <w:b/>
                <w:bCs/>
                <w:color w:val="000000"/>
                <w:sz w:val="15"/>
                <w:szCs w:val="15"/>
                <w:lang w:val="fr-FR" w:eastAsia="fr-FR"/>
              </w:rPr>
              <w:t>% du capital (non dilué)</w:t>
            </w:r>
          </w:p>
        </w:tc>
        <w:tc>
          <w:tcPr>
            <w:tcW w:w="940" w:type="dxa"/>
            <w:shd w:val="clear" w:color="auto" w:fill="auto"/>
            <w:vAlign w:val="center"/>
            <w:hideMark/>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Nombre de droits de vote</w:t>
            </w:r>
            <w:r w:rsidRPr="00C73365">
              <w:rPr>
                <w:rFonts w:asciiTheme="minorHAnsi" w:hAnsiTheme="minorHAnsi" w:cstheme="minorHAnsi"/>
                <w:b/>
                <w:bCs/>
                <w:color w:val="000000"/>
                <w:sz w:val="15"/>
                <w:szCs w:val="15"/>
                <w:lang w:val="fr-FR" w:eastAsia="fr-FR"/>
              </w:rPr>
              <w:t xml:space="preserve"> </w:t>
            </w:r>
          </w:p>
        </w:tc>
        <w:tc>
          <w:tcPr>
            <w:tcW w:w="639" w:type="dxa"/>
            <w:shd w:val="clear" w:color="auto" w:fill="auto"/>
            <w:vAlign w:val="center"/>
            <w:hideMark/>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 des droits de vote</w:t>
            </w:r>
          </w:p>
        </w:tc>
        <w:tc>
          <w:tcPr>
            <w:tcW w:w="789" w:type="dxa"/>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Nombre d’actions (capital non dilué)</w:t>
            </w:r>
          </w:p>
        </w:tc>
        <w:tc>
          <w:tcPr>
            <w:tcW w:w="789" w:type="dxa"/>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 du capital (non dilué)</w:t>
            </w:r>
          </w:p>
        </w:tc>
        <w:tc>
          <w:tcPr>
            <w:tcW w:w="901" w:type="dxa"/>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Nombre de droits de vote</w:t>
            </w:r>
          </w:p>
        </w:tc>
        <w:tc>
          <w:tcPr>
            <w:tcW w:w="679" w:type="dxa"/>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bCs/>
                <w:color w:val="000000"/>
                <w:sz w:val="15"/>
                <w:szCs w:val="15"/>
                <w:lang w:val="fr-FR" w:eastAsia="fr-FR"/>
              </w:rPr>
              <w:footnoteReference w:customMarkFollows="1" w:id="18"/>
              <w:t>% des droits de vote</w:t>
            </w:r>
          </w:p>
        </w:tc>
        <w:tc>
          <w:tcPr>
            <w:tcW w:w="860" w:type="dxa"/>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Nombre d’actions (capital non dilué)</w:t>
            </w:r>
          </w:p>
        </w:tc>
        <w:tc>
          <w:tcPr>
            <w:tcW w:w="860" w:type="dxa"/>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 du capital (non dilué)</w:t>
            </w:r>
          </w:p>
        </w:tc>
        <w:tc>
          <w:tcPr>
            <w:tcW w:w="860" w:type="dxa"/>
            <w:vAlign w:val="center"/>
          </w:tcPr>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color w:val="000000"/>
                <w:sz w:val="15"/>
                <w:lang w:val="fr-FR"/>
              </w:rPr>
              <w:t>Nombre de droits de vote</w:t>
            </w:r>
          </w:p>
        </w:tc>
        <w:tc>
          <w:tcPr>
            <w:tcW w:w="852" w:type="dxa"/>
            <w:vAlign w:val="center"/>
          </w:tcPr>
          <w:p w:rsidR="00B740A8" w:rsidRPr="00C73365" w:rsidRDefault="00B740A8" w:rsidP="00D1541A">
            <w:pPr>
              <w:jc w:val="center"/>
              <w:rPr>
                <w:rFonts w:asciiTheme="minorHAnsi" w:hAnsiTheme="minorHAnsi" w:cstheme="minorHAnsi"/>
                <w:b/>
                <w:bCs/>
                <w:color w:val="000000"/>
                <w:sz w:val="15"/>
                <w:szCs w:val="15"/>
                <w:lang w:val="fr-FR" w:eastAsia="fr-FR"/>
              </w:rPr>
            </w:pPr>
            <w:r w:rsidRPr="00C73365">
              <w:rPr>
                <w:rFonts w:asciiTheme="minorHAnsi" w:hAnsiTheme="minorHAnsi" w:cstheme="minorHAnsi"/>
                <w:b/>
                <w:color w:val="000000"/>
                <w:sz w:val="15"/>
                <w:lang w:val="fr-FR"/>
              </w:rPr>
              <w:footnoteReference w:customMarkFollows="1" w:id="19"/>
              <w:t>% des droits de vote</w:t>
            </w:r>
          </w:p>
          <w:p w:rsidR="00B740A8" w:rsidRPr="00C73365" w:rsidRDefault="00B740A8" w:rsidP="00D1541A">
            <w:pPr>
              <w:jc w:val="center"/>
              <w:rPr>
                <w:rFonts w:asciiTheme="minorHAnsi" w:hAnsiTheme="minorHAnsi" w:cstheme="minorHAnsi"/>
                <w:b/>
                <w:color w:val="000000"/>
                <w:sz w:val="15"/>
                <w:lang w:val="fr-FR"/>
              </w:rPr>
            </w:pPr>
            <w:r w:rsidRPr="00C73365">
              <w:rPr>
                <w:rFonts w:asciiTheme="minorHAnsi" w:hAnsiTheme="minorHAnsi" w:cstheme="minorHAnsi"/>
                <w:b/>
                <w:bCs/>
                <w:color w:val="000000"/>
                <w:sz w:val="15"/>
                <w:szCs w:val="15"/>
                <w:lang w:val="fr-FR" w:eastAsia="fr-FR"/>
              </w:rPr>
              <w:t>(non dilué)</w:t>
            </w:r>
          </w:p>
        </w:tc>
      </w:tr>
      <w:tr w:rsidR="00B740A8" w:rsidRPr="00C73365" w:rsidTr="00D1541A">
        <w:trPr>
          <w:trHeight w:val="20"/>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Holding Incubatrice Biotechnologie</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257 600</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2,66%</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307 600</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2,56%</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257 600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2,66%</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515 200</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3,15%</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257 600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2,60%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515 200</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3,</w:t>
            </w:r>
            <w:r w:rsidRPr="00C73365">
              <w:rPr>
                <w:rFonts w:asciiTheme="minorHAnsi" w:hAnsiTheme="minorHAnsi" w:cstheme="minorHAnsi"/>
                <w:bCs/>
                <w:color w:val="000000"/>
                <w:sz w:val="15"/>
                <w:szCs w:val="15"/>
                <w:lang w:val="fr-FR" w:eastAsia="fr-FR"/>
              </w:rPr>
              <w:t>20</w:t>
            </w:r>
            <w:r w:rsidRPr="00C73365">
              <w:rPr>
                <w:rFonts w:asciiTheme="minorHAnsi" w:hAnsiTheme="minorHAnsi" w:cstheme="minorHAnsi"/>
                <w:color w:val="000000"/>
                <w:sz w:val="15"/>
                <w:szCs w:val="15"/>
                <w:lang w:val="fr-FR"/>
              </w:rPr>
              <w:t>%</w:t>
            </w:r>
          </w:p>
        </w:tc>
      </w:tr>
      <w:tr w:rsidR="00B740A8" w:rsidRPr="00C73365" w:rsidTr="00D1541A">
        <w:trPr>
          <w:trHeight w:val="20"/>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Total fonds Truffle</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6 592 739</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67,99%</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8 872 439</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73,97%</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6 518 312</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67,18%</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12 667 369</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77,44%</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5 921 954</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59,79</w:t>
            </w:r>
            <w:r w:rsidRPr="00C73365">
              <w:rPr>
                <w:rFonts w:asciiTheme="minorHAnsi" w:hAnsiTheme="minorHAnsi" w:cstheme="minorHAnsi"/>
                <w:color w:val="000000"/>
                <w:sz w:val="15"/>
                <w:szCs w:val="15"/>
                <w:lang w:val="fr-FR"/>
              </w:rPr>
              <w:t>%</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11 756 413</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73,04</w:t>
            </w:r>
            <w:r w:rsidRPr="00C73365">
              <w:rPr>
                <w:rFonts w:asciiTheme="minorHAnsi" w:hAnsiTheme="minorHAnsi" w:cstheme="minorHAnsi"/>
                <w:color w:val="000000"/>
                <w:sz w:val="15"/>
                <w:szCs w:val="15"/>
                <w:lang w:val="fr-FR"/>
              </w:rPr>
              <w:t>%</w:t>
            </w:r>
          </w:p>
        </w:tc>
      </w:tr>
      <w:tr w:rsidR="00B740A8" w:rsidRPr="00C73365" w:rsidTr="00D1541A">
        <w:trPr>
          <w:trHeight w:val="20"/>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Autres</w:t>
            </w:r>
            <w:r w:rsidRPr="00C73365">
              <w:rPr>
                <w:rFonts w:asciiTheme="minorHAnsi" w:hAnsiTheme="minorHAnsi" w:cstheme="minorHAnsi"/>
                <w:color w:val="7030A0"/>
                <w:sz w:val="14"/>
                <w:lang w:val="fr-FR"/>
              </w:rPr>
              <w:t>*</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241 600</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2,49%</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248 100</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2,07%</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343 000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3,54%</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611 200</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3,74%</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187 883</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1,90</w:t>
            </w:r>
            <w:r w:rsidRPr="00C73365">
              <w:rPr>
                <w:rFonts w:asciiTheme="minorHAnsi" w:hAnsiTheme="minorHAnsi" w:cstheme="minorHAnsi"/>
                <w:color w:val="000000"/>
                <w:sz w:val="15"/>
                <w:szCs w:val="15"/>
                <w:lang w:val="fr-FR"/>
              </w:rPr>
              <w:t>%</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315 258</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1,96%</w:t>
            </w:r>
          </w:p>
        </w:tc>
      </w:tr>
      <w:tr w:rsidR="00B740A8" w:rsidRPr="00C73365" w:rsidTr="00D1541A">
        <w:trPr>
          <w:trHeight w:val="347"/>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Direction</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6 500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rPr>
            </w:pPr>
            <w:r w:rsidRPr="00C73365">
              <w:rPr>
                <w:rFonts w:asciiTheme="minorHAnsi" w:hAnsiTheme="minorHAnsi" w:cstheme="minorHAnsi"/>
                <w:bCs/>
                <w:color w:val="000000"/>
                <w:sz w:val="15"/>
                <w:szCs w:val="15"/>
                <w:lang w:val="fr-FR" w:eastAsia="fr-FR"/>
              </w:rPr>
              <w:t>0,07</w:t>
            </w:r>
            <w:r w:rsidRPr="00C73365">
              <w:rPr>
                <w:rFonts w:asciiTheme="minorHAnsi" w:hAnsiTheme="minorHAnsi" w:cstheme="minorHAnsi"/>
                <w:color w:val="000000"/>
                <w:sz w:val="15"/>
                <w:szCs w:val="15"/>
                <w:lang w:val="fr-FR"/>
              </w:rPr>
              <w:t>%</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6 500</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rPr>
            </w:pPr>
            <w:r w:rsidRPr="00C73365">
              <w:rPr>
                <w:rFonts w:asciiTheme="minorHAnsi" w:hAnsiTheme="minorHAnsi" w:cstheme="minorHAnsi"/>
                <w:bCs/>
                <w:color w:val="000000"/>
                <w:sz w:val="15"/>
                <w:szCs w:val="15"/>
                <w:lang w:val="fr-FR" w:eastAsia="fr-FR"/>
              </w:rPr>
              <w:t>0,04%</w:t>
            </w:r>
          </w:p>
        </w:tc>
      </w:tr>
      <w:tr w:rsidR="00B740A8" w:rsidRPr="00C73365" w:rsidTr="00D1541A">
        <w:trPr>
          <w:trHeight w:val="20"/>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Conseil d’administration</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446 011</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4,50</w:t>
            </w:r>
            <w:r w:rsidRPr="00C73365">
              <w:rPr>
                <w:rFonts w:asciiTheme="minorHAnsi" w:hAnsiTheme="minorHAnsi" w:cstheme="minorHAnsi"/>
                <w:color w:val="000000"/>
                <w:sz w:val="15"/>
                <w:szCs w:val="15"/>
                <w:lang w:val="fr-FR"/>
              </w:rPr>
              <w:t>%</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446 011</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2,77</w:t>
            </w:r>
            <w:r w:rsidRPr="00C73365">
              <w:rPr>
                <w:rFonts w:asciiTheme="minorHAnsi" w:hAnsiTheme="minorHAnsi" w:cstheme="minorHAnsi"/>
                <w:color w:val="000000"/>
                <w:sz w:val="15"/>
                <w:szCs w:val="15"/>
                <w:lang w:val="fr-FR"/>
              </w:rPr>
              <w:t>%</w:t>
            </w:r>
          </w:p>
        </w:tc>
      </w:tr>
      <w:tr w:rsidR="00B740A8" w:rsidRPr="00C73365" w:rsidTr="00D1541A">
        <w:trPr>
          <w:trHeight w:val="20"/>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Salariés</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101 400</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1,05%</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106 700</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0,89%</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2 500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0,03%</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2 500</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0,02%</w:t>
            </w:r>
          </w:p>
        </w:tc>
      </w:tr>
      <w:tr w:rsidR="00B740A8" w:rsidRPr="00C73365" w:rsidTr="00D1541A">
        <w:trPr>
          <w:trHeight w:val="20"/>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Consultants</w:t>
            </w:r>
            <w:r w:rsidRPr="00C73365">
              <w:rPr>
                <w:rFonts w:asciiTheme="minorHAnsi" w:hAnsiTheme="minorHAnsi" w:cstheme="minorHAnsi"/>
                <w:color w:val="7030A0"/>
                <w:sz w:val="14"/>
                <w:lang w:val="fr-FR"/>
              </w:rPr>
              <w:t>**</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31 200</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0,32%</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31 200</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0,26%</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36 400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0,38%</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67 600</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0,41%</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53 527</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0</w:t>
            </w:r>
            <w:r w:rsidRPr="00C73365">
              <w:rPr>
                <w:rFonts w:asciiTheme="minorHAnsi" w:hAnsiTheme="minorHAnsi" w:cstheme="minorHAnsi"/>
                <w:bCs/>
                <w:color w:val="000000"/>
                <w:sz w:val="15"/>
                <w:szCs w:val="15"/>
                <w:lang w:val="fr-FR" w:eastAsia="fr-FR"/>
              </w:rPr>
              <w:t>,54%</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59 427</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color w:val="000000"/>
                <w:sz w:val="15"/>
                <w:szCs w:val="15"/>
                <w:lang w:val="fr-FR"/>
              </w:rPr>
              <w:t>0</w:t>
            </w:r>
            <w:r w:rsidRPr="00C73365">
              <w:rPr>
                <w:rFonts w:asciiTheme="minorHAnsi" w:hAnsiTheme="minorHAnsi" w:cstheme="minorHAnsi"/>
                <w:bCs/>
                <w:color w:val="000000"/>
                <w:sz w:val="15"/>
                <w:szCs w:val="15"/>
                <w:lang w:val="fr-FR" w:eastAsia="fr-FR"/>
              </w:rPr>
              <w:t>,37</w:t>
            </w:r>
            <w:r w:rsidRPr="00C73365">
              <w:rPr>
                <w:rFonts w:asciiTheme="minorHAnsi" w:hAnsiTheme="minorHAnsi" w:cstheme="minorHAnsi"/>
                <w:color w:val="000000"/>
                <w:sz w:val="15"/>
                <w:szCs w:val="15"/>
                <w:lang w:val="fr-FR"/>
              </w:rPr>
              <w:t>%</w:t>
            </w:r>
          </w:p>
        </w:tc>
      </w:tr>
      <w:tr w:rsidR="00B740A8" w:rsidRPr="00C73365" w:rsidTr="00D1541A">
        <w:trPr>
          <w:trHeight w:val="20"/>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Flottant</w:t>
            </w:r>
          </w:p>
        </w:tc>
        <w:tc>
          <w:tcPr>
            <w:tcW w:w="787"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2 428 904</w:t>
            </w:r>
          </w:p>
        </w:tc>
        <w:tc>
          <w:tcPr>
            <w:tcW w:w="788"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25,05%</w:t>
            </w:r>
          </w:p>
        </w:tc>
        <w:tc>
          <w:tcPr>
            <w:tcW w:w="940"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2 428 904</w:t>
            </w:r>
          </w:p>
        </w:tc>
        <w:tc>
          <w:tcPr>
            <w:tcW w:w="639" w:type="dxa"/>
            <w:shd w:val="clear" w:color="auto" w:fill="auto"/>
            <w:noWrap/>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20,25%</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2 496 877</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25,73%</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2  496 877</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15,26%</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2 994 204</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30,23</w:t>
            </w:r>
            <w:r w:rsidRPr="00C73365">
              <w:rPr>
                <w:rFonts w:asciiTheme="minorHAnsi" w:hAnsiTheme="minorHAnsi" w:cstheme="minorHAnsi"/>
                <w:color w:val="000000"/>
                <w:sz w:val="15"/>
                <w:szCs w:val="15"/>
                <w:lang w:val="fr-FR"/>
              </w:rPr>
              <w:t>%</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2 994 204</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18,60</w:t>
            </w:r>
            <w:r w:rsidRPr="00C73365">
              <w:rPr>
                <w:rFonts w:asciiTheme="minorHAnsi" w:hAnsiTheme="minorHAnsi" w:cstheme="minorHAnsi"/>
                <w:color w:val="000000"/>
                <w:sz w:val="15"/>
                <w:szCs w:val="15"/>
                <w:lang w:val="fr-FR"/>
              </w:rPr>
              <w:t>%</w:t>
            </w:r>
          </w:p>
        </w:tc>
      </w:tr>
      <w:tr w:rsidR="00B740A8" w:rsidRPr="00C73365" w:rsidTr="00D1541A">
        <w:trPr>
          <w:trHeight w:val="374"/>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color w:val="000000"/>
                <w:sz w:val="14"/>
                <w:lang w:val="fr-FR"/>
              </w:rPr>
            </w:pPr>
            <w:r w:rsidRPr="00C73365">
              <w:rPr>
                <w:rFonts w:asciiTheme="minorHAnsi" w:hAnsiTheme="minorHAnsi" w:cstheme="minorHAnsi"/>
                <w:color w:val="000000"/>
                <w:sz w:val="14"/>
                <w:lang w:val="fr-FR"/>
              </w:rPr>
              <w:t>Actions auto-détenues</w:t>
            </w:r>
          </w:p>
        </w:tc>
        <w:tc>
          <w:tcPr>
            <w:tcW w:w="787" w:type="dxa"/>
            <w:shd w:val="clear" w:color="auto" w:fill="auto"/>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43 446</w:t>
            </w:r>
          </w:p>
        </w:tc>
        <w:tc>
          <w:tcPr>
            <w:tcW w:w="788" w:type="dxa"/>
            <w:shd w:val="clear" w:color="auto" w:fill="auto"/>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0,45%</w:t>
            </w:r>
          </w:p>
        </w:tc>
        <w:tc>
          <w:tcPr>
            <w:tcW w:w="940" w:type="dxa"/>
            <w:shd w:val="clear" w:color="auto" w:fill="auto"/>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39" w:type="dxa"/>
            <w:shd w:val="clear" w:color="auto" w:fill="auto"/>
            <w:vAlign w:val="center"/>
            <w:hideMark/>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49 900</w:t>
            </w:r>
          </w:p>
        </w:tc>
        <w:tc>
          <w:tcPr>
            <w:tcW w:w="78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0,51%</w:t>
            </w:r>
          </w:p>
        </w:tc>
        <w:tc>
          <w:tcPr>
            <w:tcW w:w="901"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679" w:type="dxa"/>
            <w:vAlign w:val="center"/>
          </w:tcPr>
          <w:p w:rsidR="00B740A8" w:rsidRPr="00C73365" w:rsidRDefault="00B740A8" w:rsidP="00D1541A">
            <w:pPr>
              <w:jc w:val="center"/>
              <w:rPr>
                <w:rFonts w:asciiTheme="minorHAnsi" w:hAnsiTheme="minorHAnsi" w:cstheme="minorHAnsi"/>
                <w:color w:val="000000"/>
                <w:sz w:val="15"/>
                <w:lang w:val="fr-FR"/>
              </w:rPr>
            </w:pPr>
            <w:r w:rsidRPr="00C73365">
              <w:rPr>
                <w:rFonts w:asciiTheme="minorHAnsi" w:hAnsiTheme="minorHAnsi" w:cstheme="minorHAnsi"/>
                <w:color w:val="000000"/>
                <w:sz w:val="15"/>
                <w:lang w:val="fr-FR"/>
              </w:rPr>
              <w:t>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34 050</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0,34</w:t>
            </w:r>
            <w:r w:rsidRPr="00C73365">
              <w:rPr>
                <w:rFonts w:asciiTheme="minorHAnsi" w:hAnsiTheme="minorHAnsi" w:cstheme="minorHAnsi"/>
                <w:color w:val="000000"/>
                <w:sz w:val="15"/>
                <w:szCs w:val="15"/>
                <w:lang w:val="fr-FR"/>
              </w:rPr>
              <w:t>%</w:t>
            </w:r>
          </w:p>
        </w:tc>
        <w:tc>
          <w:tcPr>
            <w:tcW w:w="860"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0</w:t>
            </w:r>
          </w:p>
        </w:tc>
        <w:tc>
          <w:tcPr>
            <w:tcW w:w="852" w:type="dxa"/>
            <w:vAlign w:val="center"/>
          </w:tcPr>
          <w:p w:rsidR="00B740A8" w:rsidRPr="00C73365" w:rsidRDefault="00B740A8" w:rsidP="00D1541A">
            <w:pPr>
              <w:jc w:val="center"/>
              <w:rPr>
                <w:rFonts w:asciiTheme="minorHAnsi" w:hAnsiTheme="minorHAnsi" w:cstheme="minorHAnsi"/>
                <w:color w:val="000000"/>
                <w:sz w:val="15"/>
                <w:szCs w:val="15"/>
                <w:lang w:val="fr-FR" w:eastAsia="fr-FR"/>
              </w:rPr>
            </w:pPr>
            <w:r w:rsidRPr="00C73365">
              <w:rPr>
                <w:rFonts w:asciiTheme="minorHAnsi" w:hAnsiTheme="minorHAnsi" w:cstheme="minorHAnsi"/>
                <w:bCs/>
                <w:color w:val="000000"/>
                <w:sz w:val="15"/>
                <w:szCs w:val="15"/>
                <w:lang w:val="fr-FR" w:eastAsia="fr-FR"/>
              </w:rPr>
              <w:t>0</w:t>
            </w:r>
            <w:r w:rsidRPr="00C73365">
              <w:rPr>
                <w:rFonts w:asciiTheme="minorHAnsi" w:hAnsiTheme="minorHAnsi" w:cstheme="minorHAnsi"/>
                <w:color w:val="000000"/>
                <w:sz w:val="15"/>
                <w:szCs w:val="15"/>
                <w:lang w:val="fr-FR"/>
              </w:rPr>
              <w:t>%</w:t>
            </w:r>
          </w:p>
        </w:tc>
      </w:tr>
      <w:tr w:rsidR="00B740A8" w:rsidRPr="00C73365" w:rsidTr="00D1541A">
        <w:trPr>
          <w:trHeight w:val="355"/>
          <w:jc w:val="center"/>
        </w:trPr>
        <w:tc>
          <w:tcPr>
            <w:tcW w:w="1029" w:type="dxa"/>
            <w:shd w:val="clear" w:color="auto" w:fill="auto"/>
            <w:noWrap/>
            <w:vAlign w:val="center"/>
            <w:hideMark/>
          </w:tcPr>
          <w:p w:rsidR="00B740A8" w:rsidRPr="00C73365" w:rsidRDefault="00B740A8" w:rsidP="00D1541A">
            <w:pPr>
              <w:rPr>
                <w:rFonts w:asciiTheme="minorHAnsi" w:hAnsiTheme="minorHAnsi" w:cstheme="minorHAnsi"/>
                <w:b/>
                <w:color w:val="7030A0"/>
                <w:sz w:val="14"/>
                <w:lang w:val="fr-FR"/>
              </w:rPr>
            </w:pPr>
            <w:r w:rsidRPr="00C73365">
              <w:rPr>
                <w:rFonts w:asciiTheme="minorHAnsi" w:hAnsiTheme="minorHAnsi" w:cstheme="minorHAnsi"/>
                <w:b/>
                <w:color w:val="7030A0"/>
                <w:sz w:val="14"/>
                <w:lang w:val="fr-FR"/>
              </w:rPr>
              <w:t>Total</w:t>
            </w:r>
          </w:p>
        </w:tc>
        <w:tc>
          <w:tcPr>
            <w:tcW w:w="787" w:type="dxa"/>
            <w:shd w:val="clear" w:color="auto" w:fill="auto"/>
            <w:vAlign w:val="center"/>
            <w:hideMark/>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9 696 889</w:t>
            </w:r>
          </w:p>
        </w:tc>
        <w:tc>
          <w:tcPr>
            <w:tcW w:w="788" w:type="dxa"/>
            <w:shd w:val="clear" w:color="auto" w:fill="auto"/>
            <w:vAlign w:val="center"/>
            <w:hideMark/>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100%</w:t>
            </w:r>
          </w:p>
        </w:tc>
        <w:tc>
          <w:tcPr>
            <w:tcW w:w="940" w:type="dxa"/>
            <w:shd w:val="clear" w:color="auto" w:fill="auto"/>
            <w:vAlign w:val="center"/>
            <w:hideMark/>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11 994 943</w:t>
            </w:r>
          </w:p>
        </w:tc>
        <w:tc>
          <w:tcPr>
            <w:tcW w:w="639" w:type="dxa"/>
            <w:shd w:val="clear" w:color="auto" w:fill="auto"/>
            <w:vAlign w:val="center"/>
            <w:hideMark/>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100%</w:t>
            </w:r>
          </w:p>
        </w:tc>
        <w:tc>
          <w:tcPr>
            <w:tcW w:w="789" w:type="dxa"/>
            <w:vAlign w:val="center"/>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9 702 089</w:t>
            </w:r>
          </w:p>
        </w:tc>
        <w:tc>
          <w:tcPr>
            <w:tcW w:w="789" w:type="dxa"/>
            <w:vAlign w:val="center"/>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100%</w:t>
            </w:r>
          </w:p>
        </w:tc>
        <w:tc>
          <w:tcPr>
            <w:tcW w:w="901" w:type="dxa"/>
            <w:vAlign w:val="center"/>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16 358 246</w:t>
            </w:r>
          </w:p>
        </w:tc>
        <w:tc>
          <w:tcPr>
            <w:tcW w:w="679" w:type="dxa"/>
            <w:vAlign w:val="center"/>
          </w:tcPr>
          <w:p w:rsidR="00B740A8" w:rsidRPr="00C73365" w:rsidRDefault="00B740A8" w:rsidP="00D1541A">
            <w:pPr>
              <w:jc w:val="center"/>
              <w:rPr>
                <w:rFonts w:asciiTheme="minorHAnsi" w:hAnsiTheme="minorHAnsi" w:cstheme="minorHAnsi"/>
                <w:b/>
                <w:color w:val="7030A0"/>
                <w:sz w:val="15"/>
                <w:lang w:val="fr-FR"/>
              </w:rPr>
            </w:pPr>
            <w:r w:rsidRPr="00C73365">
              <w:rPr>
                <w:rFonts w:asciiTheme="minorHAnsi" w:hAnsiTheme="minorHAnsi" w:cstheme="minorHAnsi"/>
                <w:b/>
                <w:color w:val="7030A0"/>
                <w:sz w:val="15"/>
                <w:lang w:val="fr-FR"/>
              </w:rPr>
              <w:t>100%</w:t>
            </w:r>
          </w:p>
        </w:tc>
        <w:tc>
          <w:tcPr>
            <w:tcW w:w="860" w:type="dxa"/>
            <w:vAlign w:val="center"/>
          </w:tcPr>
          <w:p w:rsidR="00B740A8" w:rsidRPr="00C73365" w:rsidRDefault="00B740A8" w:rsidP="00D1541A">
            <w:pPr>
              <w:jc w:val="center"/>
              <w:rPr>
                <w:rFonts w:asciiTheme="minorHAnsi" w:hAnsiTheme="minorHAnsi" w:cstheme="minorHAnsi"/>
                <w:b/>
                <w:bCs/>
                <w:color w:val="7030A0"/>
                <w:sz w:val="15"/>
                <w:szCs w:val="15"/>
                <w:lang w:val="fr-FR" w:eastAsia="fr-FR"/>
              </w:rPr>
            </w:pPr>
            <w:r w:rsidRPr="00C73365">
              <w:rPr>
                <w:rFonts w:asciiTheme="minorHAnsi" w:hAnsiTheme="minorHAnsi" w:cstheme="minorHAnsi"/>
                <w:b/>
                <w:bCs/>
                <w:color w:val="7030A0"/>
                <w:sz w:val="15"/>
                <w:szCs w:val="15"/>
                <w:lang w:val="fr-FR" w:eastAsia="fr-FR"/>
              </w:rPr>
              <w:t>9 904 229</w:t>
            </w:r>
          </w:p>
        </w:tc>
        <w:tc>
          <w:tcPr>
            <w:tcW w:w="860" w:type="dxa"/>
            <w:vAlign w:val="center"/>
          </w:tcPr>
          <w:p w:rsidR="00B740A8" w:rsidRPr="00C73365" w:rsidRDefault="00B740A8" w:rsidP="00D1541A">
            <w:pPr>
              <w:jc w:val="center"/>
              <w:rPr>
                <w:rFonts w:asciiTheme="minorHAnsi" w:hAnsiTheme="minorHAnsi" w:cstheme="minorHAnsi"/>
                <w:b/>
                <w:bCs/>
                <w:color w:val="7030A0"/>
                <w:sz w:val="15"/>
                <w:szCs w:val="15"/>
                <w:lang w:val="fr-FR" w:eastAsia="fr-FR"/>
              </w:rPr>
            </w:pPr>
            <w:r w:rsidRPr="00C73365">
              <w:rPr>
                <w:rFonts w:asciiTheme="minorHAnsi" w:hAnsiTheme="minorHAnsi" w:cstheme="minorHAnsi"/>
                <w:b/>
                <w:bCs/>
                <w:color w:val="7030A0"/>
                <w:sz w:val="15"/>
                <w:szCs w:val="15"/>
                <w:lang w:val="fr-FR" w:eastAsia="fr-FR"/>
              </w:rPr>
              <w:t>100.00%</w:t>
            </w:r>
          </w:p>
        </w:tc>
        <w:tc>
          <w:tcPr>
            <w:tcW w:w="860" w:type="dxa"/>
            <w:vAlign w:val="center"/>
          </w:tcPr>
          <w:p w:rsidR="00B740A8" w:rsidRPr="00C73365" w:rsidRDefault="00B740A8" w:rsidP="00D1541A">
            <w:pPr>
              <w:jc w:val="center"/>
              <w:rPr>
                <w:rFonts w:asciiTheme="minorHAnsi" w:hAnsiTheme="minorHAnsi" w:cstheme="minorHAnsi"/>
                <w:b/>
                <w:bCs/>
                <w:color w:val="7030A0"/>
                <w:sz w:val="15"/>
                <w:szCs w:val="15"/>
                <w:lang w:val="fr-FR" w:eastAsia="fr-FR"/>
              </w:rPr>
            </w:pPr>
            <w:r w:rsidRPr="00C73365">
              <w:rPr>
                <w:rFonts w:asciiTheme="minorHAnsi" w:hAnsiTheme="minorHAnsi" w:cstheme="minorHAnsi"/>
                <w:b/>
                <w:bCs/>
                <w:color w:val="7030A0"/>
                <w:sz w:val="15"/>
                <w:szCs w:val="15"/>
                <w:lang w:val="fr-FR" w:eastAsia="fr-FR"/>
              </w:rPr>
              <w:t>16 095 513</w:t>
            </w:r>
          </w:p>
        </w:tc>
        <w:tc>
          <w:tcPr>
            <w:tcW w:w="852" w:type="dxa"/>
            <w:vAlign w:val="center"/>
          </w:tcPr>
          <w:p w:rsidR="00B740A8" w:rsidRPr="00C73365" w:rsidRDefault="00B740A8" w:rsidP="00D1541A">
            <w:pPr>
              <w:jc w:val="center"/>
              <w:rPr>
                <w:rFonts w:asciiTheme="minorHAnsi" w:hAnsiTheme="minorHAnsi" w:cstheme="minorHAnsi"/>
                <w:b/>
                <w:bCs/>
                <w:color w:val="7030A0"/>
                <w:sz w:val="15"/>
                <w:szCs w:val="15"/>
                <w:lang w:val="fr-FR" w:eastAsia="fr-FR"/>
              </w:rPr>
            </w:pPr>
            <w:r w:rsidRPr="00C73365">
              <w:rPr>
                <w:rFonts w:asciiTheme="minorHAnsi" w:hAnsiTheme="minorHAnsi" w:cstheme="minorHAnsi"/>
                <w:b/>
                <w:bCs/>
                <w:color w:val="7030A0"/>
                <w:sz w:val="15"/>
                <w:szCs w:val="15"/>
                <w:lang w:val="fr-FR" w:eastAsia="fr-FR"/>
              </w:rPr>
              <w:t>100,00%</w:t>
            </w:r>
          </w:p>
        </w:tc>
      </w:tr>
    </w:tbl>
    <w:p w:rsidR="00B740A8" w:rsidRPr="00C73365" w:rsidRDefault="00B740A8" w:rsidP="00B740A8">
      <w:pPr>
        <w:rPr>
          <w:rFonts w:asciiTheme="minorHAnsi" w:hAnsiTheme="minorHAnsi" w:cstheme="minorHAnsi"/>
          <w:b/>
          <w:color w:val="7030A0"/>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*Autres : regroupe les actionnaires minoritaires historiques ou titulaires de BSA/</w:t>
      </w:r>
      <w:r w:rsidR="00656913">
        <w:rPr>
          <w:rFonts w:asciiTheme="minorHAnsi" w:hAnsiTheme="minorHAnsi" w:cstheme="minorHAnsi"/>
          <w:lang w:val="fr-FR"/>
        </w:rPr>
        <w:t>BCE</w:t>
      </w:r>
      <w:r w:rsidRPr="00C73365">
        <w:rPr>
          <w:rFonts w:asciiTheme="minorHAnsi" w:hAnsiTheme="minorHAnsi" w:cstheme="minorHAnsi"/>
          <w:lang w:val="fr-FR"/>
        </w:rPr>
        <w:t xml:space="preserve"> ainsi que des anciens salariés de la Société, des anciens membres du conseil ou certains membres des comités.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**Consultants : ce sont toutes les personnes qui ont un contrat de consultant avec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(consultants scientifiques, stratégiques)</w:t>
      </w:r>
    </w:p>
    <w:p w:rsidR="00B740A8" w:rsidRPr="00C73365" w:rsidRDefault="00B740A8" w:rsidP="00B740A8">
      <w:pPr>
        <w:rPr>
          <w:rFonts w:asciiTheme="minorHAnsi" w:hAnsiTheme="minorHAnsi" w:cstheme="minorHAnsi"/>
          <w:b/>
          <w:color w:val="7030A0"/>
          <w:highlight w:val="yellow"/>
          <w:lang w:val="fr-FR"/>
        </w:rPr>
      </w:pP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994" w:name="_Toc418094510"/>
      <w:bookmarkStart w:id="995" w:name="_Toc462673288"/>
      <w:bookmarkStart w:id="996" w:name="_Toc467835637"/>
      <w:bookmarkStart w:id="997" w:name="_Toc482695310"/>
      <w:bookmarkStart w:id="998" w:name="_Toc512863953"/>
      <w:r w:rsidRPr="00C73365">
        <w:rPr>
          <w:rFonts w:asciiTheme="minorHAnsi" w:hAnsiTheme="minorHAnsi" w:cstheme="minorHAnsi"/>
          <w:sz w:val="22"/>
          <w:lang w:val="fr-FR"/>
        </w:rPr>
        <w:t>Droits de vote des principaux actionnaires</w:t>
      </w:r>
      <w:bookmarkEnd w:id="994"/>
      <w:bookmarkEnd w:id="995"/>
      <w:bookmarkEnd w:id="996"/>
      <w:bookmarkEnd w:id="997"/>
      <w:bookmarkEnd w:id="998"/>
    </w:p>
    <w:p w:rsidR="00B740A8" w:rsidRPr="00C73365" w:rsidRDefault="00B740A8" w:rsidP="00B740A8">
      <w:pPr>
        <w:rPr>
          <w:rFonts w:asciiTheme="minorHAnsi" w:hAnsiTheme="minorHAnsi" w:cstheme="minorHAnsi"/>
          <w:lang w:val="fr-FR"/>
        </w:rPr>
      </w:pP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Conformément à l’article 12 des statuts de la Société, un droit de vote double de celui conféré aux autres actions, eu égard à la quotité du capital social qu’elles représentent, est attribué à toutes les actions entièrement libérées (quelle que soit leur catégorie) pour lesquelles il est justifié d’une inscription nominative depuis deux ans au moins au nom du même actionnaire.</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 xml:space="preserve">Ce droit est conféré également dès leur émission en cas d’augmentation du capital par incorporation de réserves, bénéfices ou primes d’émission, aux actions nominatives attribuées gratuitement à un actionnaire à raison d’actions anciennes pour lesquelles il bénéficie déjà de ce droit. </w:t>
      </w:r>
    </w:p>
    <w:p w:rsidR="00B740A8" w:rsidRPr="00C73365" w:rsidRDefault="00B740A8" w:rsidP="00B740A8">
      <w:pPr>
        <w:pStyle w:val="ConmainL2"/>
        <w:numPr>
          <w:ilvl w:val="1"/>
          <w:numId w:val="9"/>
        </w:numPr>
        <w:spacing w:after="0"/>
        <w:rPr>
          <w:rFonts w:asciiTheme="minorHAnsi" w:hAnsiTheme="minorHAnsi" w:cstheme="minorHAnsi"/>
          <w:sz w:val="22"/>
          <w:lang w:val="fr-FR"/>
        </w:rPr>
      </w:pPr>
      <w:bookmarkStart w:id="999" w:name="_Toc462673289"/>
      <w:bookmarkStart w:id="1000" w:name="_Toc467835638"/>
      <w:bookmarkStart w:id="1001" w:name="_Toc482695311"/>
      <w:bookmarkStart w:id="1002" w:name="_Toc512863954"/>
      <w:r w:rsidRPr="00C73365">
        <w:rPr>
          <w:rFonts w:asciiTheme="minorHAnsi" w:hAnsiTheme="minorHAnsi" w:cstheme="minorHAnsi"/>
          <w:sz w:val="22"/>
          <w:lang w:val="fr-FR"/>
        </w:rPr>
        <w:lastRenderedPageBreak/>
        <w:t>Contrôle de la Société</w:t>
      </w:r>
      <w:bookmarkEnd w:id="999"/>
      <w:bookmarkEnd w:id="1000"/>
      <w:bookmarkEnd w:id="1001"/>
      <w:bookmarkEnd w:id="1002"/>
    </w:p>
    <w:p w:rsidR="00B740A8" w:rsidRPr="00C73365" w:rsidRDefault="00B740A8" w:rsidP="00B740A8">
      <w:pPr>
        <w:pStyle w:val="ConmainL2"/>
        <w:numPr>
          <w:ilvl w:val="0"/>
          <w:numId w:val="0"/>
        </w:numPr>
        <w:spacing w:after="0"/>
        <w:outlineLvl w:val="9"/>
        <w:rPr>
          <w:rFonts w:asciiTheme="minorHAnsi" w:hAnsiTheme="minorHAnsi" w:cstheme="minorHAnsi"/>
          <w:sz w:val="22"/>
          <w:lang w:val="fr-FR"/>
        </w:rPr>
      </w:pP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A la date d’enregistrement du présent document de référence, la Société est contrôlée au sens de l’article L. 233-3 du Code de commerce par les fonds communs de placement gérés par la société Truffle Capital</w:t>
      </w:r>
      <w:r w:rsidRPr="00C73365">
        <w:rPr>
          <w:rFonts w:asciiTheme="minorHAnsi" w:hAnsiTheme="minorHAnsi" w:cstheme="minorHAnsi"/>
          <w:b/>
          <w:sz w:val="21"/>
          <w:lang w:val="fr-FR"/>
        </w:rPr>
        <w:t xml:space="preserve"> </w:t>
      </w:r>
      <w:r w:rsidRPr="00C73365">
        <w:rPr>
          <w:rFonts w:asciiTheme="minorHAnsi" w:hAnsiTheme="minorHAnsi" w:cstheme="minorHAnsi"/>
          <w:lang w:val="fr-FR"/>
        </w:rPr>
        <w:t>société par actions simplifiée au capital de 2.000.000 d’euros, dont le siège social est sis 5 rue de la Baume, 75008 Paris, immatriculée au registre et commerce et sociétés de Paris sous le numéro 432 942 647, agréée par l’AMF sous le numéro GP 01-029. Ces fonds détiennent collectivement 5 889 189 actions représentant 47,06% du capital social et 62,51% des droits de vote de la Société sur une base pleinement diluée au 31 mars 2018.</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Fondée en 2001 à Paris, la société Truffle Capital SAS est un acteur européen reconnu du capital investissement, qui investit et se consacre au développement de PME innovantes et à la construction de leaders technologiques dans les domaines des Sciences de la Vie, des Technologies de l’Information et de l’Energie.</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Fort de 585 millions d’euros gérés dans le cadre de « Fonds Communs de Placements à Risques » (FCPR) ou de «Fonds Commun de Placement dans l’Innovation » (FCPI), Truffle Capital est dirigée par une équipe de trois partenaires aux expériences entrepreneuriales et d’investissements réussies, tant en Europe qu’en Amérique du Nord.</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 xml:space="preserve">Truffle Capital agit souvent en chef de file, en tant qu’investisseur unique ou majoritaire, et finance en particulier des « </w:t>
      </w:r>
      <w:r w:rsidRPr="00C73365">
        <w:rPr>
          <w:rFonts w:asciiTheme="minorHAnsi" w:hAnsiTheme="minorHAnsi" w:cstheme="minorHAnsi"/>
          <w:i/>
          <w:lang w:val="fr-FR"/>
        </w:rPr>
        <w:t>spin-offs</w:t>
      </w:r>
      <w:r w:rsidRPr="00C73365">
        <w:rPr>
          <w:rFonts w:asciiTheme="minorHAnsi" w:hAnsiTheme="minorHAnsi" w:cstheme="minorHAnsi"/>
          <w:lang w:val="fr-FR"/>
        </w:rPr>
        <w:t xml:space="preserve"> » technologiques de grands groupes industriels, d’instituts de recherche technologiques et d’universités, mais aussi des jeunes pousses. Truffle Capital est soucieux de l’investissement socialement responsable par la nature de ses secteurs d’investissement, notamment la santé et les économies d’énergie.</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L’unicité de l’équipe de Truffle Capital, des « entrepreneurs investisseurs », réside dans sa capacité à identifier les innovations qui répondent à des marchés nouveaux ; à promouvoir de l’opérationnel et des innovations de rupture, au-delà du simple financement, avec l’objectif de construire et de développer des sociétés technologiques à forte valeur potentielle, leaders potentiels de demain.</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Les mesures prises par la Société en vue d’assurer que le contrôle ne soit pas exercé de façon abusive sont notamment les suivantes :</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La présence de trois administrateurs indépendants au sein du conseil d’administration de la Société ;</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La dissociation des fonctions de président et de directeur général.</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A la connaissance de la Société, il n’existe pas d’action de concert entre ses actionnaires.</w:t>
      </w:r>
    </w:p>
    <w:p w:rsidR="00B740A8" w:rsidRPr="00C73365" w:rsidRDefault="00B740A8" w:rsidP="00B740A8">
      <w:pPr>
        <w:pStyle w:val="ConmainL2"/>
        <w:numPr>
          <w:ilvl w:val="1"/>
          <w:numId w:val="9"/>
        </w:numPr>
        <w:rPr>
          <w:rFonts w:asciiTheme="minorHAnsi" w:hAnsiTheme="minorHAnsi" w:cstheme="minorHAnsi"/>
          <w:sz w:val="22"/>
          <w:lang w:val="fr-FR"/>
        </w:rPr>
      </w:pPr>
      <w:bookmarkStart w:id="1003" w:name="_Toc418094512"/>
      <w:bookmarkStart w:id="1004" w:name="_Toc462673290"/>
      <w:bookmarkStart w:id="1005" w:name="_Toc467835639"/>
      <w:bookmarkStart w:id="1006" w:name="_Toc482695312"/>
      <w:bookmarkStart w:id="1007" w:name="_Toc512863955"/>
      <w:r w:rsidRPr="00C73365">
        <w:rPr>
          <w:rFonts w:asciiTheme="minorHAnsi" w:hAnsiTheme="minorHAnsi" w:cstheme="minorHAnsi"/>
          <w:sz w:val="22"/>
          <w:lang w:val="fr-FR"/>
        </w:rPr>
        <w:t>Accords pouvant entraîner un changement de contrôle</w:t>
      </w:r>
      <w:bookmarkEnd w:id="1003"/>
      <w:bookmarkEnd w:id="1004"/>
      <w:bookmarkEnd w:id="1005"/>
      <w:bookmarkEnd w:id="1006"/>
      <w:bookmarkEnd w:id="1007"/>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A la connaissance de la Société, il n’existe aucun accord dont la mise en œuvre pourrait entraîner un changement de contrôle de la Société.</w:t>
      </w:r>
    </w:p>
    <w:p w:rsidR="00B740A8" w:rsidRPr="00C73365" w:rsidRDefault="00B740A8" w:rsidP="00B740A8">
      <w:pPr>
        <w:pStyle w:val="ConmainL2"/>
        <w:numPr>
          <w:ilvl w:val="1"/>
          <w:numId w:val="9"/>
        </w:numPr>
        <w:rPr>
          <w:rFonts w:asciiTheme="minorHAnsi" w:hAnsiTheme="minorHAnsi" w:cstheme="minorHAnsi"/>
          <w:sz w:val="22"/>
          <w:lang w:val="fr-FR"/>
        </w:rPr>
      </w:pPr>
      <w:bookmarkStart w:id="1008" w:name="_Toc418094513"/>
      <w:bookmarkStart w:id="1009" w:name="_Toc462673291"/>
      <w:bookmarkStart w:id="1010" w:name="_Toc467835640"/>
      <w:bookmarkStart w:id="1011" w:name="_Toc482695313"/>
      <w:bookmarkStart w:id="1012" w:name="_Toc512863956"/>
      <w:r w:rsidRPr="00C73365">
        <w:rPr>
          <w:rFonts w:asciiTheme="minorHAnsi" w:hAnsiTheme="minorHAnsi" w:cstheme="minorHAnsi"/>
          <w:sz w:val="22"/>
          <w:lang w:val="fr-FR"/>
        </w:rPr>
        <w:t>Etat des nantissements d’actions de la Société</w:t>
      </w:r>
      <w:bookmarkEnd w:id="1008"/>
      <w:bookmarkEnd w:id="1009"/>
      <w:bookmarkEnd w:id="1010"/>
      <w:bookmarkEnd w:id="1011"/>
      <w:bookmarkEnd w:id="1012"/>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A la connaissance de la Société, il n’existe aucun nantissement sur les titres de la Société.</w:t>
      </w:r>
    </w:p>
    <w:p w:rsidR="00B740A8" w:rsidRPr="00C73365" w:rsidRDefault="00B740A8" w:rsidP="00B740A8">
      <w:pPr>
        <w:pStyle w:val="ConmainL2"/>
        <w:numPr>
          <w:ilvl w:val="1"/>
          <w:numId w:val="9"/>
        </w:numPr>
        <w:rPr>
          <w:rFonts w:asciiTheme="minorHAnsi" w:hAnsiTheme="minorHAnsi" w:cstheme="minorHAnsi"/>
          <w:lang w:val="fr-FR"/>
        </w:rPr>
      </w:pPr>
      <w:bookmarkStart w:id="1013" w:name="RANGE!A1:K58"/>
      <w:bookmarkStart w:id="1014" w:name="_Toc482695314"/>
      <w:bookmarkStart w:id="1015" w:name="_Toc512863957"/>
      <w:bookmarkEnd w:id="993"/>
      <w:bookmarkEnd w:id="1013"/>
      <w:r w:rsidRPr="00C73365">
        <w:rPr>
          <w:rFonts w:asciiTheme="minorHAnsi" w:hAnsiTheme="minorHAnsi" w:cstheme="minorHAnsi"/>
          <w:sz w:val="22"/>
          <w:lang w:val="fr-FR"/>
        </w:rPr>
        <w:t>Etat récapitulatif des opérations réalisées par les personnes mentionnées à l’article L. 621-18-2 du Code Monétaire et Financier sur les titres de la Société par les dirigeants</w:t>
      </w:r>
      <w:bookmarkEnd w:id="1014"/>
      <w:bookmarkEnd w:id="1015"/>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fonds gérés par Truffle Capital ont cédé 596 358 actions de la Société sur le marché au cours de l’exercice clos le 31 décembre 2017 représentant 4,86% du capital social sur une base pleinement diluée.</w:t>
      </w:r>
    </w:p>
    <w:p w:rsidR="00B740A8" w:rsidRPr="00C73365" w:rsidRDefault="00B740A8" w:rsidP="00B740A8">
      <w:pPr>
        <w:pStyle w:val="ConmainL2"/>
        <w:numPr>
          <w:ilvl w:val="1"/>
          <w:numId w:val="9"/>
        </w:numPr>
        <w:rPr>
          <w:rFonts w:asciiTheme="minorHAnsi" w:hAnsiTheme="minorHAnsi" w:cstheme="minorHAnsi"/>
          <w:lang w:val="fr-FR"/>
        </w:rPr>
      </w:pPr>
      <w:bookmarkStart w:id="1016" w:name="_Toc512863958"/>
      <w:r w:rsidRPr="00C73365">
        <w:rPr>
          <w:rFonts w:asciiTheme="minorHAnsi" w:hAnsiTheme="minorHAnsi" w:cstheme="minorHAnsi"/>
          <w:sz w:val="22"/>
          <w:lang w:val="fr-FR"/>
        </w:rPr>
        <w:t>Franchissement de seuils</w:t>
      </w:r>
      <w:bookmarkEnd w:id="1016"/>
    </w:p>
    <w:p w:rsidR="00B740A8" w:rsidRDefault="00B740A8" w:rsidP="00C73365">
      <w:pPr>
        <w:rPr>
          <w:rFonts w:asciiTheme="minorHAnsi" w:hAnsiTheme="minorHAnsi" w:cstheme="minorHAnsi"/>
          <w:lang w:val="fr-FR"/>
        </w:rPr>
      </w:pPr>
      <w:r w:rsidRPr="00C73365">
        <w:rPr>
          <w:rFonts w:asciiTheme="minorHAnsi" w:hAnsiTheme="minorHAnsi" w:cstheme="minorHAnsi"/>
          <w:lang w:val="fr-FR"/>
        </w:rPr>
        <w:t>Le 19 janvier 2017, la Société a reçu une notification de Truffle Capital représentant les fonds d’investissement Truffle, indiquant que ceux-ci ont globalement franchi le seuil de 66,66% à la baisse le 11 janvier 2017 en déclarant détenir 6.466.375 actions représentant 66.65% du capital social de la Société et 77,44% des droits de vote de la Société.</w:t>
      </w:r>
    </w:p>
    <w:p w:rsidR="00326B02" w:rsidRPr="00C73365" w:rsidRDefault="00326B02" w:rsidP="00C73365">
      <w:pPr>
        <w:rPr>
          <w:rFonts w:asciiTheme="minorHAnsi" w:hAnsiTheme="minorHAnsi" w:cstheme="minorHAnsi"/>
          <w:lang w:val="fr-FR"/>
        </w:rPr>
      </w:pPr>
    </w:p>
    <w:p w:rsidR="00B740A8" w:rsidRPr="00C73365" w:rsidRDefault="00B740A8" w:rsidP="00B740A8">
      <w:pPr>
        <w:pStyle w:val="ConmainL2"/>
        <w:numPr>
          <w:ilvl w:val="1"/>
          <w:numId w:val="9"/>
        </w:numPr>
        <w:rPr>
          <w:rFonts w:asciiTheme="minorHAnsi" w:hAnsiTheme="minorHAnsi" w:cstheme="minorHAnsi"/>
          <w:sz w:val="22"/>
          <w:lang w:val="fr-FR"/>
        </w:rPr>
      </w:pPr>
      <w:bookmarkStart w:id="1017" w:name="_Toc480795866"/>
      <w:bookmarkStart w:id="1018" w:name="_Ref480809851"/>
      <w:bookmarkStart w:id="1019" w:name="_Toc508825956"/>
      <w:bookmarkStart w:id="1020" w:name="_Toc512863959"/>
      <w:r w:rsidRPr="00C73365">
        <w:rPr>
          <w:rFonts w:asciiTheme="minorHAnsi" w:hAnsiTheme="minorHAnsi" w:cstheme="minorHAnsi"/>
          <w:sz w:val="22"/>
          <w:lang w:val="fr-FR"/>
        </w:rPr>
        <w:t>Evolution du titre</w:t>
      </w:r>
      <w:bookmarkEnd w:id="1017"/>
      <w:bookmarkEnd w:id="1018"/>
      <w:bookmarkEnd w:id="1019"/>
      <w:bookmarkEnd w:id="1020"/>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Les actions de la Société sont cotées sur le marché réglementé Euronext Paris sous le symbole ABVX depuis le 26 juin 2015. </w:t>
      </w:r>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lastRenderedPageBreak/>
        <w:t>Le tableau suivant décrit les évolutions du cours de clôture de l’action de la Société sur Euronext Paris au cours de l’exercice 2017.</w:t>
      </w:r>
    </w:p>
    <w:tbl>
      <w:tblPr>
        <w:tblW w:w="5000" w:type="pct"/>
        <w:jc w:val="center"/>
        <w:tblCellMar>
          <w:left w:w="0" w:type="dxa"/>
          <w:right w:w="0" w:type="dxa"/>
        </w:tblCellMar>
        <w:tblLook w:val="04A0" w:firstRow="1" w:lastRow="0" w:firstColumn="1" w:lastColumn="0" w:noHBand="0" w:noVBand="1"/>
      </w:tblPr>
      <w:tblGrid>
        <w:gridCol w:w="6852"/>
        <w:gridCol w:w="1444"/>
        <w:gridCol w:w="1342"/>
      </w:tblGrid>
      <w:tr w:rsidR="00B740A8" w:rsidRPr="00C73365" w:rsidTr="00D1541A">
        <w:trPr>
          <w:tblHeader/>
          <w:jc w:val="center"/>
        </w:trPr>
        <w:tc>
          <w:tcPr>
            <w:tcW w:w="6545" w:type="dxa"/>
            <w:noWrap/>
            <w:vAlign w:val="bottom"/>
            <w:hideMark/>
          </w:tcPr>
          <w:p w:rsidR="00B740A8" w:rsidRPr="00C73365" w:rsidRDefault="00B740A8" w:rsidP="00D1541A">
            <w:pPr>
              <w:pStyle w:val="NormalWeb"/>
              <w:keepNext/>
              <w:spacing w:line="252" w:lineRule="auto"/>
              <w:rPr>
                <w:rFonts w:asciiTheme="minorHAnsi" w:hAnsiTheme="minorHAnsi" w:cstheme="minorHAnsi"/>
                <w:b/>
                <w:bCs/>
              </w:rPr>
            </w:pPr>
            <w:r w:rsidRPr="00C73365">
              <w:rPr>
                <w:rFonts w:asciiTheme="minorHAnsi" w:hAnsiTheme="minorHAnsi" w:cstheme="minorHAnsi"/>
                <w:b/>
                <w:bCs/>
              </w:rPr>
              <w:t>Période</w:t>
            </w:r>
          </w:p>
          <w:p w:rsidR="00B740A8" w:rsidRPr="00C73365" w:rsidRDefault="00B740A8" w:rsidP="00D1541A">
            <w:pPr>
              <w:pStyle w:val="rrdsinglerule3"/>
              <w:keepNext/>
              <w:rPr>
                <w:rFonts w:asciiTheme="minorHAnsi" w:hAnsiTheme="minorHAnsi" w:cstheme="minorHAnsi"/>
                <w:b/>
                <w:bCs/>
                <w:sz w:val="20"/>
                <w:szCs w:val="20"/>
              </w:rPr>
            </w:pPr>
            <w:r w:rsidRPr="00C73365">
              <w:rPr>
                <w:rFonts w:asciiTheme="minorHAnsi" w:hAnsiTheme="minorHAnsi" w:cstheme="minorHAnsi"/>
                <w:b/>
                <w:bCs/>
                <w:sz w:val="20"/>
                <w:szCs w:val="20"/>
              </w:rPr>
              <w:t> </w:t>
            </w:r>
          </w:p>
        </w:tc>
        <w:tc>
          <w:tcPr>
            <w:tcW w:w="1235" w:type="dxa"/>
            <w:tcMar>
              <w:top w:w="0" w:type="dxa"/>
              <w:left w:w="144" w:type="dxa"/>
              <w:bottom w:w="0" w:type="dxa"/>
              <w:right w:w="0" w:type="dxa"/>
            </w:tcMar>
            <w:vAlign w:val="bottom"/>
            <w:hideMark/>
          </w:tcPr>
          <w:p w:rsidR="00B740A8" w:rsidRPr="00C73365" w:rsidRDefault="00B740A8" w:rsidP="00D1541A">
            <w:pPr>
              <w:spacing w:line="252" w:lineRule="auto"/>
              <w:jc w:val="center"/>
              <w:rPr>
                <w:rFonts w:asciiTheme="minorHAnsi" w:hAnsiTheme="minorHAnsi" w:cstheme="minorHAnsi"/>
                <w:b/>
                <w:bCs/>
                <w:szCs w:val="20"/>
              </w:rPr>
            </w:pPr>
            <w:r w:rsidRPr="00C73365">
              <w:rPr>
                <w:rFonts w:asciiTheme="minorHAnsi" w:hAnsiTheme="minorHAnsi" w:cstheme="minorHAnsi"/>
                <w:b/>
                <w:bCs/>
              </w:rPr>
              <w:t>HAUT</w:t>
            </w:r>
          </w:p>
          <w:p w:rsidR="00B740A8" w:rsidRPr="00C73365" w:rsidRDefault="00B740A8" w:rsidP="00D1541A">
            <w:pPr>
              <w:pStyle w:val="rrdsinglerule3"/>
              <w:rPr>
                <w:rFonts w:asciiTheme="minorHAnsi" w:hAnsiTheme="minorHAnsi" w:cstheme="minorHAnsi"/>
                <w:b/>
                <w:bCs/>
                <w:sz w:val="20"/>
                <w:szCs w:val="20"/>
              </w:rPr>
            </w:pPr>
            <w:r w:rsidRPr="00C73365">
              <w:rPr>
                <w:rFonts w:asciiTheme="minorHAnsi" w:hAnsiTheme="minorHAnsi" w:cstheme="minorHAnsi"/>
                <w:b/>
                <w:bCs/>
                <w:sz w:val="20"/>
                <w:szCs w:val="20"/>
              </w:rPr>
              <w:t> </w:t>
            </w:r>
          </w:p>
        </w:tc>
        <w:tc>
          <w:tcPr>
            <w:tcW w:w="1282" w:type="dxa"/>
            <w:tcMar>
              <w:top w:w="0" w:type="dxa"/>
              <w:left w:w="144" w:type="dxa"/>
              <w:bottom w:w="0" w:type="dxa"/>
              <w:right w:w="0" w:type="dxa"/>
            </w:tcMar>
            <w:vAlign w:val="bottom"/>
            <w:hideMark/>
          </w:tcPr>
          <w:p w:rsidR="00B740A8" w:rsidRPr="00C73365" w:rsidRDefault="00B740A8" w:rsidP="00D1541A">
            <w:pPr>
              <w:spacing w:line="252" w:lineRule="auto"/>
              <w:jc w:val="center"/>
              <w:rPr>
                <w:rFonts w:asciiTheme="minorHAnsi" w:hAnsiTheme="minorHAnsi" w:cstheme="minorHAnsi"/>
                <w:b/>
                <w:bCs/>
                <w:szCs w:val="20"/>
              </w:rPr>
            </w:pPr>
            <w:r w:rsidRPr="00C73365">
              <w:rPr>
                <w:rFonts w:asciiTheme="minorHAnsi" w:hAnsiTheme="minorHAnsi" w:cstheme="minorHAnsi"/>
                <w:b/>
                <w:bCs/>
              </w:rPr>
              <w:t>BAS</w:t>
            </w:r>
          </w:p>
          <w:p w:rsidR="00B740A8" w:rsidRPr="00C73365" w:rsidRDefault="00B740A8" w:rsidP="00D1541A">
            <w:pPr>
              <w:pStyle w:val="rrdsinglerule3"/>
              <w:rPr>
                <w:rFonts w:asciiTheme="minorHAnsi" w:hAnsiTheme="minorHAnsi" w:cstheme="minorHAnsi"/>
                <w:b/>
                <w:bCs/>
                <w:sz w:val="20"/>
                <w:szCs w:val="20"/>
              </w:rPr>
            </w:pPr>
            <w:r w:rsidRPr="00C73365">
              <w:rPr>
                <w:rFonts w:asciiTheme="minorHAnsi" w:hAnsiTheme="minorHAnsi" w:cstheme="minorHAnsi"/>
                <w:b/>
                <w:bCs/>
                <w:sz w:val="20"/>
                <w:szCs w:val="20"/>
              </w:rPr>
              <w:t> </w:t>
            </w:r>
          </w:p>
        </w:tc>
      </w:tr>
      <w:tr w:rsidR="00B740A8" w:rsidRPr="00C73365" w:rsidTr="00D1541A">
        <w:trPr>
          <w:jc w:val="center"/>
        </w:trPr>
        <w:tc>
          <w:tcPr>
            <w:tcW w:w="6545" w:type="dxa"/>
            <w:hideMark/>
          </w:tcPr>
          <w:p w:rsidR="00B740A8" w:rsidRPr="00C73365" w:rsidRDefault="00B740A8" w:rsidP="00D1541A">
            <w:pPr>
              <w:pStyle w:val="NormalWeb"/>
              <w:keepNext/>
              <w:spacing w:line="252" w:lineRule="auto"/>
              <w:ind w:left="353" w:hanging="353"/>
              <w:rPr>
                <w:rFonts w:asciiTheme="minorHAnsi" w:hAnsiTheme="minorHAnsi" w:cstheme="minorHAnsi"/>
                <w:szCs w:val="20"/>
              </w:rPr>
            </w:pPr>
            <w:r w:rsidRPr="00C73365">
              <w:rPr>
                <w:rFonts w:asciiTheme="minorHAnsi" w:hAnsiTheme="minorHAnsi" w:cstheme="minorHAnsi"/>
              </w:rPr>
              <w:t xml:space="preserve">1er trimestre 2017...................................................................................... </w:t>
            </w:r>
          </w:p>
        </w:tc>
        <w:tc>
          <w:tcPr>
            <w:tcW w:w="1235" w:type="dxa"/>
            <w:noWrap/>
            <w:tcMar>
              <w:top w:w="0" w:type="dxa"/>
              <w:left w:w="144" w:type="dxa"/>
              <w:bottom w:w="0" w:type="dxa"/>
              <w:right w:w="0" w:type="dxa"/>
            </w:tcMar>
            <w:vAlign w:val="bottom"/>
            <w:hideMark/>
          </w:tcPr>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6,91          </w:t>
            </w:r>
          </w:p>
        </w:tc>
        <w:tc>
          <w:tcPr>
            <w:tcW w:w="1282" w:type="dxa"/>
            <w:noWrap/>
            <w:tcMar>
              <w:top w:w="0" w:type="dxa"/>
              <w:left w:w="144" w:type="dxa"/>
              <w:bottom w:w="0" w:type="dxa"/>
              <w:right w:w="0" w:type="dxa"/>
            </w:tcMar>
            <w:vAlign w:val="bottom"/>
            <w:hideMark/>
          </w:tcPr>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5,24      </w:t>
            </w:r>
          </w:p>
        </w:tc>
      </w:tr>
      <w:tr w:rsidR="00B740A8" w:rsidRPr="00C73365" w:rsidTr="00D1541A">
        <w:trPr>
          <w:trHeight w:val="382"/>
          <w:jc w:val="center"/>
        </w:trPr>
        <w:tc>
          <w:tcPr>
            <w:tcW w:w="6545" w:type="dxa"/>
          </w:tcPr>
          <w:p w:rsidR="00B740A8" w:rsidRPr="00C73365" w:rsidRDefault="00B740A8" w:rsidP="00D1541A">
            <w:pPr>
              <w:pStyle w:val="NormalWeb"/>
              <w:keepNext/>
              <w:spacing w:line="252" w:lineRule="auto"/>
              <w:rPr>
                <w:rFonts w:asciiTheme="minorHAnsi" w:hAnsiTheme="minorHAnsi" w:cstheme="minorHAnsi"/>
              </w:rPr>
            </w:pPr>
          </w:p>
          <w:p w:rsidR="00B740A8" w:rsidRPr="00C73365" w:rsidRDefault="00B740A8" w:rsidP="00D1541A">
            <w:pPr>
              <w:pStyle w:val="NormalWeb"/>
              <w:keepNext/>
              <w:spacing w:line="252" w:lineRule="auto"/>
              <w:ind w:left="353" w:hanging="353"/>
              <w:rPr>
                <w:rFonts w:asciiTheme="minorHAnsi" w:hAnsiTheme="minorHAnsi" w:cstheme="minorHAnsi"/>
              </w:rPr>
            </w:pPr>
            <w:r w:rsidRPr="00C73365">
              <w:rPr>
                <w:rFonts w:asciiTheme="minorHAnsi" w:hAnsiTheme="minorHAnsi" w:cstheme="minorHAnsi"/>
              </w:rPr>
              <w:t>2ème trimestre 2017..................................................................................</w:t>
            </w:r>
          </w:p>
        </w:tc>
        <w:tc>
          <w:tcPr>
            <w:tcW w:w="1235" w:type="dxa"/>
            <w:noWrap/>
            <w:tcMar>
              <w:top w:w="0" w:type="dxa"/>
              <w:left w:w="144" w:type="dxa"/>
              <w:bottom w:w="0" w:type="dxa"/>
              <w:right w:w="0" w:type="dxa"/>
            </w:tcMar>
            <w:vAlign w:val="bottom"/>
          </w:tcPr>
          <w:p w:rsidR="00B740A8" w:rsidRPr="00C73365" w:rsidRDefault="00B740A8" w:rsidP="00D1541A">
            <w:pPr>
              <w:pStyle w:val="NormalWeb"/>
              <w:spacing w:line="252" w:lineRule="auto"/>
              <w:rPr>
                <w:rFonts w:asciiTheme="minorHAnsi" w:hAnsiTheme="minorHAnsi" w:cstheme="minorHAnsi"/>
              </w:rPr>
            </w:pPr>
          </w:p>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19,70    </w:t>
            </w:r>
          </w:p>
        </w:tc>
        <w:tc>
          <w:tcPr>
            <w:tcW w:w="1282" w:type="dxa"/>
            <w:noWrap/>
            <w:tcMar>
              <w:top w:w="0" w:type="dxa"/>
              <w:left w:w="144" w:type="dxa"/>
              <w:bottom w:w="0" w:type="dxa"/>
              <w:right w:w="0" w:type="dxa"/>
            </w:tcMar>
            <w:vAlign w:val="bottom"/>
            <w:hideMark/>
          </w:tcPr>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6,91          </w:t>
            </w:r>
          </w:p>
        </w:tc>
      </w:tr>
      <w:tr w:rsidR="00B740A8" w:rsidRPr="00C73365" w:rsidTr="00D1541A">
        <w:trPr>
          <w:jc w:val="center"/>
        </w:trPr>
        <w:tc>
          <w:tcPr>
            <w:tcW w:w="6545" w:type="dxa"/>
          </w:tcPr>
          <w:p w:rsidR="00B740A8" w:rsidRPr="00C73365" w:rsidRDefault="00B740A8" w:rsidP="00D1541A">
            <w:pPr>
              <w:pStyle w:val="NormalWeb"/>
              <w:spacing w:line="252" w:lineRule="auto"/>
              <w:ind w:left="353" w:hanging="353"/>
              <w:rPr>
                <w:rFonts w:asciiTheme="minorHAnsi" w:hAnsiTheme="minorHAnsi" w:cstheme="minorHAnsi"/>
              </w:rPr>
            </w:pPr>
          </w:p>
          <w:p w:rsidR="00B740A8" w:rsidRPr="00C73365" w:rsidRDefault="00B740A8" w:rsidP="00D1541A">
            <w:pPr>
              <w:pStyle w:val="NormalWeb"/>
              <w:spacing w:line="252" w:lineRule="auto"/>
              <w:ind w:left="353" w:hanging="353"/>
              <w:rPr>
                <w:rFonts w:asciiTheme="minorHAnsi" w:hAnsiTheme="minorHAnsi" w:cstheme="minorHAnsi"/>
              </w:rPr>
            </w:pPr>
            <w:r w:rsidRPr="00C73365">
              <w:rPr>
                <w:rFonts w:asciiTheme="minorHAnsi" w:hAnsiTheme="minorHAnsi" w:cstheme="minorHAnsi"/>
              </w:rPr>
              <w:t>3ème trimestre 2017..................................................................................</w:t>
            </w:r>
          </w:p>
        </w:tc>
        <w:tc>
          <w:tcPr>
            <w:tcW w:w="1235" w:type="dxa"/>
            <w:noWrap/>
            <w:tcMar>
              <w:top w:w="0" w:type="dxa"/>
              <w:left w:w="144" w:type="dxa"/>
              <w:bottom w:w="0" w:type="dxa"/>
              <w:right w:w="0" w:type="dxa"/>
            </w:tcMar>
            <w:vAlign w:val="bottom"/>
            <w:hideMark/>
          </w:tcPr>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13,82    </w:t>
            </w:r>
          </w:p>
        </w:tc>
        <w:tc>
          <w:tcPr>
            <w:tcW w:w="1282" w:type="dxa"/>
            <w:noWrap/>
            <w:tcMar>
              <w:top w:w="0" w:type="dxa"/>
              <w:left w:w="144" w:type="dxa"/>
              <w:bottom w:w="0" w:type="dxa"/>
              <w:right w:w="0" w:type="dxa"/>
            </w:tcMar>
            <w:vAlign w:val="bottom"/>
            <w:hideMark/>
          </w:tcPr>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9,90     </w:t>
            </w:r>
          </w:p>
        </w:tc>
      </w:tr>
      <w:tr w:rsidR="00B740A8" w:rsidRPr="00C73365" w:rsidTr="00D1541A">
        <w:trPr>
          <w:trHeight w:val="80"/>
          <w:jc w:val="center"/>
        </w:trPr>
        <w:tc>
          <w:tcPr>
            <w:tcW w:w="6545" w:type="dxa"/>
          </w:tcPr>
          <w:p w:rsidR="00B740A8" w:rsidRPr="00C73365" w:rsidRDefault="00B740A8" w:rsidP="00D1541A">
            <w:pPr>
              <w:pStyle w:val="NormalWeb"/>
              <w:spacing w:line="252" w:lineRule="auto"/>
              <w:ind w:left="353" w:hanging="353"/>
              <w:rPr>
                <w:rFonts w:asciiTheme="minorHAnsi" w:hAnsiTheme="minorHAnsi" w:cstheme="minorHAnsi"/>
              </w:rPr>
            </w:pPr>
          </w:p>
          <w:p w:rsidR="00B740A8" w:rsidRPr="00C73365" w:rsidRDefault="00B740A8" w:rsidP="00D1541A">
            <w:pPr>
              <w:pStyle w:val="NormalWeb"/>
              <w:spacing w:line="252" w:lineRule="auto"/>
              <w:ind w:left="353" w:hanging="353"/>
              <w:rPr>
                <w:rFonts w:asciiTheme="minorHAnsi" w:hAnsiTheme="minorHAnsi" w:cstheme="minorHAnsi"/>
              </w:rPr>
            </w:pPr>
            <w:r w:rsidRPr="00C73365">
              <w:rPr>
                <w:rFonts w:asciiTheme="minorHAnsi" w:hAnsiTheme="minorHAnsi" w:cstheme="minorHAnsi"/>
              </w:rPr>
              <w:t>4ème trimestre 2017..................................................................................</w:t>
            </w:r>
          </w:p>
        </w:tc>
        <w:tc>
          <w:tcPr>
            <w:tcW w:w="1235" w:type="dxa"/>
            <w:noWrap/>
            <w:tcMar>
              <w:top w:w="0" w:type="dxa"/>
              <w:left w:w="144" w:type="dxa"/>
              <w:bottom w:w="0" w:type="dxa"/>
              <w:right w:w="0" w:type="dxa"/>
            </w:tcMar>
            <w:vAlign w:val="bottom"/>
          </w:tcPr>
          <w:p w:rsidR="00B740A8" w:rsidRPr="00C73365" w:rsidRDefault="00B740A8" w:rsidP="00D1541A">
            <w:pPr>
              <w:pStyle w:val="NormalWeb"/>
              <w:spacing w:line="252" w:lineRule="auto"/>
              <w:rPr>
                <w:rFonts w:asciiTheme="minorHAnsi" w:hAnsiTheme="minorHAnsi" w:cstheme="minorHAnsi"/>
              </w:rPr>
            </w:pPr>
          </w:p>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11,88           </w:t>
            </w:r>
          </w:p>
        </w:tc>
        <w:tc>
          <w:tcPr>
            <w:tcW w:w="1282" w:type="dxa"/>
            <w:noWrap/>
            <w:tcMar>
              <w:top w:w="0" w:type="dxa"/>
              <w:left w:w="144" w:type="dxa"/>
              <w:bottom w:w="0" w:type="dxa"/>
              <w:right w:w="0" w:type="dxa"/>
            </w:tcMar>
            <w:vAlign w:val="bottom"/>
            <w:hideMark/>
          </w:tcPr>
          <w:p w:rsidR="00B740A8" w:rsidRPr="00C73365" w:rsidRDefault="00B740A8" w:rsidP="00D1541A">
            <w:pPr>
              <w:pStyle w:val="NormalWeb"/>
              <w:spacing w:line="252" w:lineRule="auto"/>
              <w:rPr>
                <w:rFonts w:asciiTheme="minorHAnsi" w:hAnsiTheme="minorHAnsi" w:cstheme="minorHAnsi"/>
              </w:rPr>
            </w:pPr>
            <w:r w:rsidRPr="00C73365">
              <w:rPr>
                <w:rFonts w:asciiTheme="minorHAnsi" w:hAnsiTheme="minorHAnsi" w:cstheme="minorHAnsi"/>
              </w:rPr>
              <w:t xml:space="preserve">€    8,16            </w:t>
            </w:r>
          </w:p>
        </w:tc>
      </w:tr>
      <w:bookmarkEnd w:id="991"/>
    </w:tbl>
    <w:p w:rsidR="00B740A8" w:rsidRPr="00C73365" w:rsidRDefault="00B740A8">
      <w:pPr>
        <w:rPr>
          <w:rFonts w:asciiTheme="minorHAnsi" w:hAnsiTheme="minorHAnsi" w:cstheme="minorHAnsi"/>
          <w:lang w:val="fr-FR"/>
        </w:rPr>
      </w:pPr>
    </w:p>
    <w:p w:rsidR="00B740A8" w:rsidRPr="00C73365" w:rsidRDefault="00B740A8" w:rsidP="00B740A8">
      <w:pPr>
        <w:pStyle w:val="ConmainL1"/>
        <w:numPr>
          <w:ilvl w:val="0"/>
          <w:numId w:val="9"/>
        </w:numPr>
        <w:rPr>
          <w:rFonts w:asciiTheme="minorHAnsi" w:hAnsiTheme="minorHAnsi" w:cstheme="minorHAnsi"/>
          <w:sz w:val="22"/>
          <w:lang w:val="fr-FR"/>
        </w:rPr>
      </w:pPr>
      <w:bookmarkStart w:id="1021" w:name="_Toc461441246"/>
      <w:bookmarkStart w:id="1022" w:name="_Toc460341012"/>
      <w:bookmarkStart w:id="1023" w:name="_Toc460341013"/>
      <w:bookmarkStart w:id="1024" w:name="_Toc460341014"/>
      <w:bookmarkStart w:id="1025" w:name="_Toc460341015"/>
      <w:bookmarkStart w:id="1026" w:name="_Toc460341016"/>
      <w:bookmarkStart w:id="1027" w:name="_Toc460341017"/>
      <w:bookmarkStart w:id="1028" w:name="_Toc460341018"/>
      <w:bookmarkStart w:id="1029" w:name="_Toc460341019"/>
      <w:bookmarkStart w:id="1030" w:name="_Toc460341020"/>
      <w:bookmarkStart w:id="1031" w:name="_Toc460341021"/>
      <w:bookmarkStart w:id="1032" w:name="_Toc460341022"/>
      <w:bookmarkStart w:id="1033" w:name="_Toc460341023"/>
      <w:bookmarkStart w:id="1034" w:name="_Toc460341024"/>
      <w:bookmarkStart w:id="1035" w:name="_Toc460341025"/>
      <w:bookmarkStart w:id="1036" w:name="_Toc460341026"/>
      <w:bookmarkStart w:id="1037" w:name="_Toc460341027"/>
      <w:bookmarkStart w:id="1038" w:name="_Toc460341028"/>
      <w:bookmarkStart w:id="1039" w:name="_Toc460341029"/>
      <w:bookmarkStart w:id="1040" w:name="_Toc460341030"/>
      <w:bookmarkStart w:id="1041" w:name="_Toc461441247"/>
      <w:bookmarkStart w:id="1042" w:name="_Toc461441248"/>
      <w:bookmarkStart w:id="1043" w:name="_Toc461441249"/>
      <w:bookmarkStart w:id="1044" w:name="_Toc461441250"/>
      <w:bookmarkStart w:id="1045" w:name="_Toc461441251"/>
      <w:bookmarkStart w:id="1046" w:name="_Toc461441252"/>
      <w:bookmarkStart w:id="1047" w:name="_Toc461441253"/>
      <w:bookmarkStart w:id="1048" w:name="_Toc461441254"/>
      <w:bookmarkStart w:id="1049" w:name="_Toc460341032"/>
      <w:bookmarkStart w:id="1050" w:name="_Toc461441262"/>
      <w:bookmarkStart w:id="1051" w:name="_Toc461441263"/>
      <w:bookmarkStart w:id="1052" w:name="_Toc461441264"/>
      <w:bookmarkStart w:id="1053" w:name="_Toc461441265"/>
      <w:bookmarkStart w:id="1054" w:name="_Toc461441266"/>
      <w:bookmarkStart w:id="1055" w:name="_Toc461441267"/>
      <w:bookmarkStart w:id="1056" w:name="_Toc461441268"/>
      <w:bookmarkStart w:id="1057" w:name="_Toc461441269"/>
      <w:bookmarkStart w:id="1058" w:name="_Toc461441270"/>
      <w:bookmarkStart w:id="1059" w:name="_Toc461441271"/>
      <w:bookmarkStart w:id="1060" w:name="_Toc461441272"/>
      <w:bookmarkStart w:id="1061" w:name="_Toc461441273"/>
      <w:bookmarkStart w:id="1062" w:name="_Toc462673292"/>
      <w:bookmarkStart w:id="1063" w:name="_Toc467835641"/>
      <w:bookmarkStart w:id="1064" w:name="_Toc482695315"/>
      <w:bookmarkStart w:id="1065" w:name="_Toc292135911"/>
      <w:bookmarkStart w:id="1066" w:name="_Toc51286396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r w:rsidRPr="00C73365">
        <w:rPr>
          <w:rFonts w:asciiTheme="minorHAnsi" w:hAnsiTheme="minorHAnsi" w:cstheme="minorHAnsi"/>
          <w:sz w:val="22"/>
          <w:lang w:val="fr-FR"/>
        </w:rPr>
        <w:lastRenderedPageBreak/>
        <w:t>OPERATIONS AVEC DES APPARENTES</w:t>
      </w:r>
      <w:bookmarkEnd w:id="1062"/>
      <w:bookmarkEnd w:id="1063"/>
      <w:bookmarkEnd w:id="1064"/>
      <w:bookmarkEnd w:id="1066"/>
    </w:p>
    <w:p w:rsidR="00B740A8" w:rsidRPr="00C73365" w:rsidRDefault="00B740A8" w:rsidP="00B740A8">
      <w:pPr>
        <w:pStyle w:val="ListParagraph"/>
        <w:widowControl w:val="0"/>
        <w:ind w:left="0"/>
        <w:rPr>
          <w:rFonts w:asciiTheme="minorHAnsi" w:hAnsiTheme="minorHAnsi" w:cstheme="minorHAnsi"/>
          <w:lang w:val="fr-FR"/>
        </w:rPr>
      </w:pPr>
    </w:p>
    <w:p w:rsidR="00B740A8" w:rsidRPr="00C73365" w:rsidRDefault="00B740A8" w:rsidP="00B740A8">
      <w:pPr>
        <w:pStyle w:val="ConmainL2"/>
        <w:numPr>
          <w:ilvl w:val="1"/>
          <w:numId w:val="9"/>
        </w:numPr>
        <w:rPr>
          <w:rFonts w:asciiTheme="minorHAnsi" w:hAnsiTheme="minorHAnsi" w:cstheme="minorHAnsi"/>
          <w:lang w:val="fr-FR"/>
        </w:rPr>
      </w:pPr>
      <w:bookmarkStart w:id="1067" w:name="_Toc401594132"/>
      <w:r w:rsidRPr="00C73365">
        <w:rPr>
          <w:rFonts w:asciiTheme="minorHAnsi" w:hAnsiTheme="minorHAnsi" w:cstheme="minorHAnsi"/>
          <w:lang w:val="fr-FR"/>
        </w:rPr>
        <w:t xml:space="preserve"> </w:t>
      </w:r>
      <w:bookmarkStart w:id="1068" w:name="_Toc512863961"/>
      <w:bookmarkEnd w:id="1067"/>
      <w:r w:rsidR="00F06F79" w:rsidRPr="00C73365">
        <w:rPr>
          <w:rFonts w:asciiTheme="minorHAnsi" w:hAnsiTheme="minorHAnsi" w:cstheme="minorHAnsi"/>
          <w:lang w:val="fr-FR"/>
        </w:rPr>
        <w:t>Convention intra-groupe</w:t>
      </w:r>
      <w:bookmarkEnd w:id="1068"/>
    </w:p>
    <w:p w:rsidR="00B740A8" w:rsidRPr="00C73365" w:rsidRDefault="00B740A8" w:rsidP="00C73365">
      <w:pPr>
        <w:rPr>
          <w:rFonts w:asciiTheme="minorHAnsi" w:hAnsiTheme="minorHAnsi" w:cstheme="minorHAnsi"/>
          <w:lang w:val="fr-FR"/>
        </w:rPr>
      </w:pPr>
      <w:r w:rsidRPr="00C73365">
        <w:rPr>
          <w:rFonts w:asciiTheme="minorHAnsi" w:hAnsiTheme="minorHAnsi" w:cstheme="minorHAnsi"/>
          <w:lang w:val="fr-FR"/>
        </w:rPr>
        <w:t>La Société ne dispose pas de filiale à la date du présent document de référence.</w:t>
      </w:r>
    </w:p>
    <w:p w:rsidR="00B740A8" w:rsidRPr="00C73365" w:rsidRDefault="00B740A8" w:rsidP="00B740A8">
      <w:pPr>
        <w:pStyle w:val="ConmainL2"/>
        <w:numPr>
          <w:ilvl w:val="1"/>
          <w:numId w:val="9"/>
        </w:numPr>
        <w:rPr>
          <w:rFonts w:asciiTheme="minorHAnsi" w:hAnsiTheme="minorHAnsi" w:cstheme="minorHAnsi"/>
          <w:lang w:val="fr-FR"/>
        </w:rPr>
      </w:pPr>
      <w:bookmarkStart w:id="1069" w:name="_Toc401594133"/>
      <w:r w:rsidRPr="00C73365">
        <w:rPr>
          <w:rFonts w:asciiTheme="minorHAnsi" w:hAnsiTheme="minorHAnsi" w:cstheme="minorHAnsi"/>
          <w:lang w:val="fr-FR"/>
        </w:rPr>
        <w:t xml:space="preserve"> </w:t>
      </w:r>
      <w:bookmarkStart w:id="1070" w:name="_Toc462673294"/>
      <w:bookmarkStart w:id="1071" w:name="_Toc482695317"/>
      <w:bookmarkStart w:id="1072" w:name="_Toc512863962"/>
      <w:r w:rsidRPr="00C73365">
        <w:rPr>
          <w:rFonts w:asciiTheme="minorHAnsi" w:hAnsiTheme="minorHAnsi" w:cstheme="minorHAnsi"/>
          <w:lang w:val="fr-FR"/>
        </w:rPr>
        <w:t>Opérations avec les apparentés</w:t>
      </w:r>
      <w:bookmarkEnd w:id="1069"/>
      <w:bookmarkEnd w:id="1070"/>
      <w:bookmarkEnd w:id="1071"/>
      <w:bookmarkEnd w:id="1072"/>
    </w:p>
    <w:p w:rsidR="00B740A8" w:rsidRPr="00C73365" w:rsidRDefault="00B740A8" w:rsidP="00B740A8">
      <w:pPr>
        <w:pStyle w:val="ConmainL2"/>
        <w:numPr>
          <w:ilvl w:val="2"/>
          <w:numId w:val="9"/>
        </w:numPr>
        <w:outlineLvl w:val="9"/>
        <w:rPr>
          <w:rFonts w:asciiTheme="minorHAnsi" w:hAnsiTheme="minorHAnsi" w:cstheme="minorHAnsi"/>
          <w:color w:val="7030A0"/>
          <w:lang w:val="fr-FR"/>
        </w:rPr>
      </w:pPr>
      <w:r w:rsidRPr="00C73365">
        <w:rPr>
          <w:rFonts w:asciiTheme="minorHAnsi" w:hAnsiTheme="minorHAnsi" w:cstheme="minorHAnsi"/>
          <w:color w:val="7030A0"/>
          <w:lang w:val="fr-FR"/>
        </w:rPr>
        <w:t xml:space="preserve"> </w:t>
      </w:r>
      <w:bookmarkStart w:id="1073" w:name="_Toc453668246"/>
      <w:r w:rsidRPr="00C73365">
        <w:rPr>
          <w:rFonts w:asciiTheme="minorHAnsi" w:hAnsiTheme="minorHAnsi" w:cstheme="minorHAnsi"/>
          <w:color w:val="7030A0"/>
          <w:lang w:val="fr-FR"/>
        </w:rPr>
        <w:t>Conventions conclues au cours de l’exercice 2017</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Sans objet.</w:t>
      </w:r>
    </w:p>
    <w:p w:rsidR="00B740A8" w:rsidRPr="00C73365" w:rsidRDefault="00B740A8" w:rsidP="00B740A8">
      <w:pPr>
        <w:pStyle w:val="ConmainL2"/>
        <w:numPr>
          <w:ilvl w:val="2"/>
          <w:numId w:val="9"/>
        </w:numPr>
        <w:outlineLvl w:val="9"/>
        <w:rPr>
          <w:rFonts w:asciiTheme="minorHAnsi" w:hAnsiTheme="minorHAnsi" w:cstheme="minorHAnsi"/>
          <w:color w:val="7030A0"/>
          <w:lang w:val="fr-FR"/>
        </w:rPr>
      </w:pPr>
      <w:r w:rsidRPr="00C73365">
        <w:rPr>
          <w:rFonts w:asciiTheme="minorHAnsi" w:hAnsiTheme="minorHAnsi" w:cstheme="minorHAnsi"/>
          <w:color w:val="7030A0"/>
          <w:lang w:val="fr-FR"/>
        </w:rPr>
        <w:t xml:space="preserve">Conventions en cours à la date d’enregistrement du document de référence </w:t>
      </w:r>
    </w:p>
    <w:bookmarkEnd w:id="1073"/>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Sans objet.</w:t>
      </w:r>
    </w:p>
    <w:p w:rsidR="00B740A8" w:rsidRPr="00C73365" w:rsidRDefault="00B740A8" w:rsidP="00B740A8">
      <w:pPr>
        <w:pStyle w:val="ListParagraph"/>
        <w:numPr>
          <w:ilvl w:val="2"/>
          <w:numId w:val="9"/>
        </w:numPr>
        <w:spacing w:after="0"/>
        <w:rPr>
          <w:rFonts w:asciiTheme="minorHAnsi" w:hAnsiTheme="minorHAnsi" w:cstheme="minorHAnsi"/>
          <w:b/>
          <w:color w:val="7030A0"/>
          <w:szCs w:val="20"/>
          <w:lang w:val="fr-FR"/>
        </w:rPr>
      </w:pPr>
      <w:r w:rsidRPr="00C73365">
        <w:rPr>
          <w:rFonts w:asciiTheme="minorHAnsi" w:hAnsiTheme="minorHAnsi" w:cstheme="minorHAnsi"/>
          <w:b/>
          <w:color w:val="7030A0"/>
          <w:szCs w:val="20"/>
          <w:lang w:val="fr-FR"/>
        </w:rPr>
        <w:t>Rappel des conventions conclues au cours de l’exercice clos le 31 décembre 2016 et ayant pris fin à la date d’enregistrement du document de référence</w:t>
      </w:r>
    </w:p>
    <w:p w:rsidR="00B740A8" w:rsidRPr="00C73365" w:rsidRDefault="00B740A8" w:rsidP="00B740A8">
      <w:pPr>
        <w:pStyle w:val="ListParagraph"/>
        <w:ind w:left="720"/>
        <w:contextualSpacing/>
        <w:rPr>
          <w:rFonts w:asciiTheme="minorHAnsi" w:hAnsiTheme="minorHAnsi" w:cstheme="minorHAnsi"/>
          <w:lang w:val="fr-FR"/>
        </w:rPr>
      </w:pPr>
    </w:p>
    <w:p w:rsidR="00B740A8" w:rsidRPr="00C73365" w:rsidRDefault="00B740A8" w:rsidP="00B740A8">
      <w:pPr>
        <w:pStyle w:val="ListParagraph"/>
        <w:numPr>
          <w:ilvl w:val="0"/>
          <w:numId w:val="31"/>
        </w:numPr>
        <w:spacing w:after="0"/>
        <w:contextualSpacing/>
        <w:rPr>
          <w:rFonts w:asciiTheme="minorHAnsi" w:hAnsiTheme="minorHAnsi" w:cstheme="minorHAnsi"/>
          <w:b/>
          <w:lang w:val="fr-FR"/>
        </w:rPr>
      </w:pPr>
      <w:r w:rsidRPr="00C73365">
        <w:rPr>
          <w:rFonts w:asciiTheme="minorHAnsi" w:hAnsiTheme="minorHAnsi" w:cstheme="minorHAnsi"/>
          <w:b/>
          <w:lang w:val="fr-FR"/>
        </w:rPr>
        <w:t>Conventions de mise à disposition de salariés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Deux conventions de mise à disposition de salariés ont été signées le 3 novembre 2014 avec la société Neovacs (dont des fonds, gérés par Truffle Capital, sont actionnaires) en vue de la mise à disposition à temps partiel de Madame Thomas-Pujol et Monsieur Pourtout pour la réalisation de prestations facturées à « prix coûtant » à </w:t>
      </w:r>
      <w:r w:rsidR="00EF089C" w:rsidRPr="00C73365">
        <w:rPr>
          <w:rFonts w:asciiTheme="minorHAnsi" w:hAnsiTheme="minorHAnsi" w:cstheme="minorHAnsi"/>
          <w:lang w:val="fr-FR"/>
        </w:rPr>
        <w:t>ABIVAX</w:t>
      </w:r>
      <w:r w:rsidRPr="00C73365">
        <w:rPr>
          <w:rFonts w:asciiTheme="minorHAnsi" w:hAnsiTheme="minorHAnsi" w:cstheme="minorHAnsi"/>
          <w:lang w:val="fr-FR"/>
        </w:rPr>
        <w:t>, c’est-à-dire limitées au remboursement des salaires et charges sociales afférents ainsi que des frais professionnels engendrés.</w:t>
      </w:r>
    </w:p>
    <w:p w:rsidR="00B740A8" w:rsidRPr="00C73365" w:rsidRDefault="00B740A8" w:rsidP="004572A0">
      <w:pPr>
        <w:pStyle w:val="BodyText"/>
        <w:rPr>
          <w:rFonts w:asciiTheme="minorHAnsi" w:hAnsiTheme="minorHAnsi" w:cstheme="minorHAnsi"/>
          <w:b/>
          <w:sz w:val="22"/>
          <w:szCs w:val="22"/>
          <w:lang w:val="fr-FR"/>
        </w:rPr>
      </w:pPr>
      <w:r w:rsidRPr="00C73365">
        <w:rPr>
          <w:rFonts w:asciiTheme="minorHAnsi" w:hAnsiTheme="minorHAnsi" w:cstheme="minorHAnsi"/>
          <w:lang w:val="fr-FR"/>
        </w:rPr>
        <w:t>Ces conventions ont été résiliées avec effet au 31 décembre 2015 concernant Madame Thomas-Pujol et avec effet au 30 avril 2016 concernant Monsieur Pourtout.</w:t>
      </w:r>
      <w:r w:rsidRPr="00C73365">
        <w:rPr>
          <w:rFonts w:asciiTheme="minorHAnsi" w:hAnsiTheme="minorHAnsi" w:cstheme="minorHAnsi"/>
          <w:b/>
          <w:szCs w:val="22"/>
          <w:lang w:val="fr-FR"/>
        </w:rPr>
        <w:t xml:space="preserve"> </w:t>
      </w:r>
    </w:p>
    <w:p w:rsidR="00B740A8" w:rsidRPr="00C73365" w:rsidRDefault="00B740A8" w:rsidP="00B740A8">
      <w:pPr>
        <w:pStyle w:val="ListParagraph"/>
        <w:numPr>
          <w:ilvl w:val="0"/>
          <w:numId w:val="31"/>
        </w:numPr>
        <w:spacing w:after="0"/>
        <w:contextualSpacing/>
        <w:rPr>
          <w:rFonts w:asciiTheme="minorHAnsi" w:hAnsiTheme="minorHAnsi" w:cstheme="minorHAnsi"/>
          <w:b/>
          <w:sz w:val="22"/>
          <w:szCs w:val="22"/>
          <w:lang w:val="fr-FR"/>
        </w:rPr>
      </w:pPr>
      <w:r w:rsidRPr="00C73365">
        <w:rPr>
          <w:rFonts w:asciiTheme="minorHAnsi" w:hAnsiTheme="minorHAnsi" w:cstheme="minorHAnsi"/>
          <w:b/>
          <w:szCs w:val="22"/>
          <w:lang w:val="fr-FR"/>
        </w:rPr>
        <w:t>Convention de mise à disposition de locaux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En date du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w:t>
      </w:r>
      <w:r w:rsidR="00E73A7C">
        <w:rPr>
          <w:rFonts w:asciiTheme="minorHAnsi" w:hAnsiTheme="minorHAnsi" w:cstheme="minorHAnsi"/>
          <w:lang w:val="fr-FR"/>
        </w:rPr>
        <w:t>septembre</w:t>
      </w:r>
      <w:r w:rsidRPr="00C73365">
        <w:rPr>
          <w:rFonts w:asciiTheme="minorHAnsi" w:hAnsiTheme="minorHAnsi" w:cstheme="minorHAnsi"/>
          <w:lang w:val="fr-FR"/>
        </w:rPr>
        <w:t xml:space="preserve"> 2014, la Société a souhaité louer des locaux au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étage de l’immeuble situé 5, rue de la Baume à la SCI Truffle Baume par la conclusion d’une sous-location de bail dérogatoire. Cette convention a été conclue pour une durée de deux ans moyennant une rémunération annuelle de cent soixante-quinze mille (175.000) euros hors taxes.</w:t>
      </w:r>
      <w:r w:rsidRPr="00C73365">
        <w:rPr>
          <w:rFonts w:asciiTheme="minorHAnsi" w:hAnsiTheme="minorHAnsi" w:cstheme="minorHAnsi"/>
          <w:sz w:val="21"/>
          <w:szCs w:val="21"/>
          <w:lang w:val="fr-FR" w:eastAsia="fr-FR"/>
        </w:rPr>
        <w:t xml:space="preserve"> </w:t>
      </w:r>
      <w:r w:rsidRPr="00C73365">
        <w:rPr>
          <w:rFonts w:asciiTheme="minorHAnsi" w:hAnsiTheme="minorHAnsi" w:cstheme="minorHAnsi"/>
          <w:lang w:val="fr-FR"/>
        </w:rPr>
        <w:t>Au 31 décembre 2016, le loyer relatif à la période du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janvier au 31 août 2016 est de 123.000 euros hors taxes. Cette convention a pris fin le 31 août 2016.</w:t>
      </w:r>
    </w:p>
    <w:p w:rsidR="00B740A8" w:rsidRPr="00C73365" w:rsidRDefault="00B740A8" w:rsidP="00B740A8">
      <w:pPr>
        <w:pStyle w:val="ConmainL2"/>
        <w:numPr>
          <w:ilvl w:val="1"/>
          <w:numId w:val="9"/>
        </w:numPr>
        <w:rPr>
          <w:rFonts w:asciiTheme="minorHAnsi" w:hAnsiTheme="minorHAnsi" w:cstheme="minorHAnsi"/>
          <w:lang w:val="fr-FR"/>
        </w:rPr>
      </w:pPr>
      <w:bookmarkStart w:id="1074" w:name="_Toc401594134"/>
      <w:r w:rsidRPr="00C73365">
        <w:rPr>
          <w:rFonts w:asciiTheme="minorHAnsi" w:hAnsiTheme="minorHAnsi" w:cstheme="minorHAnsi"/>
          <w:sz w:val="22"/>
          <w:lang w:val="fr-FR"/>
        </w:rPr>
        <w:lastRenderedPageBreak/>
        <w:t xml:space="preserve"> </w:t>
      </w:r>
      <w:bookmarkStart w:id="1075" w:name="_Toc462673295"/>
      <w:bookmarkStart w:id="1076" w:name="_Toc467835644"/>
      <w:bookmarkStart w:id="1077" w:name="_Toc482695318"/>
      <w:bookmarkStart w:id="1078" w:name="_Toc512863963"/>
      <w:bookmarkEnd w:id="1074"/>
      <w:r w:rsidRPr="00C73365">
        <w:rPr>
          <w:rFonts w:asciiTheme="minorHAnsi" w:hAnsiTheme="minorHAnsi" w:cstheme="minorHAnsi"/>
          <w:lang w:val="fr-FR"/>
        </w:rPr>
        <w:t xml:space="preserve">Rapports spéciaux des commissaires aux comptes établis au titre des exercices clos </w:t>
      </w:r>
      <w:bookmarkEnd w:id="1075"/>
      <w:bookmarkEnd w:id="1076"/>
      <w:r w:rsidRPr="00C73365">
        <w:rPr>
          <w:rFonts w:asciiTheme="minorHAnsi" w:hAnsiTheme="minorHAnsi" w:cstheme="minorHAnsi"/>
          <w:lang w:val="fr-FR"/>
        </w:rPr>
        <w:t>le 31 décembre 2017</w:t>
      </w:r>
      <w:bookmarkEnd w:id="1077"/>
      <w:bookmarkEnd w:id="1078"/>
    </w:p>
    <w:p w:rsidR="00114C75" w:rsidRDefault="000F6197" w:rsidP="00A96CCA">
      <w:pPr>
        <w:spacing w:after="0"/>
        <w:jc w:val="center"/>
        <w:rPr>
          <w:rFonts w:asciiTheme="minorHAnsi" w:hAnsiTheme="minorHAnsi" w:cstheme="minorHAnsi"/>
          <w:lang w:val="fr-FR"/>
        </w:rPr>
      </w:pPr>
      <w:r>
        <w:rPr>
          <w:noProof/>
          <w:lang w:val="fr-FR" w:eastAsia="fr-FR"/>
        </w:rPr>
        <w:drawing>
          <wp:inline distT="0" distB="0" distL="0" distR="0" wp14:anchorId="77BB54B4" wp14:editId="68AD6324">
            <wp:extent cx="4124325" cy="59436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124325" cy="5943600"/>
                    </a:xfrm>
                    <a:prstGeom prst="rect">
                      <a:avLst/>
                    </a:prstGeom>
                  </pic:spPr>
                </pic:pic>
              </a:graphicData>
            </a:graphic>
          </wp:inline>
        </w:drawing>
      </w:r>
    </w:p>
    <w:p w:rsidR="000F6197" w:rsidRPr="00C73365" w:rsidRDefault="005B0C97" w:rsidP="00A96CCA">
      <w:pPr>
        <w:spacing w:after="0"/>
        <w:jc w:val="center"/>
        <w:rPr>
          <w:rFonts w:asciiTheme="minorHAnsi" w:hAnsiTheme="minorHAnsi" w:cstheme="minorHAnsi"/>
          <w:lang w:val="fr-FR"/>
        </w:rPr>
      </w:pPr>
      <w:r>
        <w:rPr>
          <w:noProof/>
          <w:lang w:val="fr-FR" w:eastAsia="fr-FR"/>
        </w:rPr>
        <w:lastRenderedPageBreak/>
        <w:drawing>
          <wp:inline distT="0" distB="0" distL="0" distR="0" wp14:anchorId="75D9DE50" wp14:editId="4232A37D">
            <wp:extent cx="3771900" cy="2971800"/>
            <wp:effectExtent l="0" t="0" r="0"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771900" cy="2971800"/>
                    </a:xfrm>
                    <a:prstGeom prst="rect">
                      <a:avLst/>
                    </a:prstGeom>
                  </pic:spPr>
                </pic:pic>
              </a:graphicData>
            </a:graphic>
          </wp:inline>
        </w:drawing>
      </w:r>
    </w:p>
    <w:p w:rsidR="00114C75" w:rsidRPr="00C73365" w:rsidRDefault="00114C75" w:rsidP="007F1850">
      <w:pPr>
        <w:spacing w:after="0"/>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114C75" w:rsidRPr="00C73365" w:rsidRDefault="00114C75" w:rsidP="00A96CCA">
      <w:pPr>
        <w:spacing w:after="0"/>
        <w:jc w:val="center"/>
        <w:rPr>
          <w:rFonts w:asciiTheme="minorHAnsi" w:hAnsiTheme="minorHAnsi" w:cstheme="minorHAnsi"/>
          <w:lang w:val="fr-FR"/>
        </w:rPr>
      </w:pPr>
    </w:p>
    <w:p w:rsidR="00270D4B" w:rsidRPr="00C73365" w:rsidRDefault="00270D4B" w:rsidP="00A96CCA">
      <w:pPr>
        <w:pStyle w:val="ConmainL2"/>
        <w:numPr>
          <w:ilvl w:val="0"/>
          <w:numId w:val="0"/>
        </w:numPr>
        <w:spacing w:after="0"/>
        <w:outlineLvl w:val="9"/>
        <w:rPr>
          <w:rFonts w:asciiTheme="minorHAnsi" w:hAnsiTheme="minorHAnsi" w:cstheme="minorHAnsi"/>
          <w:sz w:val="22"/>
          <w:lang w:val="fr-FR"/>
        </w:rPr>
      </w:pPr>
    </w:p>
    <w:p w:rsidR="00270D4B" w:rsidRPr="00C73365" w:rsidRDefault="00270D4B" w:rsidP="00A96CCA">
      <w:pPr>
        <w:pStyle w:val="ConmainL2"/>
        <w:numPr>
          <w:ilvl w:val="0"/>
          <w:numId w:val="0"/>
        </w:numPr>
        <w:spacing w:after="0"/>
        <w:outlineLvl w:val="9"/>
        <w:rPr>
          <w:rFonts w:asciiTheme="minorHAnsi" w:hAnsiTheme="minorHAnsi" w:cstheme="minorHAnsi"/>
          <w:sz w:val="22"/>
          <w:lang w:val="fr-FR"/>
        </w:rPr>
      </w:pPr>
    </w:p>
    <w:p w:rsidR="00F46C7B" w:rsidRPr="00C73365" w:rsidRDefault="00270D4B" w:rsidP="00B740A8">
      <w:pPr>
        <w:pStyle w:val="ConmainL1"/>
        <w:numPr>
          <w:ilvl w:val="0"/>
          <w:numId w:val="9"/>
        </w:numPr>
        <w:rPr>
          <w:rFonts w:asciiTheme="minorHAnsi" w:hAnsiTheme="minorHAnsi" w:cstheme="minorHAnsi"/>
          <w:sz w:val="22"/>
          <w:lang w:val="fr-FR"/>
        </w:rPr>
      </w:pPr>
      <w:bookmarkStart w:id="1079" w:name="_Toc481658233"/>
      <w:bookmarkStart w:id="1080" w:name="_Toc481658816"/>
      <w:bookmarkStart w:id="1081" w:name="_Toc481661992"/>
      <w:bookmarkStart w:id="1082" w:name="_Toc481683595"/>
      <w:bookmarkStart w:id="1083" w:name="_Toc482087358"/>
      <w:bookmarkStart w:id="1084" w:name="_Toc482089599"/>
      <w:bookmarkStart w:id="1085" w:name="_Toc482090908"/>
      <w:bookmarkStart w:id="1086" w:name="_Toc482174935"/>
      <w:bookmarkStart w:id="1087" w:name="_Toc482175080"/>
      <w:bookmarkStart w:id="1088" w:name="_Toc482188596"/>
      <w:bookmarkStart w:id="1089" w:name="_Toc482189484"/>
      <w:bookmarkStart w:id="1090" w:name="_Toc481658234"/>
      <w:bookmarkStart w:id="1091" w:name="_Toc481658817"/>
      <w:bookmarkStart w:id="1092" w:name="_Toc481661993"/>
      <w:bookmarkStart w:id="1093" w:name="_Toc481683596"/>
      <w:bookmarkStart w:id="1094" w:name="_Toc482087359"/>
      <w:bookmarkStart w:id="1095" w:name="_Toc482089600"/>
      <w:bookmarkStart w:id="1096" w:name="_Toc482090909"/>
      <w:bookmarkStart w:id="1097" w:name="_Toc482174936"/>
      <w:bookmarkStart w:id="1098" w:name="_Toc482175081"/>
      <w:bookmarkStart w:id="1099" w:name="_Toc482188597"/>
      <w:bookmarkStart w:id="1100" w:name="_Toc482189485"/>
      <w:bookmarkStart w:id="1101" w:name="_Toc481658235"/>
      <w:bookmarkStart w:id="1102" w:name="_Toc481658818"/>
      <w:bookmarkStart w:id="1103" w:name="_Toc481661994"/>
      <w:bookmarkStart w:id="1104" w:name="_Toc481683597"/>
      <w:bookmarkStart w:id="1105" w:name="_Toc482087360"/>
      <w:bookmarkStart w:id="1106" w:name="_Toc482089601"/>
      <w:bookmarkStart w:id="1107" w:name="_Toc482090910"/>
      <w:bookmarkStart w:id="1108" w:name="_Toc482174937"/>
      <w:bookmarkStart w:id="1109" w:name="_Toc482175082"/>
      <w:bookmarkStart w:id="1110" w:name="_Toc482188598"/>
      <w:bookmarkStart w:id="1111" w:name="_Toc482189486"/>
      <w:bookmarkStart w:id="1112" w:name="_Toc481658236"/>
      <w:bookmarkStart w:id="1113" w:name="_Toc481658819"/>
      <w:bookmarkStart w:id="1114" w:name="_Toc481661995"/>
      <w:bookmarkStart w:id="1115" w:name="_Toc481683598"/>
      <w:bookmarkStart w:id="1116" w:name="_Toc482087361"/>
      <w:bookmarkStart w:id="1117" w:name="_Toc482089602"/>
      <w:bookmarkStart w:id="1118" w:name="_Toc482090911"/>
      <w:bookmarkStart w:id="1119" w:name="_Toc482174938"/>
      <w:bookmarkStart w:id="1120" w:name="_Toc482175083"/>
      <w:bookmarkStart w:id="1121" w:name="_Toc482188599"/>
      <w:bookmarkStart w:id="1122" w:name="_Toc482189487"/>
      <w:bookmarkStart w:id="1123" w:name="_Toc481658237"/>
      <w:bookmarkStart w:id="1124" w:name="_Toc481658820"/>
      <w:bookmarkStart w:id="1125" w:name="_Toc481661996"/>
      <w:bookmarkStart w:id="1126" w:name="_Toc481683599"/>
      <w:bookmarkStart w:id="1127" w:name="_Toc482087362"/>
      <w:bookmarkStart w:id="1128" w:name="_Toc482089603"/>
      <w:bookmarkStart w:id="1129" w:name="_Toc482090912"/>
      <w:bookmarkStart w:id="1130" w:name="_Toc482174939"/>
      <w:bookmarkStart w:id="1131" w:name="_Toc482175084"/>
      <w:bookmarkStart w:id="1132" w:name="_Toc482188600"/>
      <w:bookmarkStart w:id="1133" w:name="_Toc482189488"/>
      <w:bookmarkStart w:id="1134" w:name="_Toc481658238"/>
      <w:bookmarkStart w:id="1135" w:name="_Toc481658821"/>
      <w:bookmarkStart w:id="1136" w:name="_Toc481661997"/>
      <w:bookmarkStart w:id="1137" w:name="_Toc481683600"/>
      <w:bookmarkStart w:id="1138" w:name="_Toc482087363"/>
      <w:bookmarkStart w:id="1139" w:name="_Toc482089604"/>
      <w:bookmarkStart w:id="1140" w:name="_Toc482090913"/>
      <w:bookmarkStart w:id="1141" w:name="_Toc482174940"/>
      <w:bookmarkStart w:id="1142" w:name="_Toc482175085"/>
      <w:bookmarkStart w:id="1143" w:name="_Toc482188601"/>
      <w:bookmarkStart w:id="1144" w:name="_Toc482189489"/>
      <w:bookmarkStart w:id="1145" w:name="_Toc481658239"/>
      <w:bookmarkStart w:id="1146" w:name="_Toc481658822"/>
      <w:bookmarkStart w:id="1147" w:name="_Toc481661998"/>
      <w:bookmarkStart w:id="1148" w:name="_Toc481683601"/>
      <w:bookmarkStart w:id="1149" w:name="_Toc482087364"/>
      <w:bookmarkStart w:id="1150" w:name="_Toc482089605"/>
      <w:bookmarkStart w:id="1151" w:name="_Toc482090914"/>
      <w:bookmarkStart w:id="1152" w:name="_Toc482174941"/>
      <w:bookmarkStart w:id="1153" w:name="_Toc482175086"/>
      <w:bookmarkStart w:id="1154" w:name="_Toc482188602"/>
      <w:bookmarkStart w:id="1155" w:name="_Toc482189490"/>
      <w:bookmarkStart w:id="1156" w:name="_Toc481658240"/>
      <w:bookmarkStart w:id="1157" w:name="_Toc481658823"/>
      <w:bookmarkStart w:id="1158" w:name="_Toc481661999"/>
      <w:bookmarkStart w:id="1159" w:name="_Toc481683602"/>
      <w:bookmarkStart w:id="1160" w:name="_Toc482087365"/>
      <w:bookmarkStart w:id="1161" w:name="_Toc482089606"/>
      <w:bookmarkStart w:id="1162" w:name="_Toc482090915"/>
      <w:bookmarkStart w:id="1163" w:name="_Toc482174942"/>
      <w:bookmarkStart w:id="1164" w:name="_Toc482175087"/>
      <w:bookmarkStart w:id="1165" w:name="_Toc482188603"/>
      <w:bookmarkStart w:id="1166" w:name="_Toc482189491"/>
      <w:bookmarkStart w:id="1167" w:name="_Toc481658241"/>
      <w:bookmarkStart w:id="1168" w:name="_Toc481658824"/>
      <w:bookmarkStart w:id="1169" w:name="_Toc481662000"/>
      <w:bookmarkStart w:id="1170" w:name="_Toc481683603"/>
      <w:bookmarkStart w:id="1171" w:name="_Toc482087366"/>
      <w:bookmarkStart w:id="1172" w:name="_Toc482089607"/>
      <w:bookmarkStart w:id="1173" w:name="_Toc482090916"/>
      <w:bookmarkStart w:id="1174" w:name="_Toc482174943"/>
      <w:bookmarkStart w:id="1175" w:name="_Toc482175088"/>
      <w:bookmarkStart w:id="1176" w:name="_Toc482188604"/>
      <w:bookmarkStart w:id="1177" w:name="_Toc482189492"/>
      <w:bookmarkStart w:id="1178" w:name="_Toc481658242"/>
      <w:bookmarkStart w:id="1179" w:name="_Toc481658825"/>
      <w:bookmarkStart w:id="1180" w:name="_Toc481662001"/>
      <w:bookmarkStart w:id="1181" w:name="_Toc481683604"/>
      <w:bookmarkStart w:id="1182" w:name="_Toc482087367"/>
      <w:bookmarkStart w:id="1183" w:name="_Toc482089608"/>
      <w:bookmarkStart w:id="1184" w:name="_Toc482090917"/>
      <w:bookmarkStart w:id="1185" w:name="_Toc482174944"/>
      <w:bookmarkStart w:id="1186" w:name="_Toc482175089"/>
      <w:bookmarkStart w:id="1187" w:name="_Toc482188605"/>
      <w:bookmarkStart w:id="1188" w:name="_Toc482189493"/>
      <w:bookmarkStart w:id="1189" w:name="_Toc481658243"/>
      <w:bookmarkStart w:id="1190" w:name="_Toc481658826"/>
      <w:bookmarkStart w:id="1191" w:name="_Toc481662002"/>
      <w:bookmarkStart w:id="1192" w:name="_Toc481683605"/>
      <w:bookmarkStart w:id="1193" w:name="_Toc482087368"/>
      <w:bookmarkStart w:id="1194" w:name="_Toc482089609"/>
      <w:bookmarkStart w:id="1195" w:name="_Toc482090918"/>
      <w:bookmarkStart w:id="1196" w:name="_Toc482174945"/>
      <w:bookmarkStart w:id="1197" w:name="_Toc482175090"/>
      <w:bookmarkStart w:id="1198" w:name="_Toc482188606"/>
      <w:bookmarkStart w:id="1199" w:name="_Toc482189494"/>
      <w:bookmarkStart w:id="1200" w:name="_Toc481658244"/>
      <w:bookmarkStart w:id="1201" w:name="_Toc481658827"/>
      <w:bookmarkStart w:id="1202" w:name="_Toc481662003"/>
      <w:bookmarkStart w:id="1203" w:name="_Toc481683606"/>
      <w:bookmarkStart w:id="1204" w:name="_Toc482087369"/>
      <w:bookmarkStart w:id="1205" w:name="_Toc482089610"/>
      <w:bookmarkStart w:id="1206" w:name="_Toc482090919"/>
      <w:bookmarkStart w:id="1207" w:name="_Toc482174946"/>
      <w:bookmarkStart w:id="1208" w:name="_Toc482175091"/>
      <w:bookmarkStart w:id="1209" w:name="_Toc482188607"/>
      <w:bookmarkStart w:id="1210" w:name="_Toc482189495"/>
      <w:bookmarkStart w:id="1211" w:name="_Toc481658245"/>
      <w:bookmarkStart w:id="1212" w:name="_Toc481658828"/>
      <w:bookmarkStart w:id="1213" w:name="_Toc481662004"/>
      <w:bookmarkStart w:id="1214" w:name="_Toc481683607"/>
      <w:bookmarkStart w:id="1215" w:name="_Toc482087370"/>
      <w:bookmarkStart w:id="1216" w:name="_Toc482089611"/>
      <w:bookmarkStart w:id="1217" w:name="_Toc482090920"/>
      <w:bookmarkStart w:id="1218" w:name="_Toc482174947"/>
      <w:bookmarkStart w:id="1219" w:name="_Toc482175092"/>
      <w:bookmarkStart w:id="1220" w:name="_Toc482188608"/>
      <w:bookmarkStart w:id="1221" w:name="_Toc482189496"/>
      <w:bookmarkStart w:id="1222" w:name="_Toc481658246"/>
      <w:bookmarkStart w:id="1223" w:name="_Toc481658829"/>
      <w:bookmarkStart w:id="1224" w:name="_Toc481662005"/>
      <w:bookmarkStart w:id="1225" w:name="_Toc481683608"/>
      <w:bookmarkStart w:id="1226" w:name="_Toc482087371"/>
      <w:bookmarkStart w:id="1227" w:name="_Toc482089612"/>
      <w:bookmarkStart w:id="1228" w:name="_Toc482090921"/>
      <w:bookmarkStart w:id="1229" w:name="_Toc482174948"/>
      <w:bookmarkStart w:id="1230" w:name="_Toc482175093"/>
      <w:bookmarkStart w:id="1231" w:name="_Toc482188609"/>
      <w:bookmarkStart w:id="1232" w:name="_Toc482189497"/>
      <w:bookmarkStart w:id="1233" w:name="_Toc481658247"/>
      <w:bookmarkStart w:id="1234" w:name="_Toc481658830"/>
      <w:bookmarkStart w:id="1235" w:name="_Toc481662006"/>
      <w:bookmarkStart w:id="1236" w:name="_Toc481683609"/>
      <w:bookmarkStart w:id="1237" w:name="_Toc482087372"/>
      <w:bookmarkStart w:id="1238" w:name="_Toc482089613"/>
      <w:bookmarkStart w:id="1239" w:name="_Toc482090922"/>
      <w:bookmarkStart w:id="1240" w:name="_Toc482174949"/>
      <w:bookmarkStart w:id="1241" w:name="_Toc482175094"/>
      <w:bookmarkStart w:id="1242" w:name="_Toc482188610"/>
      <w:bookmarkStart w:id="1243" w:name="_Toc482189498"/>
      <w:bookmarkStart w:id="1244" w:name="_Toc481658248"/>
      <w:bookmarkStart w:id="1245" w:name="_Toc481658831"/>
      <w:bookmarkStart w:id="1246" w:name="_Toc481662007"/>
      <w:bookmarkStart w:id="1247" w:name="_Toc481683610"/>
      <w:bookmarkStart w:id="1248" w:name="_Toc482087373"/>
      <w:bookmarkStart w:id="1249" w:name="_Toc482089614"/>
      <w:bookmarkStart w:id="1250" w:name="_Toc482090923"/>
      <w:bookmarkStart w:id="1251" w:name="_Toc482174950"/>
      <w:bookmarkStart w:id="1252" w:name="_Toc482175095"/>
      <w:bookmarkStart w:id="1253" w:name="_Toc482188611"/>
      <w:bookmarkStart w:id="1254" w:name="_Toc482189499"/>
      <w:bookmarkStart w:id="1255" w:name="_Toc481658249"/>
      <w:bookmarkStart w:id="1256" w:name="_Toc481658832"/>
      <w:bookmarkStart w:id="1257" w:name="_Toc481662008"/>
      <w:bookmarkStart w:id="1258" w:name="_Toc481683611"/>
      <w:bookmarkStart w:id="1259" w:name="_Toc482087374"/>
      <w:bookmarkStart w:id="1260" w:name="_Toc482089615"/>
      <w:bookmarkStart w:id="1261" w:name="_Toc482090924"/>
      <w:bookmarkStart w:id="1262" w:name="_Toc482174951"/>
      <w:bookmarkStart w:id="1263" w:name="_Toc482175096"/>
      <w:bookmarkStart w:id="1264" w:name="_Toc482188612"/>
      <w:bookmarkStart w:id="1265" w:name="_Toc482189500"/>
      <w:bookmarkStart w:id="1266" w:name="_Toc481658250"/>
      <w:bookmarkStart w:id="1267" w:name="_Toc481658833"/>
      <w:bookmarkStart w:id="1268" w:name="_Toc481662009"/>
      <w:bookmarkStart w:id="1269" w:name="_Toc481683612"/>
      <w:bookmarkStart w:id="1270" w:name="_Toc482087375"/>
      <w:bookmarkStart w:id="1271" w:name="_Toc482089616"/>
      <w:bookmarkStart w:id="1272" w:name="_Toc482090925"/>
      <w:bookmarkStart w:id="1273" w:name="_Toc482174952"/>
      <w:bookmarkStart w:id="1274" w:name="_Toc482175097"/>
      <w:bookmarkStart w:id="1275" w:name="_Toc482188613"/>
      <w:bookmarkStart w:id="1276" w:name="_Toc482189501"/>
      <w:bookmarkStart w:id="1277" w:name="_Toc481658251"/>
      <w:bookmarkStart w:id="1278" w:name="_Toc481658834"/>
      <w:bookmarkStart w:id="1279" w:name="_Toc481662010"/>
      <w:bookmarkStart w:id="1280" w:name="_Toc481683613"/>
      <w:bookmarkStart w:id="1281" w:name="_Toc482087376"/>
      <w:bookmarkStart w:id="1282" w:name="_Toc482089617"/>
      <w:bookmarkStart w:id="1283" w:name="_Toc482090926"/>
      <w:bookmarkStart w:id="1284" w:name="_Toc482174953"/>
      <w:bookmarkStart w:id="1285" w:name="_Toc482175098"/>
      <w:bookmarkStart w:id="1286" w:name="_Toc482188614"/>
      <w:bookmarkStart w:id="1287" w:name="_Toc482189502"/>
      <w:bookmarkStart w:id="1288" w:name="_Toc481658252"/>
      <w:bookmarkStart w:id="1289" w:name="_Toc481658835"/>
      <w:bookmarkStart w:id="1290" w:name="_Toc481662011"/>
      <w:bookmarkStart w:id="1291" w:name="_Toc481683614"/>
      <w:bookmarkStart w:id="1292" w:name="_Toc482087377"/>
      <w:bookmarkStart w:id="1293" w:name="_Toc482089618"/>
      <w:bookmarkStart w:id="1294" w:name="_Toc482090927"/>
      <w:bookmarkStart w:id="1295" w:name="_Toc482174954"/>
      <w:bookmarkStart w:id="1296" w:name="_Toc482175099"/>
      <w:bookmarkStart w:id="1297" w:name="_Toc482188615"/>
      <w:bookmarkStart w:id="1298" w:name="_Toc482189503"/>
      <w:bookmarkStart w:id="1299" w:name="_Toc481658253"/>
      <w:bookmarkStart w:id="1300" w:name="_Toc481658836"/>
      <w:bookmarkStart w:id="1301" w:name="_Toc481662012"/>
      <w:bookmarkStart w:id="1302" w:name="_Toc481683615"/>
      <w:bookmarkStart w:id="1303" w:name="_Toc482087378"/>
      <w:bookmarkStart w:id="1304" w:name="_Toc482089619"/>
      <w:bookmarkStart w:id="1305" w:name="_Toc482090928"/>
      <w:bookmarkStart w:id="1306" w:name="_Toc482174955"/>
      <w:bookmarkStart w:id="1307" w:name="_Toc482175100"/>
      <w:bookmarkStart w:id="1308" w:name="_Toc482188616"/>
      <w:bookmarkStart w:id="1309" w:name="_Toc482189504"/>
      <w:bookmarkStart w:id="1310" w:name="_Toc481658254"/>
      <w:bookmarkStart w:id="1311" w:name="_Toc481658837"/>
      <w:bookmarkStart w:id="1312" w:name="_Toc481662013"/>
      <w:bookmarkStart w:id="1313" w:name="_Toc481683616"/>
      <w:bookmarkStart w:id="1314" w:name="_Toc482087379"/>
      <w:bookmarkStart w:id="1315" w:name="_Toc482089620"/>
      <w:bookmarkStart w:id="1316" w:name="_Toc482090929"/>
      <w:bookmarkStart w:id="1317" w:name="_Toc482174956"/>
      <w:bookmarkStart w:id="1318" w:name="_Toc482175101"/>
      <w:bookmarkStart w:id="1319" w:name="_Toc482188617"/>
      <w:bookmarkStart w:id="1320" w:name="_Toc482189505"/>
      <w:bookmarkStart w:id="1321" w:name="_Toc481658255"/>
      <w:bookmarkStart w:id="1322" w:name="_Toc481658838"/>
      <w:bookmarkStart w:id="1323" w:name="_Toc481662014"/>
      <w:bookmarkStart w:id="1324" w:name="_Toc481683617"/>
      <w:bookmarkStart w:id="1325" w:name="_Toc482087380"/>
      <w:bookmarkStart w:id="1326" w:name="_Toc482089621"/>
      <w:bookmarkStart w:id="1327" w:name="_Toc482090930"/>
      <w:bookmarkStart w:id="1328" w:name="_Toc482174957"/>
      <w:bookmarkStart w:id="1329" w:name="_Toc482175102"/>
      <w:bookmarkStart w:id="1330" w:name="_Toc482188618"/>
      <w:bookmarkStart w:id="1331" w:name="_Toc482189506"/>
      <w:bookmarkStart w:id="1332" w:name="_Toc481658256"/>
      <w:bookmarkStart w:id="1333" w:name="_Toc481658839"/>
      <w:bookmarkStart w:id="1334" w:name="_Toc481662015"/>
      <w:bookmarkStart w:id="1335" w:name="_Toc481683618"/>
      <w:bookmarkStart w:id="1336" w:name="_Toc482087381"/>
      <w:bookmarkStart w:id="1337" w:name="_Toc482089622"/>
      <w:bookmarkStart w:id="1338" w:name="_Toc482090931"/>
      <w:bookmarkStart w:id="1339" w:name="_Toc482174958"/>
      <w:bookmarkStart w:id="1340" w:name="_Toc482175103"/>
      <w:bookmarkStart w:id="1341" w:name="_Toc482188619"/>
      <w:bookmarkStart w:id="1342" w:name="_Toc482189507"/>
      <w:bookmarkStart w:id="1343" w:name="_Toc481658257"/>
      <w:bookmarkStart w:id="1344" w:name="_Toc481658840"/>
      <w:bookmarkStart w:id="1345" w:name="_Toc481662016"/>
      <w:bookmarkStart w:id="1346" w:name="_Toc481683619"/>
      <w:bookmarkStart w:id="1347" w:name="_Toc482087382"/>
      <w:bookmarkStart w:id="1348" w:name="_Toc482089623"/>
      <w:bookmarkStart w:id="1349" w:name="_Toc482090932"/>
      <w:bookmarkStart w:id="1350" w:name="_Toc482174959"/>
      <w:bookmarkStart w:id="1351" w:name="_Toc482175104"/>
      <w:bookmarkStart w:id="1352" w:name="_Toc482188620"/>
      <w:bookmarkStart w:id="1353" w:name="_Toc482189508"/>
      <w:bookmarkStart w:id="1354" w:name="_Toc481658258"/>
      <w:bookmarkStart w:id="1355" w:name="_Toc481658841"/>
      <w:bookmarkStart w:id="1356" w:name="_Toc481662017"/>
      <w:bookmarkStart w:id="1357" w:name="_Toc481683620"/>
      <w:bookmarkStart w:id="1358" w:name="_Toc482087383"/>
      <w:bookmarkStart w:id="1359" w:name="_Toc482089624"/>
      <w:bookmarkStart w:id="1360" w:name="_Toc482090933"/>
      <w:bookmarkStart w:id="1361" w:name="_Toc482174960"/>
      <w:bookmarkStart w:id="1362" w:name="_Toc482175105"/>
      <w:bookmarkStart w:id="1363" w:name="_Toc482188621"/>
      <w:bookmarkStart w:id="1364" w:name="_Toc482189509"/>
      <w:bookmarkStart w:id="1365" w:name="_Toc481658259"/>
      <w:bookmarkStart w:id="1366" w:name="_Toc481658842"/>
      <w:bookmarkStart w:id="1367" w:name="_Toc481662018"/>
      <w:bookmarkStart w:id="1368" w:name="_Toc481683621"/>
      <w:bookmarkStart w:id="1369" w:name="_Toc482087384"/>
      <w:bookmarkStart w:id="1370" w:name="_Toc482089625"/>
      <w:bookmarkStart w:id="1371" w:name="_Toc482090934"/>
      <w:bookmarkStart w:id="1372" w:name="_Toc482174961"/>
      <w:bookmarkStart w:id="1373" w:name="_Toc482175106"/>
      <w:bookmarkStart w:id="1374" w:name="_Toc482188622"/>
      <w:bookmarkStart w:id="1375" w:name="_Toc482189510"/>
      <w:bookmarkStart w:id="1376" w:name="_Toc481658260"/>
      <w:bookmarkStart w:id="1377" w:name="_Toc481658843"/>
      <w:bookmarkStart w:id="1378" w:name="_Toc481662019"/>
      <w:bookmarkStart w:id="1379" w:name="_Toc481683622"/>
      <w:bookmarkStart w:id="1380" w:name="_Toc482087385"/>
      <w:bookmarkStart w:id="1381" w:name="_Toc482089626"/>
      <w:bookmarkStart w:id="1382" w:name="_Toc482090935"/>
      <w:bookmarkStart w:id="1383" w:name="_Toc482174962"/>
      <w:bookmarkStart w:id="1384" w:name="_Toc482175107"/>
      <w:bookmarkStart w:id="1385" w:name="_Toc482188623"/>
      <w:bookmarkStart w:id="1386" w:name="_Toc482189511"/>
      <w:bookmarkStart w:id="1387" w:name="_Toc481658261"/>
      <w:bookmarkStart w:id="1388" w:name="_Toc481658844"/>
      <w:bookmarkStart w:id="1389" w:name="_Toc481662020"/>
      <w:bookmarkStart w:id="1390" w:name="_Toc481683623"/>
      <w:bookmarkStart w:id="1391" w:name="_Toc482087386"/>
      <w:bookmarkStart w:id="1392" w:name="_Toc482089627"/>
      <w:bookmarkStart w:id="1393" w:name="_Toc482090936"/>
      <w:bookmarkStart w:id="1394" w:name="_Toc482174963"/>
      <w:bookmarkStart w:id="1395" w:name="_Toc482175108"/>
      <w:bookmarkStart w:id="1396" w:name="_Toc482188624"/>
      <w:bookmarkStart w:id="1397" w:name="_Toc482189512"/>
      <w:bookmarkStart w:id="1398" w:name="_Toc481658262"/>
      <w:bookmarkStart w:id="1399" w:name="_Toc481658845"/>
      <w:bookmarkStart w:id="1400" w:name="_Toc481662021"/>
      <w:bookmarkStart w:id="1401" w:name="_Toc481683624"/>
      <w:bookmarkStart w:id="1402" w:name="_Toc482087387"/>
      <w:bookmarkStart w:id="1403" w:name="_Toc482089628"/>
      <w:bookmarkStart w:id="1404" w:name="_Toc482090937"/>
      <w:bookmarkStart w:id="1405" w:name="_Toc482174964"/>
      <w:bookmarkStart w:id="1406" w:name="_Toc482175109"/>
      <w:bookmarkStart w:id="1407" w:name="_Toc482188625"/>
      <w:bookmarkStart w:id="1408" w:name="_Toc482189513"/>
      <w:bookmarkStart w:id="1409" w:name="_Toc481658263"/>
      <w:bookmarkStart w:id="1410" w:name="_Toc481658846"/>
      <w:bookmarkStart w:id="1411" w:name="_Toc481662022"/>
      <w:bookmarkStart w:id="1412" w:name="_Toc481683625"/>
      <w:bookmarkStart w:id="1413" w:name="_Toc482087388"/>
      <w:bookmarkStart w:id="1414" w:name="_Toc482089629"/>
      <w:bookmarkStart w:id="1415" w:name="_Toc482090938"/>
      <w:bookmarkStart w:id="1416" w:name="_Toc482174965"/>
      <w:bookmarkStart w:id="1417" w:name="_Toc482175110"/>
      <w:bookmarkStart w:id="1418" w:name="_Toc482188626"/>
      <w:bookmarkStart w:id="1419" w:name="_Toc482189514"/>
      <w:bookmarkStart w:id="1420" w:name="_Toc481658264"/>
      <w:bookmarkStart w:id="1421" w:name="_Toc481658847"/>
      <w:bookmarkStart w:id="1422" w:name="_Toc481662023"/>
      <w:bookmarkStart w:id="1423" w:name="_Toc481683626"/>
      <w:bookmarkStart w:id="1424" w:name="_Toc482087389"/>
      <w:bookmarkStart w:id="1425" w:name="_Toc482089630"/>
      <w:bookmarkStart w:id="1426" w:name="_Toc482090939"/>
      <w:bookmarkStart w:id="1427" w:name="_Toc482174966"/>
      <w:bookmarkStart w:id="1428" w:name="_Toc482175111"/>
      <w:bookmarkStart w:id="1429" w:name="_Toc482188627"/>
      <w:bookmarkStart w:id="1430" w:name="_Toc482189515"/>
      <w:bookmarkStart w:id="1431" w:name="_Toc481658265"/>
      <w:bookmarkStart w:id="1432" w:name="_Toc481658848"/>
      <w:bookmarkStart w:id="1433" w:name="_Toc481662024"/>
      <w:bookmarkStart w:id="1434" w:name="_Toc481683627"/>
      <w:bookmarkStart w:id="1435" w:name="_Toc482087390"/>
      <w:bookmarkStart w:id="1436" w:name="_Toc482089631"/>
      <w:bookmarkStart w:id="1437" w:name="_Toc482090940"/>
      <w:bookmarkStart w:id="1438" w:name="_Toc482174967"/>
      <w:bookmarkStart w:id="1439" w:name="_Toc482175112"/>
      <w:bookmarkStart w:id="1440" w:name="_Toc482188628"/>
      <w:bookmarkStart w:id="1441" w:name="_Toc482189516"/>
      <w:bookmarkStart w:id="1442" w:name="_Toc402884186"/>
      <w:bookmarkStart w:id="1443" w:name="_Toc462673296"/>
      <w:bookmarkStart w:id="1444" w:name="_Toc467835645"/>
      <w:bookmarkStart w:id="1445" w:name="_Toc512863964"/>
      <w:bookmarkEnd w:id="1065"/>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r w:rsidRPr="00C73365">
        <w:rPr>
          <w:rFonts w:asciiTheme="minorHAnsi" w:hAnsiTheme="minorHAnsi" w:cstheme="minorHAnsi"/>
          <w:sz w:val="22"/>
          <w:lang w:val="fr-FR"/>
        </w:rPr>
        <w:lastRenderedPageBreak/>
        <w:t>I</w:t>
      </w:r>
      <w:r w:rsidR="00F46C7B" w:rsidRPr="00C73365">
        <w:rPr>
          <w:rFonts w:asciiTheme="minorHAnsi" w:hAnsiTheme="minorHAnsi" w:cstheme="minorHAnsi"/>
          <w:sz w:val="22"/>
          <w:lang w:val="fr-FR"/>
        </w:rPr>
        <w:t>NFORMATIONS FINANCIERES</w:t>
      </w:r>
      <w:bookmarkEnd w:id="1442"/>
      <w:bookmarkEnd w:id="1443"/>
      <w:bookmarkEnd w:id="1444"/>
      <w:bookmarkEnd w:id="1445"/>
    </w:p>
    <w:p w:rsidR="00F46C7B" w:rsidRPr="00C73365" w:rsidRDefault="00F46C7B" w:rsidP="00B13DC0">
      <w:pPr>
        <w:pStyle w:val="ConmainL2"/>
        <w:numPr>
          <w:ilvl w:val="1"/>
          <w:numId w:val="9"/>
        </w:numPr>
        <w:rPr>
          <w:rFonts w:asciiTheme="minorHAnsi" w:hAnsiTheme="minorHAnsi" w:cstheme="minorHAnsi"/>
          <w:sz w:val="22"/>
          <w:lang w:val="fr-FR"/>
        </w:rPr>
      </w:pPr>
      <w:bookmarkStart w:id="1446" w:name="_Toc402884187"/>
      <w:bookmarkStart w:id="1447" w:name="_Toc462673297"/>
      <w:bookmarkStart w:id="1448" w:name="_Toc467835646"/>
      <w:bookmarkStart w:id="1449" w:name="_Toc512863965"/>
      <w:r w:rsidRPr="00C73365">
        <w:rPr>
          <w:rFonts w:asciiTheme="minorHAnsi" w:hAnsiTheme="minorHAnsi" w:cstheme="minorHAnsi"/>
          <w:sz w:val="22"/>
          <w:lang w:val="fr-FR"/>
        </w:rPr>
        <w:t>Informations financières historiques</w:t>
      </w:r>
      <w:bookmarkEnd w:id="1446"/>
      <w:bookmarkEnd w:id="1447"/>
      <w:bookmarkEnd w:id="1448"/>
      <w:bookmarkEnd w:id="1449"/>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Comptes sociaux d’</w:t>
      </w:r>
      <w:r w:rsidR="00EF089C" w:rsidRPr="00C73365">
        <w:rPr>
          <w:rFonts w:asciiTheme="minorHAnsi" w:hAnsiTheme="minorHAnsi" w:cstheme="minorHAnsi"/>
          <w:b/>
          <w:color w:val="7030A0"/>
          <w:lang w:val="fr-FR"/>
        </w:rPr>
        <w:t>ABIVAX</w:t>
      </w:r>
      <w:r w:rsidRPr="00C73365">
        <w:rPr>
          <w:rFonts w:asciiTheme="minorHAnsi" w:hAnsiTheme="minorHAnsi" w:cstheme="minorHAnsi"/>
          <w:b/>
          <w:color w:val="7030A0"/>
          <w:lang w:val="fr-FR"/>
        </w:rPr>
        <w:t xml:space="preserve"> établis selon les normes françaises pour l’exercice clos le 31 Décembre </w:t>
      </w:r>
      <w:r w:rsidR="00EB6C9B" w:rsidRPr="00C73365">
        <w:rPr>
          <w:rFonts w:asciiTheme="minorHAnsi" w:hAnsiTheme="minorHAnsi" w:cstheme="minorHAnsi"/>
          <w:b/>
          <w:color w:val="7030A0"/>
          <w:lang w:val="fr-FR"/>
        </w:rPr>
        <w:t>2017</w:t>
      </w:r>
    </w:p>
    <w:p w:rsidR="00F46C7B" w:rsidRPr="00C73365" w:rsidRDefault="00F46C7B">
      <w:pPr>
        <w:pStyle w:val="ConmainL3"/>
        <w:tabs>
          <w:tab w:val="clear" w:pos="360"/>
        </w:tabs>
        <w:spacing w:after="0"/>
        <w:ind w:left="1440" w:firstLine="0"/>
        <w:outlineLvl w:val="9"/>
        <w:rPr>
          <w:rFonts w:asciiTheme="minorHAnsi" w:hAnsiTheme="minorHAnsi" w:cstheme="minorHAnsi"/>
          <w:b/>
          <w:i/>
          <w:iCs/>
          <w:color w:val="7030A0"/>
          <w:lang w:val="fr-FR"/>
        </w:rPr>
      </w:pPr>
    </w:p>
    <w:tbl>
      <w:tblPr>
        <w:tblW w:w="9333" w:type="dxa"/>
        <w:tblLook w:val="04A0" w:firstRow="1" w:lastRow="0" w:firstColumn="1" w:lastColumn="0" w:noHBand="0" w:noVBand="1"/>
      </w:tblPr>
      <w:tblGrid>
        <w:gridCol w:w="4627"/>
        <w:gridCol w:w="950"/>
        <w:gridCol w:w="1252"/>
        <w:gridCol w:w="1252"/>
        <w:gridCol w:w="1252"/>
      </w:tblGrid>
      <w:tr w:rsidR="00EB6C9B" w:rsidRPr="00C73365" w:rsidTr="008E2E80">
        <w:trPr>
          <w:trHeight w:val="289"/>
        </w:trPr>
        <w:tc>
          <w:tcPr>
            <w:tcW w:w="4627" w:type="dxa"/>
            <w:tcBorders>
              <w:top w:val="single" w:sz="12" w:space="0" w:color="7030A0"/>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ACTIF</w:t>
            </w:r>
          </w:p>
        </w:tc>
        <w:tc>
          <w:tcPr>
            <w:tcW w:w="949" w:type="dxa"/>
            <w:vMerge w:val="restart"/>
            <w:tcBorders>
              <w:top w:val="single" w:sz="12" w:space="0" w:color="7030A0"/>
              <w:left w:val="nil"/>
              <w:right w:val="nil"/>
            </w:tcBorders>
            <w:shd w:val="clear" w:color="auto" w:fill="auto"/>
            <w:vAlign w:val="center"/>
            <w:hideMark/>
          </w:tcPr>
          <w:p w:rsidR="00EB6C9B" w:rsidRPr="00C73365" w:rsidRDefault="00EB6C9B"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Note</w:t>
            </w:r>
          </w:p>
        </w:tc>
        <w:tc>
          <w:tcPr>
            <w:tcW w:w="1252" w:type="dxa"/>
            <w:vMerge w:val="restart"/>
            <w:tcBorders>
              <w:top w:val="single" w:sz="12" w:space="0" w:color="7030A0"/>
              <w:left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252" w:type="dxa"/>
            <w:vMerge w:val="restart"/>
            <w:tcBorders>
              <w:top w:val="single" w:sz="12" w:space="0" w:color="7030A0"/>
              <w:left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31/12/2016</w:t>
            </w:r>
          </w:p>
        </w:tc>
        <w:tc>
          <w:tcPr>
            <w:tcW w:w="1252" w:type="dxa"/>
            <w:vMerge w:val="restart"/>
            <w:tcBorders>
              <w:top w:val="single" w:sz="12" w:space="0" w:color="7030A0"/>
              <w:left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Variation</w:t>
            </w:r>
          </w:p>
        </w:tc>
      </w:tr>
      <w:tr w:rsidR="00EB6C9B" w:rsidRPr="00C73365" w:rsidTr="008E2E80">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949" w:type="dxa"/>
            <w:vMerge/>
            <w:tcBorders>
              <w:left w:val="nil"/>
              <w:bottom w:val="single" w:sz="8" w:space="0" w:color="7030A0"/>
              <w:right w:val="nil"/>
            </w:tcBorders>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vMerge/>
            <w:tcBorders>
              <w:left w:val="nil"/>
              <w:bottom w:val="single" w:sz="8" w:space="0" w:color="7030A0"/>
              <w:right w:val="nil"/>
            </w:tcBorders>
            <w:vAlign w:val="center"/>
            <w:hideMark/>
          </w:tcPr>
          <w:p w:rsidR="00EB6C9B" w:rsidRPr="00C73365" w:rsidRDefault="00EB6C9B" w:rsidP="00A96CCA">
            <w:pPr>
              <w:spacing w:after="0"/>
              <w:rPr>
                <w:rFonts w:asciiTheme="minorHAnsi" w:hAnsiTheme="minorHAnsi" w:cstheme="minorHAnsi"/>
                <w:b/>
                <w:bCs/>
                <w:color w:val="7030A0"/>
                <w:szCs w:val="20"/>
              </w:rPr>
            </w:pPr>
          </w:p>
        </w:tc>
        <w:tc>
          <w:tcPr>
            <w:tcW w:w="1252" w:type="dxa"/>
            <w:vMerge/>
            <w:tcBorders>
              <w:left w:val="nil"/>
              <w:bottom w:val="single" w:sz="8" w:space="0" w:color="7030A0"/>
              <w:right w:val="nil"/>
            </w:tcBorders>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vMerge/>
            <w:tcBorders>
              <w:left w:val="nil"/>
              <w:bottom w:val="single" w:sz="8" w:space="0" w:color="7030A0"/>
              <w:right w:val="nil"/>
            </w:tcBorders>
            <w:vAlign w:val="center"/>
            <w:hideMark/>
          </w:tcPr>
          <w:p w:rsidR="00EB6C9B" w:rsidRPr="00C73365" w:rsidRDefault="00EB6C9B" w:rsidP="00A96CCA">
            <w:pPr>
              <w:spacing w:after="0"/>
              <w:rPr>
                <w:rFonts w:asciiTheme="minorHAnsi" w:hAnsiTheme="minorHAnsi" w:cstheme="minorHAnsi"/>
                <w:b/>
                <w:bCs/>
                <w:color w:val="000000"/>
                <w:szCs w:val="20"/>
              </w:rPr>
            </w:pPr>
          </w:p>
        </w:tc>
      </w:tr>
      <w:tr w:rsidR="00EB6C9B" w:rsidRPr="00C73365" w:rsidTr="008E2E80">
        <w:trPr>
          <w:trHeight w:val="277"/>
        </w:trPr>
        <w:tc>
          <w:tcPr>
            <w:tcW w:w="4627" w:type="dxa"/>
            <w:tcBorders>
              <w:top w:val="single" w:sz="8" w:space="0" w:color="7030A0"/>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Actif immobilisé</w:t>
            </w:r>
          </w:p>
        </w:tc>
        <w:tc>
          <w:tcPr>
            <w:tcW w:w="949" w:type="dxa"/>
            <w:tcBorders>
              <w:top w:val="single" w:sz="8" w:space="0" w:color="7030A0"/>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tcBorders>
              <w:top w:val="single" w:sz="8" w:space="0" w:color="7030A0"/>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single" w:sz="8" w:space="0" w:color="7030A0"/>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single" w:sz="8" w:space="0" w:color="7030A0"/>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Immobilisations incorporelles </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32 005</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32 005</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Concessions, brevets, licences, logiciels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corporelles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77"/>
        </w:trPr>
        <w:tc>
          <w:tcPr>
            <w:tcW w:w="5577" w:type="dxa"/>
            <w:gridSpan w:val="2"/>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Installations techniques, matériel et outillage industriels</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147</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153</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immobilisations corporelles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55</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38</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financières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bottom"/>
            <w:hideMark/>
          </w:tcPr>
          <w:p w:rsidR="00EB6C9B" w:rsidRPr="00C73365" w:rsidRDefault="00EB6C9B" w:rsidP="00A96CCA">
            <w:pPr>
              <w:spacing w:after="0"/>
              <w:jc w:val="right"/>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89"/>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immobilisations financières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731</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560</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171</w:t>
            </w:r>
          </w:p>
        </w:tc>
      </w:tr>
      <w:tr w:rsidR="00EB6C9B" w:rsidRPr="00C73365" w:rsidTr="00C50FC3">
        <w:trPr>
          <w:trHeight w:val="289"/>
        </w:trPr>
        <w:tc>
          <w:tcPr>
            <w:tcW w:w="4627"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xml:space="preserve">Total </w:t>
            </w:r>
          </w:p>
        </w:tc>
        <w:tc>
          <w:tcPr>
            <w:tcW w:w="949"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32 939</w:t>
            </w:r>
          </w:p>
        </w:tc>
        <w:tc>
          <w:tcPr>
            <w:tcW w:w="1252"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32 757</w:t>
            </w:r>
          </w:p>
        </w:tc>
        <w:tc>
          <w:tcPr>
            <w:tcW w:w="1252"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18</w:t>
            </w:r>
            <w:r w:rsidR="00117EB8" w:rsidRPr="00C73365">
              <w:rPr>
                <w:rFonts w:asciiTheme="minorHAnsi" w:hAnsiTheme="minorHAnsi" w:cstheme="minorHAnsi"/>
                <w:color w:val="7030A0"/>
                <w:szCs w:val="20"/>
              </w:rPr>
              <w:t>2</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Actif circulant</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Créances  </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3 647</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4 803</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-1 156</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Valeurs mobilières de placement</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15 151</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15 050</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101</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Disponibilités </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1 881</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7 937</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-6 056</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Charges constatées d’avance  </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186</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51</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135</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Avances et acomptes versés sur commande</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12</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xml:space="preserve">Total </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20 876</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27 841</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-6 965</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Total Général</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 </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53 815</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60 597</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-6 782</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PASSIF</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7030A0"/>
                <w:szCs w:val="20"/>
              </w:rPr>
            </w:pPr>
          </w:p>
        </w:tc>
        <w:tc>
          <w:tcPr>
            <w:tcW w:w="1252" w:type="dxa"/>
            <w:vMerge w:val="restart"/>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w:t>
            </w:r>
            <w:r w:rsidR="007C3A24" w:rsidRPr="00C73365">
              <w:rPr>
                <w:rFonts w:asciiTheme="minorHAnsi" w:hAnsiTheme="minorHAnsi" w:cstheme="minorHAnsi"/>
                <w:b/>
                <w:bCs/>
                <w:color w:val="7030A0"/>
                <w:szCs w:val="20"/>
              </w:rPr>
              <w:t>1</w:t>
            </w:r>
            <w:r w:rsidRPr="00C73365">
              <w:rPr>
                <w:rFonts w:asciiTheme="minorHAnsi" w:hAnsiTheme="minorHAnsi" w:cstheme="minorHAnsi"/>
                <w:b/>
                <w:bCs/>
                <w:color w:val="7030A0"/>
                <w:szCs w:val="20"/>
              </w:rPr>
              <w:t>/</w:t>
            </w:r>
            <w:r w:rsidR="007C3A24" w:rsidRPr="00C73365">
              <w:rPr>
                <w:rFonts w:asciiTheme="minorHAnsi" w:hAnsiTheme="minorHAnsi" w:cstheme="minorHAnsi"/>
                <w:b/>
                <w:bCs/>
                <w:color w:val="7030A0"/>
                <w:szCs w:val="20"/>
              </w:rPr>
              <w:t>12</w:t>
            </w:r>
            <w:r w:rsidRPr="00C73365">
              <w:rPr>
                <w:rFonts w:asciiTheme="minorHAnsi" w:hAnsiTheme="minorHAnsi" w:cstheme="minorHAnsi"/>
                <w:b/>
                <w:bCs/>
                <w:color w:val="7030A0"/>
                <w:szCs w:val="20"/>
              </w:rPr>
              <w:t>/201</w:t>
            </w:r>
            <w:r w:rsidR="007C3A24" w:rsidRPr="00C73365">
              <w:rPr>
                <w:rFonts w:asciiTheme="minorHAnsi" w:hAnsiTheme="minorHAnsi" w:cstheme="minorHAnsi"/>
                <w:b/>
                <w:bCs/>
                <w:color w:val="7030A0"/>
                <w:szCs w:val="20"/>
              </w:rPr>
              <w:t>7</w:t>
            </w:r>
          </w:p>
        </w:tc>
        <w:tc>
          <w:tcPr>
            <w:tcW w:w="1252" w:type="dxa"/>
            <w:vMerge w:val="restart"/>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31/12/2016</w:t>
            </w:r>
          </w:p>
        </w:tc>
        <w:tc>
          <w:tcPr>
            <w:tcW w:w="1252" w:type="dxa"/>
            <w:vMerge w:val="restart"/>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Variation</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52" w:type="dxa"/>
            <w:vMerge/>
            <w:tcBorders>
              <w:top w:val="nil"/>
              <w:left w:val="nil"/>
              <w:bottom w:val="single" w:sz="8" w:space="0" w:color="7030A0"/>
              <w:right w:val="nil"/>
            </w:tcBorders>
            <w:vAlign w:val="center"/>
            <w:hideMark/>
          </w:tcPr>
          <w:p w:rsidR="00EB6C9B" w:rsidRPr="00C73365" w:rsidRDefault="00EB6C9B" w:rsidP="00A96CCA">
            <w:pPr>
              <w:spacing w:after="0"/>
              <w:rPr>
                <w:rFonts w:asciiTheme="minorHAnsi" w:hAnsiTheme="minorHAnsi" w:cstheme="minorHAnsi"/>
                <w:b/>
                <w:bCs/>
                <w:color w:val="7030A0"/>
                <w:szCs w:val="20"/>
              </w:rPr>
            </w:pPr>
          </w:p>
        </w:tc>
        <w:tc>
          <w:tcPr>
            <w:tcW w:w="1252" w:type="dxa"/>
            <w:vMerge/>
            <w:tcBorders>
              <w:top w:val="nil"/>
              <w:left w:val="nil"/>
              <w:bottom w:val="single" w:sz="8" w:space="0" w:color="7030A0"/>
              <w:right w:val="nil"/>
            </w:tcBorders>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vMerge/>
            <w:tcBorders>
              <w:top w:val="nil"/>
              <w:left w:val="nil"/>
              <w:bottom w:val="single" w:sz="8" w:space="0" w:color="7030A0"/>
              <w:right w:val="nil"/>
            </w:tcBorders>
            <w:vAlign w:val="center"/>
            <w:hideMark/>
          </w:tcPr>
          <w:p w:rsidR="00EB6C9B" w:rsidRPr="00C73365" w:rsidRDefault="00EB6C9B" w:rsidP="00A96CCA">
            <w:pPr>
              <w:spacing w:after="0"/>
              <w:rPr>
                <w:rFonts w:asciiTheme="minorHAnsi" w:hAnsiTheme="minorHAnsi" w:cstheme="minorHAnsi"/>
                <w:b/>
                <w:bCs/>
                <w:color w:val="000000"/>
                <w:szCs w:val="20"/>
              </w:rPr>
            </w:pP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Capitaux propres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rPr>
                <w:rFonts w:asciiTheme="minorHAnsi" w:hAnsiTheme="minorHAnsi" w:cstheme="minorHAnsi"/>
                <w:szCs w:val="20"/>
              </w:rPr>
            </w:pP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Capital </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99</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97</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Primes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émission, de fusion,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apport</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90 392</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89 765</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626</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Report à nouveau</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-35 352</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-21 045</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-14 308</w:t>
            </w:r>
          </w:p>
        </w:tc>
      </w:tr>
      <w:tr w:rsidR="00EB6C9B" w:rsidRPr="00C73365" w:rsidTr="00C50FC3">
        <w:trPr>
          <w:trHeight w:val="289"/>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Résultat de l</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exercice (bénéfice ou perte)</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lang w:val="fr-FR"/>
              </w:rPr>
            </w:pP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-11 223</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-14 308</w:t>
            </w:r>
          </w:p>
        </w:tc>
        <w:tc>
          <w:tcPr>
            <w:tcW w:w="1252" w:type="dxa"/>
            <w:tcBorders>
              <w:top w:val="nil"/>
              <w:left w:val="nil"/>
              <w:bottom w:val="nil"/>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3 085</w:t>
            </w:r>
          </w:p>
        </w:tc>
      </w:tr>
      <w:tr w:rsidR="00EB6C9B" w:rsidRPr="00C73365" w:rsidTr="00C50FC3">
        <w:trPr>
          <w:trHeight w:val="289"/>
        </w:trPr>
        <w:tc>
          <w:tcPr>
            <w:tcW w:w="4627"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xml:space="preserve">Total </w:t>
            </w:r>
          </w:p>
        </w:tc>
        <w:tc>
          <w:tcPr>
            <w:tcW w:w="949"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43 916</w:t>
            </w:r>
          </w:p>
        </w:tc>
        <w:tc>
          <w:tcPr>
            <w:tcW w:w="1252"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54 510</w:t>
            </w:r>
          </w:p>
        </w:tc>
        <w:tc>
          <w:tcPr>
            <w:tcW w:w="1252" w:type="dxa"/>
            <w:tcBorders>
              <w:top w:val="single" w:sz="8" w:space="0" w:color="7030A0"/>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-10 594</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Autres fonds propres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Avances conditionnées</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4 264</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2 208</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2 056</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xml:space="preserve">Total </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4 264</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2 208</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2 056</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Provisions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Provisions pour risques et charges </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7</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27</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16</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xml:space="preserve">Total </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27</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16</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11</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Dettes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0</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Emprunts obligataires convertibles </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92</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61</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31</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Emprunts et dettes financières – Autres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255</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-85</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Fournisseurs et comptes rattachés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4 219</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2 571</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1 647</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Dettes fiscales et sociales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1 102</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974</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127</w:t>
            </w:r>
          </w:p>
        </w:tc>
      </w:tr>
      <w:tr w:rsidR="00EB6C9B" w:rsidRPr="00C73365" w:rsidTr="00C50FC3">
        <w:trPr>
          <w:trHeight w:val="277"/>
        </w:trPr>
        <w:tc>
          <w:tcPr>
            <w:tcW w:w="4627"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Dettes</w:t>
            </w:r>
          </w:p>
        </w:tc>
        <w:tc>
          <w:tcPr>
            <w:tcW w:w="949" w:type="dxa"/>
            <w:tcBorders>
              <w:top w:val="nil"/>
              <w:left w:val="nil"/>
              <w:bottom w:val="nil"/>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22</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w:t>
            </w:r>
          </w:p>
        </w:tc>
        <w:tc>
          <w:tcPr>
            <w:tcW w:w="1252" w:type="dxa"/>
            <w:tcBorders>
              <w:top w:val="nil"/>
              <w:left w:val="nil"/>
              <w:bottom w:val="nil"/>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21</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Produits constatés d’avance</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xml:space="preserve">Total </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5 604</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3 863</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1 741</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szCs w:val="20"/>
              </w:rPr>
            </w:pPr>
            <w:r w:rsidRPr="00C73365">
              <w:rPr>
                <w:rFonts w:asciiTheme="minorHAnsi" w:hAnsiTheme="minorHAnsi" w:cstheme="minorHAnsi"/>
                <w:szCs w:val="20"/>
              </w:rPr>
              <w:t>Ecart de conversion passif</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szCs w:val="20"/>
              </w:rPr>
            </w:pPr>
            <w:r w:rsidRPr="00C73365">
              <w:rPr>
                <w:rFonts w:asciiTheme="minorHAnsi" w:hAnsiTheme="minorHAnsi" w:cstheme="minorHAnsi"/>
                <w:szCs w:val="20"/>
              </w:rPr>
              <w:t>4</w:t>
            </w:r>
          </w:p>
        </w:tc>
        <w:tc>
          <w:tcPr>
            <w:tcW w:w="1252" w:type="dxa"/>
            <w:tcBorders>
              <w:top w:val="nil"/>
              <w:left w:val="nil"/>
              <w:bottom w:val="single" w:sz="8" w:space="0" w:color="7030A0"/>
              <w:right w:val="nil"/>
            </w:tcBorders>
            <w:shd w:val="clear" w:color="auto" w:fill="auto"/>
            <w:vAlign w:val="center"/>
            <w:hideMark/>
          </w:tcPr>
          <w:p w:rsidR="00EB6C9B" w:rsidRPr="00C73365" w:rsidRDefault="00EB6C9B" w:rsidP="00A96CCA">
            <w:pPr>
              <w:spacing w:after="0"/>
              <w:jc w:val="right"/>
              <w:rPr>
                <w:rFonts w:asciiTheme="minorHAnsi" w:hAnsiTheme="minorHAnsi" w:cstheme="minorHAnsi"/>
                <w:szCs w:val="20"/>
              </w:rPr>
            </w:pPr>
            <w:r w:rsidRPr="00C73365">
              <w:rPr>
                <w:rFonts w:asciiTheme="minorHAnsi" w:hAnsiTheme="minorHAnsi" w:cstheme="minorHAnsi"/>
                <w:szCs w:val="20"/>
              </w:rPr>
              <w:t> </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szCs w:val="20"/>
              </w:rPr>
            </w:pPr>
            <w:r w:rsidRPr="00C73365">
              <w:rPr>
                <w:rFonts w:asciiTheme="minorHAnsi" w:hAnsiTheme="minorHAnsi" w:cstheme="minorHAnsi"/>
                <w:szCs w:val="20"/>
              </w:rPr>
              <w:t>4</w:t>
            </w:r>
          </w:p>
        </w:tc>
      </w:tr>
      <w:tr w:rsidR="00EB6C9B" w:rsidRPr="00C73365" w:rsidTr="00C50FC3">
        <w:trPr>
          <w:trHeight w:val="289"/>
        </w:trPr>
        <w:tc>
          <w:tcPr>
            <w:tcW w:w="4627"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Total Général</w:t>
            </w:r>
          </w:p>
        </w:tc>
        <w:tc>
          <w:tcPr>
            <w:tcW w:w="949"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 </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53 815</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60 597</w:t>
            </w:r>
          </w:p>
        </w:tc>
        <w:tc>
          <w:tcPr>
            <w:tcW w:w="1252" w:type="dxa"/>
            <w:tcBorders>
              <w:top w:val="nil"/>
              <w:left w:val="nil"/>
              <w:bottom w:val="single" w:sz="8" w:space="0" w:color="7030A0"/>
              <w:right w:val="nil"/>
            </w:tcBorders>
            <w:shd w:val="clear" w:color="auto" w:fill="auto"/>
            <w:noWrap/>
            <w:vAlign w:val="center"/>
            <w:hideMark/>
          </w:tcPr>
          <w:p w:rsidR="00EB6C9B" w:rsidRPr="00C73365" w:rsidRDefault="00EB6C9B"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-6 782</w:t>
            </w:r>
          </w:p>
        </w:tc>
      </w:tr>
    </w:tbl>
    <w:p w:rsidR="00F46C7B" w:rsidRPr="00C73365" w:rsidRDefault="00F46C7B" w:rsidP="004572A0">
      <w:pPr>
        <w:pStyle w:val="Caption"/>
        <w:rPr>
          <w:rFonts w:asciiTheme="minorHAnsi" w:hAnsiTheme="minorHAnsi" w:cstheme="minorHAnsi"/>
          <w:lang w:val="fr-FR"/>
        </w:rPr>
      </w:pPr>
      <w:r w:rsidRPr="00C73365">
        <w:rPr>
          <w:rFonts w:asciiTheme="minorHAnsi" w:hAnsiTheme="minorHAnsi" w:cstheme="minorHAnsi"/>
          <w:lang w:val="fr-FR"/>
        </w:rPr>
        <w:lastRenderedPageBreak/>
        <w:t>Compte de résultat</w:t>
      </w:r>
    </w:p>
    <w:p w:rsidR="00EB6C9B" w:rsidRPr="00C73365" w:rsidRDefault="00EB6C9B" w:rsidP="00A96CCA">
      <w:pPr>
        <w:spacing w:after="0"/>
        <w:rPr>
          <w:rFonts w:asciiTheme="minorHAnsi" w:hAnsiTheme="minorHAnsi" w:cstheme="minorHAnsi"/>
          <w:b/>
          <w:color w:val="7030A0"/>
          <w:lang w:val="fr-FR"/>
        </w:rPr>
      </w:pPr>
    </w:p>
    <w:tbl>
      <w:tblPr>
        <w:tblW w:w="9040" w:type="dxa"/>
        <w:tblLook w:val="04A0" w:firstRow="1" w:lastRow="0" w:firstColumn="1" w:lastColumn="0" w:noHBand="0" w:noVBand="1"/>
      </w:tblPr>
      <w:tblGrid>
        <w:gridCol w:w="4580"/>
        <w:gridCol w:w="881"/>
        <w:gridCol w:w="1240"/>
        <w:gridCol w:w="1199"/>
        <w:gridCol w:w="1140"/>
      </w:tblGrid>
      <w:tr w:rsidR="00A46927" w:rsidRPr="00C73365" w:rsidTr="00A46927">
        <w:trPr>
          <w:trHeight w:val="300"/>
        </w:trPr>
        <w:tc>
          <w:tcPr>
            <w:tcW w:w="4580" w:type="dxa"/>
            <w:tcBorders>
              <w:top w:val="single" w:sz="12" w:space="0" w:color="7030A0"/>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Eléments du Compte de Résultat</w:t>
            </w:r>
          </w:p>
        </w:tc>
        <w:tc>
          <w:tcPr>
            <w:tcW w:w="940" w:type="dxa"/>
            <w:vMerge w:val="restart"/>
            <w:tcBorders>
              <w:top w:val="single" w:sz="12"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Note</w:t>
            </w:r>
          </w:p>
        </w:tc>
        <w:tc>
          <w:tcPr>
            <w:tcW w:w="1240" w:type="dxa"/>
            <w:vMerge w:val="restart"/>
            <w:tcBorders>
              <w:top w:val="single" w:sz="12"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140" w:type="dxa"/>
            <w:vMerge w:val="restart"/>
            <w:tcBorders>
              <w:top w:val="single" w:sz="12"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31/12/2016</w:t>
            </w:r>
          </w:p>
        </w:tc>
        <w:tc>
          <w:tcPr>
            <w:tcW w:w="1140" w:type="dxa"/>
            <w:vMerge w:val="restart"/>
            <w:tcBorders>
              <w:top w:val="single" w:sz="12"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Variation</w:t>
            </w:r>
          </w:p>
        </w:tc>
      </w:tr>
      <w:tr w:rsidR="00A46927" w:rsidRPr="00C73365" w:rsidTr="00A46927">
        <w:trPr>
          <w:trHeight w:val="300"/>
        </w:trPr>
        <w:tc>
          <w:tcPr>
            <w:tcW w:w="4580" w:type="dxa"/>
            <w:tcBorders>
              <w:top w:val="nil"/>
              <w:left w:val="nil"/>
              <w:bottom w:val="single" w:sz="8" w:space="0" w:color="7030A0"/>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940" w:type="dxa"/>
            <w:vMerge/>
            <w:tcBorders>
              <w:top w:val="single" w:sz="12" w:space="0" w:color="7030A0"/>
              <w:left w:val="nil"/>
              <w:bottom w:val="single" w:sz="8" w:space="0" w:color="7030A0"/>
              <w:right w:val="nil"/>
            </w:tcBorders>
            <w:vAlign w:val="center"/>
            <w:hideMark/>
          </w:tcPr>
          <w:p w:rsidR="00A46927" w:rsidRPr="00C73365" w:rsidRDefault="00A46927" w:rsidP="00A96CCA">
            <w:pPr>
              <w:spacing w:after="0"/>
              <w:rPr>
                <w:rFonts w:asciiTheme="minorHAnsi" w:hAnsiTheme="minorHAnsi" w:cstheme="minorHAnsi"/>
                <w:b/>
                <w:bCs/>
                <w:color w:val="000000"/>
                <w:szCs w:val="20"/>
              </w:rPr>
            </w:pPr>
          </w:p>
        </w:tc>
        <w:tc>
          <w:tcPr>
            <w:tcW w:w="1240" w:type="dxa"/>
            <w:vMerge/>
            <w:tcBorders>
              <w:top w:val="single" w:sz="12" w:space="0" w:color="7030A0"/>
              <w:left w:val="nil"/>
              <w:bottom w:val="single" w:sz="8" w:space="0" w:color="7030A0"/>
              <w:right w:val="nil"/>
            </w:tcBorders>
            <w:vAlign w:val="center"/>
            <w:hideMark/>
          </w:tcPr>
          <w:p w:rsidR="00A46927" w:rsidRPr="00C73365" w:rsidRDefault="00A46927" w:rsidP="00A96CCA">
            <w:pPr>
              <w:spacing w:after="0"/>
              <w:rPr>
                <w:rFonts w:asciiTheme="minorHAnsi" w:hAnsiTheme="minorHAnsi" w:cstheme="minorHAnsi"/>
                <w:b/>
                <w:bCs/>
                <w:color w:val="7030A0"/>
                <w:szCs w:val="20"/>
              </w:rPr>
            </w:pPr>
          </w:p>
        </w:tc>
        <w:tc>
          <w:tcPr>
            <w:tcW w:w="1140" w:type="dxa"/>
            <w:vMerge/>
            <w:tcBorders>
              <w:top w:val="single" w:sz="12" w:space="0" w:color="7030A0"/>
              <w:left w:val="nil"/>
              <w:bottom w:val="single" w:sz="8" w:space="0" w:color="7030A0"/>
              <w:right w:val="nil"/>
            </w:tcBorders>
            <w:vAlign w:val="center"/>
            <w:hideMark/>
          </w:tcPr>
          <w:p w:rsidR="00A46927" w:rsidRPr="00C73365" w:rsidRDefault="00A46927" w:rsidP="00A96CCA">
            <w:pPr>
              <w:spacing w:after="0"/>
              <w:rPr>
                <w:rFonts w:asciiTheme="minorHAnsi" w:hAnsiTheme="minorHAnsi" w:cstheme="minorHAnsi"/>
                <w:b/>
                <w:bCs/>
                <w:color w:val="000000"/>
                <w:szCs w:val="20"/>
              </w:rPr>
            </w:pPr>
          </w:p>
        </w:tc>
        <w:tc>
          <w:tcPr>
            <w:tcW w:w="1140" w:type="dxa"/>
            <w:vMerge/>
            <w:tcBorders>
              <w:top w:val="single" w:sz="12" w:space="0" w:color="7030A0"/>
              <w:left w:val="nil"/>
              <w:bottom w:val="single" w:sz="8" w:space="0" w:color="7030A0"/>
              <w:right w:val="nil"/>
            </w:tcBorders>
            <w:vAlign w:val="center"/>
            <w:hideMark/>
          </w:tcPr>
          <w:p w:rsidR="00A46927" w:rsidRPr="00C73365" w:rsidRDefault="00A46927" w:rsidP="00A96CCA">
            <w:pPr>
              <w:spacing w:after="0"/>
              <w:rPr>
                <w:rFonts w:asciiTheme="minorHAnsi" w:hAnsiTheme="minorHAnsi" w:cstheme="minorHAnsi"/>
                <w:b/>
                <w:bCs/>
                <w:color w:val="000000"/>
                <w:szCs w:val="20"/>
              </w:rPr>
            </w:pP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Produits d</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exploitation</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b/>
                <w:bCs/>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357</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151</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206</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Production vendue</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szCs w:val="20"/>
              </w:rPr>
            </w:pP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szCs w:val="20"/>
              </w:rPr>
            </w:pP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Subventions d’exploitation</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w:t>
            </w: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center"/>
              <w:rPr>
                <w:rFonts w:asciiTheme="minorHAnsi" w:hAnsiTheme="minorHAnsi" w:cstheme="minorHAnsi"/>
                <w:color w:val="000000"/>
                <w:szCs w:val="20"/>
              </w:rPr>
            </w:pP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szCs w:val="20"/>
              </w:rPr>
            </w:pP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produits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357</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151</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206</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Charges d</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exploitation</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b/>
                <w:bCs/>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14 507</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18 387</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-3 880</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Achats de matières premières et approvisionnements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lang w:val="fr-FR"/>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16</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46</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Autres achats et charges externes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w:t>
            </w: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10 456</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14 599</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-4 143</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Impôts et taxes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104</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71</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33</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Salaires et charges sociales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3 782</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3 558</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225</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Amortissements et provisions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w:t>
            </w: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93</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75</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19</w:t>
            </w:r>
          </w:p>
        </w:tc>
      </w:tr>
      <w:tr w:rsidR="00A46927" w:rsidRPr="00C73365" w:rsidTr="00A46927">
        <w:trPr>
          <w:trHeight w:val="300"/>
        </w:trPr>
        <w:tc>
          <w:tcPr>
            <w:tcW w:w="4580" w:type="dxa"/>
            <w:tcBorders>
              <w:top w:val="nil"/>
              <w:left w:val="nil"/>
              <w:bottom w:val="single" w:sz="8" w:space="0" w:color="7030A0"/>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charges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55</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38</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w:t>
            </w:r>
          </w:p>
        </w:tc>
      </w:tr>
      <w:tr w:rsidR="00A46927" w:rsidRPr="00C73365" w:rsidTr="00A46927">
        <w:trPr>
          <w:trHeight w:val="300"/>
        </w:trPr>
        <w:tc>
          <w:tcPr>
            <w:tcW w:w="4580" w:type="dxa"/>
            <w:tcBorders>
              <w:top w:val="nil"/>
              <w:left w:val="nil"/>
              <w:bottom w:val="single" w:sz="8" w:space="0" w:color="7030A0"/>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Résultat d</w:t>
            </w:r>
            <w:r w:rsidR="004572A0" w:rsidRPr="00C73365">
              <w:rPr>
                <w:rFonts w:asciiTheme="minorHAnsi" w:hAnsiTheme="minorHAnsi" w:cstheme="minorHAnsi"/>
                <w:color w:val="7030A0"/>
                <w:szCs w:val="20"/>
              </w:rPr>
              <w:t>’</w:t>
            </w:r>
            <w:r w:rsidRPr="00C73365">
              <w:rPr>
                <w:rFonts w:asciiTheme="minorHAnsi" w:hAnsiTheme="minorHAnsi" w:cstheme="minorHAnsi"/>
                <w:color w:val="7030A0"/>
                <w:szCs w:val="20"/>
              </w:rPr>
              <w:t>exploitation</w:t>
            </w:r>
          </w:p>
        </w:tc>
        <w:tc>
          <w:tcPr>
            <w:tcW w:w="9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-14 150</w:t>
            </w:r>
          </w:p>
        </w:tc>
        <w:tc>
          <w:tcPr>
            <w:tcW w:w="11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-18 236</w:t>
            </w:r>
          </w:p>
        </w:tc>
        <w:tc>
          <w:tcPr>
            <w:tcW w:w="11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4 086</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Produits financiers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116</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301</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-185</w:t>
            </w:r>
          </w:p>
        </w:tc>
      </w:tr>
      <w:tr w:rsidR="00A46927" w:rsidRPr="00C73365" w:rsidTr="00A46927">
        <w:trPr>
          <w:trHeight w:val="300"/>
        </w:trPr>
        <w:tc>
          <w:tcPr>
            <w:tcW w:w="4580" w:type="dxa"/>
            <w:tcBorders>
              <w:top w:val="nil"/>
              <w:left w:val="nil"/>
              <w:bottom w:val="single" w:sz="8" w:space="0" w:color="7030A0"/>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Charges financières</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39</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42</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w:t>
            </w:r>
          </w:p>
        </w:tc>
      </w:tr>
      <w:tr w:rsidR="00A46927" w:rsidRPr="00C73365" w:rsidTr="00A46927">
        <w:trPr>
          <w:trHeight w:val="300"/>
        </w:trPr>
        <w:tc>
          <w:tcPr>
            <w:tcW w:w="4580" w:type="dxa"/>
            <w:tcBorders>
              <w:top w:val="nil"/>
              <w:left w:val="nil"/>
              <w:bottom w:val="single" w:sz="8" w:space="0" w:color="7030A0"/>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Résultat Financier</w:t>
            </w:r>
          </w:p>
        </w:tc>
        <w:tc>
          <w:tcPr>
            <w:tcW w:w="9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77</w:t>
            </w:r>
          </w:p>
        </w:tc>
        <w:tc>
          <w:tcPr>
            <w:tcW w:w="11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258</w:t>
            </w:r>
          </w:p>
        </w:tc>
        <w:tc>
          <w:tcPr>
            <w:tcW w:w="11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-182</w:t>
            </w:r>
          </w:p>
        </w:tc>
      </w:tr>
      <w:tr w:rsidR="00A46927" w:rsidRPr="00C73365" w:rsidTr="00A46927">
        <w:trPr>
          <w:trHeight w:val="300"/>
        </w:trPr>
        <w:tc>
          <w:tcPr>
            <w:tcW w:w="4580" w:type="dxa"/>
            <w:tcBorders>
              <w:top w:val="nil"/>
              <w:left w:val="nil"/>
              <w:bottom w:val="single" w:sz="8" w:space="0" w:color="7030A0"/>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Résultat Courant</w:t>
            </w:r>
          </w:p>
        </w:tc>
        <w:tc>
          <w:tcPr>
            <w:tcW w:w="940" w:type="dxa"/>
            <w:tcBorders>
              <w:top w:val="nil"/>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-14 073</w:t>
            </w:r>
          </w:p>
        </w:tc>
        <w:tc>
          <w:tcPr>
            <w:tcW w:w="1140" w:type="dxa"/>
            <w:tcBorders>
              <w:top w:val="nil"/>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-17 978</w:t>
            </w:r>
          </w:p>
        </w:tc>
        <w:tc>
          <w:tcPr>
            <w:tcW w:w="1140" w:type="dxa"/>
            <w:tcBorders>
              <w:top w:val="nil"/>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3 905</w:t>
            </w:r>
          </w:p>
        </w:tc>
      </w:tr>
      <w:tr w:rsidR="00A46927" w:rsidRPr="00C73365" w:rsidTr="00A46927">
        <w:trPr>
          <w:trHeight w:val="288"/>
        </w:trPr>
        <w:tc>
          <w:tcPr>
            <w:tcW w:w="4580" w:type="dxa"/>
            <w:tcBorders>
              <w:top w:val="nil"/>
              <w:left w:val="nil"/>
              <w:bottom w:val="nil"/>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Résultat exceptionnel</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159</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152</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w:t>
            </w:r>
          </w:p>
        </w:tc>
      </w:tr>
      <w:tr w:rsidR="00A46927" w:rsidRPr="00C73365" w:rsidTr="00A46927">
        <w:trPr>
          <w:trHeight w:val="300"/>
        </w:trPr>
        <w:tc>
          <w:tcPr>
            <w:tcW w:w="4580" w:type="dxa"/>
            <w:tcBorders>
              <w:top w:val="nil"/>
              <w:left w:val="nil"/>
              <w:bottom w:val="single" w:sz="8" w:space="0" w:color="7030A0"/>
              <w:right w:val="nil"/>
            </w:tcBorders>
            <w:shd w:val="clear" w:color="auto" w:fill="auto"/>
            <w:noWrap/>
            <w:vAlign w:val="center"/>
            <w:hideMark/>
          </w:tcPr>
          <w:p w:rsidR="00A46927" w:rsidRPr="00C73365" w:rsidRDefault="00A46927"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Impôts sur les bénéfices (CIR)</w:t>
            </w:r>
          </w:p>
        </w:tc>
        <w:tc>
          <w:tcPr>
            <w:tcW w:w="940" w:type="dxa"/>
            <w:tcBorders>
              <w:top w:val="nil"/>
              <w:left w:val="nil"/>
              <w:bottom w:val="nil"/>
              <w:right w:val="nil"/>
            </w:tcBorders>
            <w:shd w:val="clear" w:color="auto" w:fill="auto"/>
            <w:vAlign w:val="center"/>
            <w:hideMark/>
          </w:tcPr>
          <w:p w:rsidR="00A46927" w:rsidRPr="00C73365" w:rsidRDefault="00A46927"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11</w:t>
            </w:r>
          </w:p>
        </w:tc>
        <w:tc>
          <w:tcPr>
            <w:tcW w:w="12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-2 692</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-3 519</w:t>
            </w:r>
          </w:p>
        </w:tc>
        <w:tc>
          <w:tcPr>
            <w:tcW w:w="1140" w:type="dxa"/>
            <w:tcBorders>
              <w:top w:val="nil"/>
              <w:left w:val="nil"/>
              <w:bottom w:val="nil"/>
              <w:right w:val="nil"/>
            </w:tcBorders>
            <w:shd w:val="clear" w:color="auto" w:fill="auto"/>
            <w:noWrap/>
            <w:vAlign w:val="center"/>
            <w:hideMark/>
          </w:tcPr>
          <w:p w:rsidR="00A46927" w:rsidRPr="00C73365" w:rsidRDefault="00A46927"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827</w:t>
            </w:r>
          </w:p>
        </w:tc>
      </w:tr>
      <w:tr w:rsidR="00A46927" w:rsidRPr="00C73365" w:rsidTr="00A46927">
        <w:trPr>
          <w:trHeight w:val="300"/>
        </w:trPr>
        <w:tc>
          <w:tcPr>
            <w:tcW w:w="4580" w:type="dxa"/>
            <w:tcBorders>
              <w:top w:val="nil"/>
              <w:left w:val="nil"/>
              <w:bottom w:val="single" w:sz="8" w:space="0" w:color="7030A0"/>
              <w:right w:val="nil"/>
            </w:tcBorders>
            <w:shd w:val="clear" w:color="auto" w:fill="auto"/>
            <w:noWrap/>
            <w:vAlign w:val="center"/>
            <w:hideMark/>
          </w:tcPr>
          <w:p w:rsidR="00A46927" w:rsidRPr="00C73365" w:rsidRDefault="00A46927" w:rsidP="00A96CCA">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Résultat de l</w:t>
            </w:r>
            <w:r w:rsidR="004572A0" w:rsidRPr="00C73365">
              <w:rPr>
                <w:rFonts w:asciiTheme="minorHAnsi" w:hAnsiTheme="minorHAnsi" w:cstheme="minorHAnsi"/>
                <w:b/>
                <w:bCs/>
                <w:color w:val="7030A0"/>
                <w:szCs w:val="20"/>
              </w:rPr>
              <w:t>’</w:t>
            </w:r>
            <w:r w:rsidRPr="00C73365">
              <w:rPr>
                <w:rFonts w:asciiTheme="minorHAnsi" w:hAnsiTheme="minorHAnsi" w:cstheme="minorHAnsi"/>
                <w:b/>
                <w:bCs/>
                <w:color w:val="7030A0"/>
                <w:szCs w:val="20"/>
              </w:rPr>
              <w:t>exercice</w:t>
            </w:r>
          </w:p>
        </w:tc>
        <w:tc>
          <w:tcPr>
            <w:tcW w:w="9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 </w:t>
            </w:r>
          </w:p>
        </w:tc>
        <w:tc>
          <w:tcPr>
            <w:tcW w:w="12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-11 223</w:t>
            </w:r>
          </w:p>
        </w:tc>
        <w:tc>
          <w:tcPr>
            <w:tcW w:w="11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-14 308</w:t>
            </w:r>
          </w:p>
        </w:tc>
        <w:tc>
          <w:tcPr>
            <w:tcW w:w="1140" w:type="dxa"/>
            <w:tcBorders>
              <w:top w:val="single" w:sz="8" w:space="0" w:color="7030A0"/>
              <w:left w:val="nil"/>
              <w:bottom w:val="single" w:sz="8" w:space="0" w:color="7030A0"/>
              <w:right w:val="nil"/>
            </w:tcBorders>
            <w:shd w:val="clear" w:color="auto" w:fill="auto"/>
            <w:vAlign w:val="center"/>
            <w:hideMark/>
          </w:tcPr>
          <w:p w:rsidR="00A46927" w:rsidRPr="00C73365" w:rsidRDefault="00A46927"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3 085</w:t>
            </w:r>
          </w:p>
        </w:tc>
      </w:tr>
    </w:tbl>
    <w:p w:rsidR="00EB6C9B" w:rsidRPr="00C73365" w:rsidRDefault="00EB6C9B" w:rsidP="00A96CCA">
      <w:pPr>
        <w:spacing w:after="0"/>
        <w:rPr>
          <w:rFonts w:asciiTheme="minorHAnsi" w:hAnsiTheme="minorHAnsi" w:cstheme="minorHAnsi"/>
          <w:b/>
          <w:color w:val="7030A0"/>
          <w:lang w:val="fr-FR"/>
        </w:rPr>
      </w:pPr>
    </w:p>
    <w:p w:rsidR="00EB6C9B" w:rsidRPr="00C73365" w:rsidRDefault="00EB6C9B" w:rsidP="00A96CCA">
      <w:pPr>
        <w:spacing w:after="0"/>
        <w:rPr>
          <w:rFonts w:asciiTheme="minorHAnsi" w:hAnsiTheme="minorHAnsi" w:cstheme="minorHAnsi"/>
          <w:b/>
          <w:color w:val="7030A0"/>
          <w:lang w:val="fr-FR"/>
        </w:rPr>
      </w:pPr>
    </w:p>
    <w:p w:rsidR="00F46C7B" w:rsidRPr="00C73365" w:rsidRDefault="00F46C7B" w:rsidP="00A96CCA">
      <w:pPr>
        <w:spacing w:after="0"/>
        <w:rPr>
          <w:rFonts w:asciiTheme="minorHAnsi" w:hAnsiTheme="minorHAnsi" w:cstheme="minorHAnsi"/>
        </w:rPr>
      </w:pPr>
    </w:p>
    <w:p w:rsidR="00F46C7B" w:rsidRPr="00C73365" w:rsidRDefault="00F46C7B" w:rsidP="00A96CCA">
      <w:pPr>
        <w:spacing w:after="0"/>
        <w:rPr>
          <w:rFonts w:asciiTheme="minorHAnsi" w:hAnsiTheme="minorHAnsi" w:cstheme="minorHAnsi"/>
          <w:b/>
          <w:color w:val="7030A0"/>
          <w:lang w:val="fr-FR"/>
        </w:rPr>
      </w:pPr>
      <w:r w:rsidRPr="00C73365">
        <w:rPr>
          <w:rFonts w:asciiTheme="minorHAnsi" w:hAnsiTheme="minorHAnsi" w:cstheme="minorHAnsi"/>
          <w:b/>
          <w:color w:val="7030A0"/>
          <w:lang w:val="fr-FR"/>
        </w:rPr>
        <w:br w:type="page"/>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Tableau des flux de trésorerie</w:t>
      </w:r>
    </w:p>
    <w:tbl>
      <w:tblPr>
        <w:tblW w:w="8928" w:type="dxa"/>
        <w:tblLayout w:type="fixed"/>
        <w:tblCellMar>
          <w:left w:w="70" w:type="dxa"/>
          <w:right w:w="70" w:type="dxa"/>
        </w:tblCellMar>
        <w:tblLook w:val="04A0" w:firstRow="1" w:lastRow="0" w:firstColumn="1" w:lastColumn="0" w:noHBand="0" w:noVBand="1"/>
      </w:tblPr>
      <w:tblGrid>
        <w:gridCol w:w="4960"/>
        <w:gridCol w:w="1529"/>
        <w:gridCol w:w="1308"/>
        <w:gridCol w:w="1131"/>
      </w:tblGrid>
      <w:tr w:rsidR="003768FD" w:rsidRPr="00C73365" w:rsidTr="008F3083">
        <w:trPr>
          <w:trHeight w:val="852"/>
        </w:trPr>
        <w:tc>
          <w:tcPr>
            <w:tcW w:w="4960" w:type="dxa"/>
            <w:tcBorders>
              <w:top w:val="single" w:sz="12" w:space="0" w:color="7030A0"/>
              <w:left w:val="nil"/>
              <w:bottom w:val="single" w:sz="8" w:space="0" w:color="7030A0"/>
              <w:right w:val="nil"/>
            </w:tcBorders>
            <w:shd w:val="clear" w:color="auto" w:fill="auto"/>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529" w:type="dxa"/>
            <w:tcBorders>
              <w:top w:val="single" w:sz="12" w:space="0" w:color="7030A0"/>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31/12/2017</w:t>
            </w:r>
          </w:p>
        </w:tc>
        <w:tc>
          <w:tcPr>
            <w:tcW w:w="1308" w:type="dxa"/>
            <w:tcBorders>
              <w:top w:val="single" w:sz="12" w:space="0" w:color="7030A0"/>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31/12/2016</w:t>
            </w:r>
          </w:p>
        </w:tc>
        <w:tc>
          <w:tcPr>
            <w:tcW w:w="1131" w:type="dxa"/>
            <w:tcBorders>
              <w:top w:val="single" w:sz="12" w:space="0" w:color="7030A0"/>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w:t>
            </w:r>
          </w:p>
        </w:tc>
      </w:tr>
      <w:tr w:rsidR="003768FD" w:rsidRPr="00F06F79"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liés à l</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rPr>
                <w:rFonts w:asciiTheme="minorHAnsi" w:hAnsiTheme="minorHAnsi" w:cstheme="minorHAnsi"/>
                <w:b/>
                <w:bCs/>
                <w:color w:val="000000"/>
                <w:szCs w:val="20"/>
                <w:lang w:val="fr-FR" w:eastAsia="fr-FR"/>
              </w:rPr>
            </w:pP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szCs w:val="20"/>
                <w:lang w:val="fr-FR" w:eastAsia="fr-FR"/>
              </w:rPr>
            </w:pP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szCs w:val="20"/>
                <w:lang w:val="fr-FR" w:eastAsia="fr-FR"/>
              </w:rPr>
            </w:pP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Résultat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-14 150</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-18 236</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4 086</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Amortissements provisions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exclusion des provisions sur actif circulant)</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93</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-35</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128</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créances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724</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-595</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1 319</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1 647</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-237</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1 884</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Flux net de trésorerie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exploitation</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-11 686</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-19 103</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7 418</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Frais financiers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Produits financiers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116</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136</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w:t>
            </w:r>
          </w:p>
        </w:tc>
      </w:tr>
      <w:tr w:rsidR="003768FD" w:rsidRPr="00F06F79"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Charges exceptionnelles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Produits exceptionnels liés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autres créances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2979</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3 312</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-333</w:t>
            </w:r>
          </w:p>
        </w:tc>
      </w:tr>
      <w:tr w:rsidR="003768FD" w:rsidRPr="00C73365" w:rsidTr="008F3083">
        <w:trPr>
          <w:trHeight w:val="288"/>
        </w:trPr>
        <w:tc>
          <w:tcPr>
            <w:tcW w:w="4960" w:type="dxa"/>
            <w:tcBorders>
              <w:top w:val="nil"/>
              <w:left w:val="nil"/>
              <w:bottom w:val="single" w:sz="8" w:space="0" w:color="7030A0"/>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autres dettes liées à l</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activité</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152</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59</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93</w:t>
            </w:r>
          </w:p>
        </w:tc>
      </w:tr>
      <w:tr w:rsidR="003768FD" w:rsidRPr="00C73365" w:rsidTr="008F3083">
        <w:trPr>
          <w:trHeight w:val="288"/>
        </w:trPr>
        <w:tc>
          <w:tcPr>
            <w:tcW w:w="4960" w:type="dxa"/>
            <w:tcBorders>
              <w:top w:val="nil"/>
              <w:left w:val="nil"/>
              <w:bottom w:val="single" w:sz="8" w:space="0" w:color="7030A0"/>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Flux Net de trésorerie généré par l</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activité (A)</w:t>
            </w:r>
          </w:p>
        </w:tc>
        <w:tc>
          <w:tcPr>
            <w:tcW w:w="1529" w:type="dxa"/>
            <w:tcBorders>
              <w:top w:val="single" w:sz="8" w:space="0" w:color="7030A0"/>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-8 449</w:t>
            </w:r>
          </w:p>
        </w:tc>
        <w:tc>
          <w:tcPr>
            <w:tcW w:w="1308" w:type="dxa"/>
            <w:tcBorders>
              <w:top w:val="single" w:sz="8" w:space="0" w:color="7030A0"/>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-15 608</w:t>
            </w:r>
          </w:p>
        </w:tc>
        <w:tc>
          <w:tcPr>
            <w:tcW w:w="1131" w:type="dxa"/>
            <w:tcBorders>
              <w:top w:val="single" w:sz="8" w:space="0" w:color="7030A0"/>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7159</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 à l</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investissement</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szCs w:val="20"/>
                <w:lang w:val="fr-FR" w:eastAsia="fr-FR"/>
              </w:rPr>
            </w:pPr>
            <w:r w:rsidRPr="00C73365">
              <w:rPr>
                <w:rFonts w:asciiTheme="minorHAnsi" w:hAnsiTheme="minorHAnsi" w:cstheme="minorHAnsi"/>
                <w:color w:val="000000"/>
                <w:szCs w:val="20"/>
              </w:rPr>
              <w:t>0</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Acquisitions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-979</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-721</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-258</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Cessions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1014</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588</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426</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Réduction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immobilisations financières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40</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40</w:t>
            </w:r>
          </w:p>
        </w:tc>
      </w:tr>
      <w:tr w:rsidR="003768FD" w:rsidRPr="00C73365" w:rsidTr="008F3083">
        <w:trPr>
          <w:trHeight w:val="288"/>
        </w:trPr>
        <w:tc>
          <w:tcPr>
            <w:tcW w:w="4960" w:type="dxa"/>
            <w:tcBorders>
              <w:top w:val="nil"/>
              <w:left w:val="nil"/>
              <w:bottom w:val="single" w:sz="8" w:space="0" w:color="7030A0"/>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et créances relatives aux investissements</w:t>
            </w:r>
          </w:p>
        </w:tc>
        <w:tc>
          <w:tcPr>
            <w:tcW w:w="1529"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-180</w:t>
            </w:r>
          </w:p>
        </w:tc>
        <w:tc>
          <w:tcPr>
            <w:tcW w:w="1308"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39</w:t>
            </w:r>
          </w:p>
        </w:tc>
        <w:tc>
          <w:tcPr>
            <w:tcW w:w="1131"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-219</w:t>
            </w:r>
          </w:p>
        </w:tc>
      </w:tr>
      <w:tr w:rsidR="003768FD" w:rsidRPr="00C73365" w:rsidTr="008F3083">
        <w:trPr>
          <w:trHeight w:val="288"/>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Flux Net de trésorerie lié aux opérations d</w:t>
            </w:r>
            <w:r w:rsidR="004572A0" w:rsidRPr="00C73365">
              <w:rPr>
                <w:rFonts w:asciiTheme="minorHAnsi" w:hAnsiTheme="minorHAnsi" w:cstheme="minorHAnsi"/>
                <w:color w:val="7030A0"/>
                <w:szCs w:val="20"/>
                <w:lang w:val="fr-FR" w:eastAsia="fr-FR"/>
              </w:rPr>
              <w:t>’</w:t>
            </w:r>
            <w:r w:rsidRPr="00C73365">
              <w:rPr>
                <w:rFonts w:asciiTheme="minorHAnsi" w:hAnsiTheme="minorHAnsi" w:cstheme="minorHAnsi"/>
                <w:color w:val="7030A0"/>
                <w:szCs w:val="20"/>
                <w:lang w:val="fr-FR" w:eastAsia="fr-FR"/>
              </w:rPr>
              <w:t>investissement (B)</w:t>
            </w:r>
          </w:p>
        </w:tc>
        <w:tc>
          <w:tcPr>
            <w:tcW w:w="1529"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-105</w:t>
            </w:r>
          </w:p>
        </w:tc>
        <w:tc>
          <w:tcPr>
            <w:tcW w:w="1308"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-94</w:t>
            </w:r>
          </w:p>
        </w:tc>
        <w:tc>
          <w:tcPr>
            <w:tcW w:w="1131"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-11</w:t>
            </w:r>
          </w:p>
        </w:tc>
      </w:tr>
      <w:tr w:rsidR="003768FD" w:rsidRPr="00F06F79" w:rsidTr="008F3083">
        <w:trPr>
          <w:trHeight w:val="288"/>
        </w:trPr>
        <w:tc>
          <w:tcPr>
            <w:tcW w:w="4960" w:type="dxa"/>
            <w:tcBorders>
              <w:top w:val="single" w:sz="8" w:space="0" w:color="7030A0"/>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Flux de trésorerie lié au financement</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szCs w:val="20"/>
                <w:lang w:val="fr-FR" w:eastAsia="fr-FR"/>
              </w:rPr>
            </w:pP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Augmentation de capital en numéraire et versements par les associés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628</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58</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569</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Emissions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emprunts et avances remboursables encaissées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2056</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29</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2027</w:t>
            </w:r>
          </w:p>
        </w:tc>
      </w:tr>
      <w:tr w:rsidR="003768FD" w:rsidRPr="00C73365" w:rsidTr="008F3083">
        <w:trPr>
          <w:trHeight w:val="276"/>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Remboursements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emprunts et avances remboursables</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-85</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-525</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440</w:t>
            </w:r>
          </w:p>
        </w:tc>
      </w:tr>
      <w:tr w:rsidR="003768FD" w:rsidRPr="00C73365" w:rsidTr="008F3083">
        <w:trPr>
          <w:trHeight w:val="288"/>
        </w:trPr>
        <w:tc>
          <w:tcPr>
            <w:tcW w:w="4960" w:type="dxa"/>
            <w:tcBorders>
              <w:top w:val="nil"/>
              <w:left w:val="nil"/>
              <w:bottom w:val="single" w:sz="8" w:space="0" w:color="7030A0"/>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Variation des dettes et créances relatives aux opérations de financement</w:t>
            </w:r>
          </w:p>
        </w:tc>
        <w:tc>
          <w:tcPr>
            <w:tcW w:w="1529"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308"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c>
          <w:tcPr>
            <w:tcW w:w="1131"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0</w:t>
            </w:r>
          </w:p>
        </w:tc>
      </w:tr>
      <w:tr w:rsidR="003768FD" w:rsidRPr="00C73365" w:rsidTr="008F3083">
        <w:trPr>
          <w:trHeight w:val="288"/>
        </w:trPr>
        <w:tc>
          <w:tcPr>
            <w:tcW w:w="4960" w:type="dxa"/>
            <w:tcBorders>
              <w:top w:val="nil"/>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 Flux Net de trésorerie lié aux opérations de financement </w:t>
            </w:r>
            <w:r w:rsidR="004572A0" w:rsidRPr="00C73365">
              <w:rPr>
                <w:rFonts w:asciiTheme="minorHAnsi" w:hAnsiTheme="minorHAnsi" w:cstheme="minorHAnsi"/>
                <w:color w:val="7030A0"/>
                <w:szCs w:val="20"/>
                <w:lang w:val="fr-FR" w:eastAsia="fr-FR"/>
              </w:rPr>
              <w:t>©</w:t>
            </w:r>
          </w:p>
        </w:tc>
        <w:tc>
          <w:tcPr>
            <w:tcW w:w="1529"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2599</w:t>
            </w:r>
          </w:p>
        </w:tc>
        <w:tc>
          <w:tcPr>
            <w:tcW w:w="1308"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-438</w:t>
            </w:r>
          </w:p>
        </w:tc>
        <w:tc>
          <w:tcPr>
            <w:tcW w:w="1131"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3036</w:t>
            </w:r>
          </w:p>
        </w:tc>
      </w:tr>
      <w:tr w:rsidR="003768FD" w:rsidRPr="00C73365" w:rsidTr="008F3083">
        <w:trPr>
          <w:trHeight w:val="276"/>
        </w:trPr>
        <w:tc>
          <w:tcPr>
            <w:tcW w:w="4960" w:type="dxa"/>
            <w:tcBorders>
              <w:top w:val="single" w:sz="8" w:space="0" w:color="7030A0"/>
              <w:left w:val="nil"/>
              <w:bottom w:val="nil"/>
              <w:right w:val="nil"/>
            </w:tcBorders>
            <w:shd w:val="clear" w:color="auto" w:fill="auto"/>
            <w:noWrap/>
            <w:vAlign w:val="center"/>
            <w:hideMark/>
          </w:tcPr>
          <w:p w:rsidR="003768FD" w:rsidRPr="00C73365" w:rsidRDefault="003768FD"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Variation de trésorerie (A+B+C)</w:t>
            </w:r>
          </w:p>
        </w:tc>
        <w:tc>
          <w:tcPr>
            <w:tcW w:w="1529"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-5 955</w:t>
            </w:r>
          </w:p>
        </w:tc>
        <w:tc>
          <w:tcPr>
            <w:tcW w:w="1308"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-16 140</w:t>
            </w:r>
          </w:p>
        </w:tc>
        <w:tc>
          <w:tcPr>
            <w:tcW w:w="1131" w:type="dxa"/>
            <w:tcBorders>
              <w:top w:val="nil"/>
              <w:left w:val="nil"/>
              <w:bottom w:val="nil"/>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rPr>
              <w:t>10 185</w:t>
            </w:r>
          </w:p>
        </w:tc>
      </w:tr>
      <w:tr w:rsidR="003768FD" w:rsidRPr="00C73365" w:rsidTr="008F3083">
        <w:trPr>
          <w:trHeight w:val="288"/>
        </w:trPr>
        <w:tc>
          <w:tcPr>
            <w:tcW w:w="4960" w:type="dxa"/>
            <w:tcBorders>
              <w:top w:val="nil"/>
              <w:left w:val="nil"/>
              <w:bottom w:val="single" w:sz="8" w:space="0" w:color="7030A0"/>
              <w:right w:val="nil"/>
            </w:tcBorders>
            <w:shd w:val="clear" w:color="auto" w:fill="auto"/>
            <w:noWrap/>
            <w:vAlign w:val="center"/>
            <w:hideMark/>
          </w:tcPr>
          <w:p w:rsidR="003768FD" w:rsidRPr="00C73365" w:rsidRDefault="003768FD"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Trésorerie d’ouverture</w:t>
            </w:r>
          </w:p>
        </w:tc>
        <w:tc>
          <w:tcPr>
            <w:tcW w:w="1529"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22 987</w:t>
            </w:r>
          </w:p>
        </w:tc>
        <w:tc>
          <w:tcPr>
            <w:tcW w:w="1308"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39 127</w:t>
            </w:r>
          </w:p>
        </w:tc>
        <w:tc>
          <w:tcPr>
            <w:tcW w:w="1131"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rPr>
              <w:t>-16 140</w:t>
            </w:r>
          </w:p>
        </w:tc>
      </w:tr>
      <w:tr w:rsidR="003768FD" w:rsidRPr="00C73365" w:rsidTr="008F3083">
        <w:trPr>
          <w:trHeight w:val="288"/>
        </w:trPr>
        <w:tc>
          <w:tcPr>
            <w:tcW w:w="4960" w:type="dxa"/>
            <w:tcBorders>
              <w:top w:val="nil"/>
              <w:left w:val="nil"/>
              <w:bottom w:val="single" w:sz="8" w:space="0" w:color="7030A0"/>
              <w:right w:val="nil"/>
            </w:tcBorders>
            <w:shd w:val="clear" w:color="auto" w:fill="auto"/>
            <w:noWrap/>
            <w:vAlign w:val="center"/>
            <w:hideMark/>
          </w:tcPr>
          <w:p w:rsidR="003768FD" w:rsidRPr="00C73365" w:rsidRDefault="003768FD"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Trésorerie de clôture*</w:t>
            </w:r>
          </w:p>
        </w:tc>
        <w:tc>
          <w:tcPr>
            <w:tcW w:w="1529"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17 032</w:t>
            </w:r>
          </w:p>
        </w:tc>
        <w:tc>
          <w:tcPr>
            <w:tcW w:w="1308"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22 987</w:t>
            </w:r>
          </w:p>
        </w:tc>
        <w:tc>
          <w:tcPr>
            <w:tcW w:w="1131" w:type="dxa"/>
            <w:tcBorders>
              <w:top w:val="nil"/>
              <w:left w:val="nil"/>
              <w:bottom w:val="single" w:sz="8" w:space="0" w:color="7030A0"/>
              <w:right w:val="nil"/>
            </w:tcBorders>
            <w:shd w:val="clear" w:color="auto" w:fill="auto"/>
            <w:vAlign w:val="center"/>
            <w:hideMark/>
          </w:tcPr>
          <w:p w:rsidR="003768FD" w:rsidRPr="00C73365" w:rsidRDefault="003768FD"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rPr>
              <w:t>-5 955</w:t>
            </w:r>
          </w:p>
        </w:tc>
      </w:tr>
    </w:tbl>
    <w:p w:rsidR="008F3083" w:rsidRPr="00C73365" w:rsidRDefault="008F3083">
      <w:pPr>
        <w:pStyle w:val="ConmainL2"/>
        <w:numPr>
          <w:ilvl w:val="0"/>
          <w:numId w:val="0"/>
        </w:numPr>
        <w:spacing w:after="0"/>
        <w:outlineLvl w:val="9"/>
        <w:rPr>
          <w:rFonts w:asciiTheme="minorHAnsi" w:hAnsiTheme="minorHAnsi" w:cstheme="minorHAnsi"/>
          <w:sz w:val="22"/>
          <w:szCs w:val="22"/>
          <w:lang w:val="fr-FR"/>
        </w:rPr>
      </w:pPr>
    </w:p>
    <w:p w:rsidR="008F3083" w:rsidRPr="00C73365" w:rsidRDefault="008F3083" w:rsidP="004572A0">
      <w:pPr>
        <w:pStyle w:val="BodyText"/>
        <w:rPr>
          <w:rFonts w:asciiTheme="minorHAnsi" w:hAnsiTheme="minorHAnsi" w:cstheme="minorHAnsi"/>
          <w:i/>
          <w:lang w:val="fr-FR"/>
        </w:rPr>
      </w:pPr>
      <w:r w:rsidRPr="00C73365">
        <w:rPr>
          <w:rFonts w:asciiTheme="minorHAnsi" w:hAnsiTheme="minorHAnsi" w:cstheme="minorHAnsi"/>
          <w:i/>
          <w:lang w:val="fr-FR"/>
        </w:rPr>
        <w:t>Les montants indiqués en Trésorerie correspondent aux Valeurs Mobilières de Placement et Disponibilités indiquées au Bilan</w:t>
      </w:r>
    </w:p>
    <w:p w:rsidR="008F3083" w:rsidRPr="00C93577" w:rsidRDefault="008F3083" w:rsidP="004572A0">
      <w:pPr>
        <w:pStyle w:val="ListBullet"/>
        <w:rPr>
          <w:rFonts w:asciiTheme="minorHAnsi" w:hAnsiTheme="minorHAnsi" w:cstheme="minorHAnsi"/>
          <w:lang w:val="fr-FR"/>
        </w:rPr>
      </w:pPr>
      <w:r w:rsidRPr="00C93577">
        <w:rPr>
          <w:rFonts w:asciiTheme="minorHAnsi" w:hAnsiTheme="minorHAnsi" w:cstheme="minorHAnsi"/>
          <w:lang w:val="fr-FR"/>
        </w:rPr>
        <w:t xml:space="preserve">La trésorerie financière nette déduction faite des dettes financières de 170 </w:t>
      </w:r>
      <w:r w:rsidR="00EF089C" w:rsidRPr="00C93577">
        <w:rPr>
          <w:rFonts w:asciiTheme="minorHAnsi" w:hAnsiTheme="minorHAnsi" w:cstheme="minorHAnsi"/>
          <w:lang w:val="fr-FR"/>
        </w:rPr>
        <w:t>K€</w:t>
      </w:r>
      <w:r w:rsidRPr="00C93577">
        <w:rPr>
          <w:rFonts w:asciiTheme="minorHAnsi" w:hAnsiTheme="minorHAnsi" w:cstheme="minorHAnsi"/>
          <w:lang w:val="fr-FR"/>
        </w:rPr>
        <w:t xml:space="preserve"> est de 16 862 </w:t>
      </w:r>
      <w:r w:rsidR="00EF089C" w:rsidRPr="00C93577">
        <w:rPr>
          <w:rFonts w:asciiTheme="minorHAnsi" w:hAnsiTheme="minorHAnsi" w:cstheme="minorHAnsi"/>
          <w:lang w:val="fr-FR"/>
        </w:rPr>
        <w:t>K€</w:t>
      </w:r>
    </w:p>
    <w:p w:rsidR="00F46C7B" w:rsidRPr="00C73365" w:rsidRDefault="00F46C7B" w:rsidP="00A96CCA">
      <w:pPr>
        <w:spacing w:after="0"/>
        <w:rPr>
          <w:rFonts w:asciiTheme="minorHAnsi" w:eastAsia="MS Mincho" w:hAnsiTheme="minorHAnsi" w:cstheme="minorHAnsi"/>
          <w:color w:val="7030A0"/>
          <w:sz w:val="18"/>
          <w:szCs w:val="22"/>
          <w:lang w:val="fr-FR" w:eastAsia="fr-FR"/>
        </w:rPr>
      </w:pPr>
    </w:p>
    <w:p w:rsidR="00C0081E" w:rsidRPr="00C73365" w:rsidRDefault="00C0081E" w:rsidP="00A96CCA">
      <w:pPr>
        <w:spacing w:after="0"/>
        <w:rPr>
          <w:rFonts w:asciiTheme="minorHAnsi" w:eastAsia="MS Mincho" w:hAnsiTheme="minorHAnsi" w:cstheme="minorHAnsi"/>
          <w:color w:val="7030A0"/>
          <w:sz w:val="18"/>
          <w:szCs w:val="22"/>
          <w:lang w:val="fr-FR" w:eastAsia="fr-FR"/>
        </w:rPr>
      </w:pPr>
    </w:p>
    <w:p w:rsidR="00F46C7B" w:rsidRPr="00C73365" w:rsidRDefault="00F46C7B" w:rsidP="00A96CCA">
      <w:pPr>
        <w:spacing w:after="0"/>
        <w:rPr>
          <w:rFonts w:asciiTheme="minorHAnsi" w:eastAsia="MS Mincho" w:hAnsiTheme="minorHAnsi" w:cstheme="minorHAnsi"/>
          <w:b/>
          <w:color w:val="7030A0"/>
          <w:szCs w:val="20"/>
          <w:lang w:val="fr-FR" w:eastAsia="fr-FR"/>
        </w:rPr>
      </w:pPr>
    </w:p>
    <w:p w:rsidR="00F46C7B" w:rsidRPr="00C73365" w:rsidRDefault="00F46C7B" w:rsidP="00A96CCA">
      <w:pPr>
        <w:spacing w:after="0"/>
        <w:rPr>
          <w:rFonts w:asciiTheme="minorHAnsi" w:eastAsia="MS Mincho" w:hAnsiTheme="minorHAnsi" w:cstheme="minorHAnsi"/>
          <w:b/>
          <w:color w:val="7030A0"/>
          <w:szCs w:val="20"/>
          <w:lang w:val="fr-FR" w:eastAsia="fr-FR"/>
        </w:rPr>
      </w:pPr>
    </w:p>
    <w:p w:rsidR="002D249A" w:rsidRPr="00C73365" w:rsidRDefault="002D249A" w:rsidP="00A96CCA">
      <w:pPr>
        <w:spacing w:after="0"/>
        <w:rPr>
          <w:rFonts w:asciiTheme="minorHAnsi" w:eastAsia="MS Mincho" w:hAnsiTheme="minorHAnsi" w:cstheme="minorHAnsi"/>
          <w:b/>
          <w:color w:val="7030A0"/>
          <w:szCs w:val="20"/>
          <w:lang w:val="fr-FR" w:eastAsia="fr-FR"/>
        </w:rPr>
      </w:pPr>
    </w:p>
    <w:p w:rsidR="002D249A" w:rsidRPr="00C73365" w:rsidRDefault="002D249A" w:rsidP="00A96CCA">
      <w:pPr>
        <w:spacing w:after="0"/>
        <w:rPr>
          <w:rFonts w:asciiTheme="minorHAnsi" w:eastAsia="MS Mincho" w:hAnsiTheme="minorHAnsi" w:cstheme="minorHAnsi"/>
          <w:b/>
          <w:color w:val="7030A0"/>
          <w:szCs w:val="20"/>
          <w:lang w:val="fr-FR" w:eastAsia="fr-FR"/>
        </w:rPr>
      </w:pPr>
    </w:p>
    <w:p w:rsidR="002D249A" w:rsidRPr="00C73365" w:rsidRDefault="002D249A" w:rsidP="00A96CCA">
      <w:pPr>
        <w:spacing w:after="0"/>
        <w:rPr>
          <w:rFonts w:asciiTheme="minorHAnsi" w:eastAsia="MS Mincho" w:hAnsiTheme="minorHAnsi" w:cstheme="minorHAnsi"/>
          <w:b/>
          <w:color w:val="7030A0"/>
          <w:szCs w:val="20"/>
          <w:lang w:val="fr-FR" w:eastAsia="fr-FR"/>
        </w:rPr>
      </w:pPr>
    </w:p>
    <w:p w:rsidR="002D249A" w:rsidRPr="00C73365" w:rsidRDefault="002D249A" w:rsidP="00A96CCA">
      <w:pPr>
        <w:spacing w:after="0"/>
        <w:rPr>
          <w:rFonts w:asciiTheme="minorHAnsi" w:eastAsia="MS Mincho" w:hAnsiTheme="minorHAnsi" w:cstheme="minorHAnsi"/>
          <w:b/>
          <w:color w:val="7030A0"/>
          <w:szCs w:val="20"/>
          <w:lang w:val="fr-FR" w:eastAsia="fr-FR"/>
        </w:rPr>
      </w:pPr>
    </w:p>
    <w:p w:rsidR="002D249A" w:rsidRPr="00C73365" w:rsidRDefault="002D249A" w:rsidP="00A96CCA">
      <w:pPr>
        <w:spacing w:after="0"/>
        <w:rPr>
          <w:rFonts w:asciiTheme="minorHAnsi" w:eastAsia="MS Mincho" w:hAnsiTheme="minorHAnsi" w:cstheme="minorHAnsi"/>
          <w:b/>
          <w:color w:val="7030A0"/>
          <w:szCs w:val="20"/>
          <w:lang w:val="fr-FR" w:eastAsia="fr-FR"/>
        </w:rPr>
      </w:pPr>
    </w:p>
    <w:p w:rsidR="00F46C7B" w:rsidRPr="00C73365" w:rsidRDefault="00F46C7B" w:rsidP="00A96CCA">
      <w:pPr>
        <w:spacing w:after="0"/>
        <w:rPr>
          <w:rFonts w:asciiTheme="minorHAnsi" w:eastAsia="MS Mincho" w:hAnsiTheme="minorHAnsi" w:cstheme="minorHAnsi"/>
          <w:b/>
          <w:color w:val="7030A0"/>
          <w:szCs w:val="20"/>
          <w:lang w:val="fr-FR" w:eastAsia="fr-FR"/>
        </w:rPr>
      </w:pPr>
    </w:p>
    <w:p w:rsidR="00F46C7B" w:rsidRPr="00C73365" w:rsidRDefault="00F46C7B" w:rsidP="00A96CCA">
      <w:pPr>
        <w:spacing w:after="0"/>
        <w:rPr>
          <w:rFonts w:asciiTheme="minorHAnsi" w:eastAsia="MS Mincho" w:hAnsiTheme="minorHAnsi" w:cstheme="minorHAnsi"/>
          <w:b/>
          <w:color w:val="7030A0"/>
          <w:szCs w:val="20"/>
          <w:lang w:val="fr-FR" w:eastAsia="fr-FR"/>
        </w:rPr>
      </w:pPr>
    </w:p>
    <w:p w:rsidR="00F46C7B" w:rsidRPr="00C73365" w:rsidRDefault="00F46C7B" w:rsidP="00A96CCA">
      <w:pPr>
        <w:spacing w:after="0"/>
        <w:rPr>
          <w:rFonts w:asciiTheme="minorHAnsi" w:eastAsia="MS Mincho" w:hAnsiTheme="minorHAnsi" w:cstheme="minorHAnsi"/>
          <w:b/>
          <w:color w:val="7030A0"/>
          <w:szCs w:val="20"/>
          <w:lang w:val="fr-FR" w:eastAsia="fr-FR"/>
        </w:rPr>
      </w:pPr>
    </w:p>
    <w:p w:rsidR="00F46C7B" w:rsidRPr="00C73365" w:rsidRDefault="00F46C7B" w:rsidP="00A96CCA">
      <w:pPr>
        <w:spacing w:after="0"/>
        <w:rPr>
          <w:rFonts w:asciiTheme="minorHAnsi" w:eastAsia="MS Mincho" w:hAnsiTheme="minorHAnsi" w:cstheme="minorHAnsi"/>
          <w:b/>
          <w:color w:val="7030A0"/>
          <w:szCs w:val="20"/>
          <w:lang w:val="fr-FR" w:eastAsia="fr-FR"/>
        </w:rPr>
      </w:pPr>
    </w:p>
    <w:p w:rsidR="006C036C" w:rsidRPr="00C73365" w:rsidRDefault="00516F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NOT</w:t>
      </w:r>
      <w:r w:rsidR="00F46C7B" w:rsidRPr="00C73365">
        <w:rPr>
          <w:rFonts w:asciiTheme="minorHAnsi" w:eastAsia="MS Mincho" w:hAnsiTheme="minorHAnsi" w:cstheme="minorHAnsi"/>
          <w:b/>
          <w:lang w:val="fr-FR" w:eastAsia="fr-FR"/>
        </w:rPr>
        <w:t>E 1 : LA SOCIETE</w:t>
      </w:r>
    </w:p>
    <w:p w:rsidR="00C73365" w:rsidRPr="00C73365" w:rsidRDefault="00C73365" w:rsidP="00C73365">
      <w:pPr>
        <w:pStyle w:val="ListContinue2"/>
        <w:ind w:left="0"/>
        <w:rPr>
          <w:rFonts w:asciiTheme="minorHAnsi" w:hAnsiTheme="minorHAnsi" w:cstheme="minorHAnsi"/>
          <w:lang w:val="fr-FR"/>
        </w:rPr>
      </w:pPr>
      <w:r w:rsidRPr="00C73365">
        <w:rPr>
          <w:rFonts w:asciiTheme="minorHAnsi" w:hAnsiTheme="minorHAnsi" w:cstheme="minorHAnsi"/>
          <w:lang w:val="fr-FR"/>
        </w:rPr>
        <w:t>ABIVAX est une société innovante de biotechnologie qui cible le système immunitaire pour éliminer les maladies virales, les maladies inflammatoires et le cancer.</w:t>
      </w:r>
    </w:p>
    <w:p w:rsidR="00C73365" w:rsidRPr="00C73365" w:rsidRDefault="00C73365" w:rsidP="00C73365">
      <w:pPr>
        <w:pStyle w:val="ListContinue2"/>
        <w:ind w:left="0"/>
        <w:rPr>
          <w:rFonts w:asciiTheme="minorHAnsi" w:hAnsiTheme="minorHAnsi" w:cstheme="minorHAnsi"/>
          <w:lang w:val="fr-FR"/>
        </w:rPr>
      </w:pPr>
      <w:r w:rsidRPr="00C73365">
        <w:rPr>
          <w:rFonts w:asciiTheme="minorHAnsi" w:hAnsiTheme="minorHAnsi" w:cstheme="minorHAnsi"/>
          <w:lang w:val="fr-FR"/>
        </w:rPr>
        <w:t>Les produits antiviraux et les immunothérapies que développe ABIVAX sont issus de trois plateformes technologiques propriétaires :</w:t>
      </w:r>
    </w:p>
    <w:p w:rsidR="00C73365" w:rsidRPr="00C73365" w:rsidRDefault="00C73365" w:rsidP="00434C49">
      <w:pPr>
        <w:pStyle w:val="List3"/>
        <w:numPr>
          <w:ilvl w:val="0"/>
          <w:numId w:val="106"/>
        </w:numPr>
        <w:rPr>
          <w:rFonts w:asciiTheme="minorHAnsi" w:hAnsiTheme="minorHAnsi" w:cstheme="minorHAnsi"/>
          <w:lang w:val="fr-FR"/>
        </w:rPr>
      </w:pPr>
      <w:r w:rsidRPr="00C73365">
        <w:rPr>
          <w:rFonts w:asciiTheme="minorHAnsi" w:hAnsiTheme="minorHAnsi" w:cstheme="minorHAnsi"/>
          <w:b/>
          <w:color w:val="7030A0"/>
          <w:lang w:val="fr-FR"/>
        </w:rPr>
        <w:t>Une plateforme « Antivirale »</w:t>
      </w:r>
      <w:r w:rsidRPr="00C73365">
        <w:rPr>
          <w:rStyle w:val="FootnoteReference"/>
          <w:rFonts w:asciiTheme="minorHAnsi" w:hAnsiTheme="minorHAnsi" w:cstheme="minorHAnsi"/>
          <w:b/>
          <w:color w:val="7030A0"/>
        </w:rPr>
        <w:footnoteReference w:id="20"/>
      </w:r>
      <w:r w:rsidRPr="00C73365">
        <w:rPr>
          <w:rFonts w:asciiTheme="minorHAnsi" w:hAnsiTheme="minorHAnsi" w:cstheme="minorHAnsi"/>
          <w:b/>
          <w:color w:val="7030A0"/>
          <w:lang w:val="fr-FR"/>
        </w:rPr>
        <w:t>,</w:t>
      </w:r>
      <w:r w:rsidRPr="00C73365">
        <w:rPr>
          <w:rFonts w:asciiTheme="minorHAnsi" w:hAnsiTheme="minorHAnsi" w:cstheme="minorHAnsi"/>
          <w:color w:val="7030A0"/>
          <w:lang w:val="fr-FR"/>
        </w:rPr>
        <w:t xml:space="preserve"> </w:t>
      </w:r>
      <w:r w:rsidRPr="00C73365">
        <w:rPr>
          <w:rFonts w:asciiTheme="minorHAnsi" w:hAnsiTheme="minorHAnsi" w:cstheme="minorHAnsi"/>
          <w:lang w:val="fr-FR"/>
        </w:rPr>
        <w:t>basée sur des technologies mises au point conjointement avec le CNRS (Montpellier-France) et l’Institut Curie (Orsay-France). Cette plateforme a généré une chimiothèque de plus de 1 200 petites molécules conçues pour bloquer les mécanismes de reproduction des virus grâce à des modes d’action nouveaux, ciblant la biogénèse des ARN. En plus d’ABX464, cette plateforme a généré différentes molécules ciblant d’autres virus comme le Chikungunya, le Virus Respiratoire Syncitial ou la Dengue avec des premières molécules actives identifiées.</w:t>
      </w:r>
    </w:p>
    <w:p w:rsidR="00C73365" w:rsidRPr="00C73365" w:rsidRDefault="00C73365" w:rsidP="00434C49">
      <w:pPr>
        <w:pStyle w:val="List3"/>
        <w:numPr>
          <w:ilvl w:val="0"/>
          <w:numId w:val="106"/>
        </w:numPr>
        <w:rPr>
          <w:rFonts w:asciiTheme="minorHAnsi" w:hAnsiTheme="minorHAnsi" w:cstheme="minorHAnsi"/>
          <w:lang w:val="fr-FR"/>
        </w:rPr>
      </w:pPr>
      <w:r w:rsidRPr="00C73365">
        <w:rPr>
          <w:rFonts w:asciiTheme="minorHAnsi" w:hAnsiTheme="minorHAnsi" w:cstheme="minorHAnsi"/>
          <w:b/>
          <w:color w:val="7030A0"/>
          <w:lang w:val="fr-FR"/>
        </w:rPr>
        <w:t>Une plateforme « Stimulation Immunitaire »</w:t>
      </w:r>
      <w:r w:rsidRPr="00C73365">
        <w:rPr>
          <w:rFonts w:asciiTheme="minorHAnsi" w:hAnsiTheme="minorHAnsi" w:cstheme="minorHAnsi"/>
          <w:b/>
          <w:color w:val="7030A0"/>
          <w:vertAlign w:val="superscript"/>
          <w:lang w:val="fr-FR"/>
        </w:rPr>
        <w:footnoteReference w:id="21"/>
      </w:r>
      <w:r w:rsidRPr="00C73365">
        <w:rPr>
          <w:rFonts w:asciiTheme="minorHAnsi" w:hAnsiTheme="minorHAnsi" w:cstheme="minorHAnsi"/>
          <w:b/>
          <w:color w:val="7030A0"/>
          <w:lang w:val="fr-FR"/>
        </w:rPr>
        <w:t xml:space="preserve"> </w:t>
      </w:r>
      <w:r w:rsidRPr="00C73365">
        <w:rPr>
          <w:rFonts w:asciiTheme="minorHAnsi" w:hAnsiTheme="minorHAnsi" w:cstheme="minorHAnsi"/>
          <w:lang w:val="fr-FR"/>
        </w:rPr>
        <w:t>fondée sur une propriété intellectuelle licenciée auprès du Scripps Research Institute (La Jolla, Etats-Unis). Celle-ci s’intéresse à des composés agonistes des « iNKT » qui peuvent stimuler la réponse immunitaire au niveau humoral et cellulaire, et qui ont potentiellement des applications cliniques en oncologie et dans le domaine des maladies infectieuses. Le produit cible ABX196 a déjà démontré son innocuité dans une étude de Phase 1 sur des volontaires sains. Dans un développement préclinique récent, ABX196 a démontré sa capacité à faire évoluer les tumeurs non répondantes au traitement par ‘checkpoint inhibitors’ en tumeurs répondantes. ABIVAX n’ayant pas vocation stratégique à devenir une société présente en immuno-oncologie, vise à développer cette molécule avec le support d’un partenaire externe, dès lors que les premiers résultats cliniques d’efficacité auront été obtenus dans l’hépatocarcinome avancé.</w:t>
      </w:r>
    </w:p>
    <w:p w:rsidR="00C73365" w:rsidRPr="00C73365" w:rsidRDefault="00C73365" w:rsidP="00434C49">
      <w:pPr>
        <w:pStyle w:val="List3"/>
        <w:numPr>
          <w:ilvl w:val="0"/>
          <w:numId w:val="106"/>
        </w:numPr>
        <w:rPr>
          <w:rFonts w:asciiTheme="minorHAnsi" w:hAnsiTheme="minorHAnsi" w:cstheme="minorHAnsi"/>
          <w:lang w:val="fr-FR"/>
        </w:rPr>
      </w:pPr>
      <w:r w:rsidRPr="00C73365">
        <w:rPr>
          <w:rFonts w:asciiTheme="minorHAnsi" w:hAnsiTheme="minorHAnsi" w:cstheme="minorHAnsi"/>
          <w:b/>
          <w:color w:val="7030A0"/>
          <w:lang w:val="fr-FR"/>
        </w:rPr>
        <w:t>Une plateforme « Anticorps Polyclonaux »</w:t>
      </w:r>
      <w:r w:rsidRPr="00C73365">
        <w:rPr>
          <w:rStyle w:val="FootnoteReference"/>
          <w:rFonts w:asciiTheme="minorHAnsi" w:hAnsiTheme="minorHAnsi" w:cstheme="minorHAnsi"/>
          <w:b/>
          <w:color w:val="7030A0"/>
        </w:rPr>
        <w:footnoteReference w:id="22"/>
      </w:r>
      <w:r w:rsidRPr="00C73365">
        <w:rPr>
          <w:rFonts w:asciiTheme="minorHAnsi" w:hAnsiTheme="minorHAnsi" w:cstheme="minorHAnsi"/>
          <w:color w:val="7030A0"/>
          <w:lang w:val="fr-FR"/>
        </w:rPr>
        <w:t xml:space="preserve"> </w:t>
      </w:r>
      <w:r w:rsidRPr="00C73365">
        <w:rPr>
          <w:rFonts w:asciiTheme="minorHAnsi" w:hAnsiTheme="minorHAnsi" w:cstheme="minorHAnsi"/>
          <w:lang w:val="fr-FR"/>
        </w:rPr>
        <w:t xml:space="preserve">basée sur la génération d’anticorps neutralisants afin de traiter et prévenir les infections dues au virus Ebola. La molécule ABX544, produit cible, est un cours de développement préclinique. </w:t>
      </w:r>
    </w:p>
    <w:p w:rsidR="00C73365" w:rsidRPr="00C73365" w:rsidRDefault="00C73365" w:rsidP="00C73365">
      <w:pPr>
        <w:pStyle w:val="BodyText"/>
        <w:rPr>
          <w:rFonts w:asciiTheme="minorHAnsi" w:hAnsiTheme="minorHAnsi" w:cstheme="minorHAnsi"/>
          <w:lang w:val="fr-FR"/>
        </w:rPr>
      </w:pPr>
      <w:r w:rsidRPr="00C73365">
        <w:rPr>
          <w:rFonts w:asciiTheme="minorHAnsi" w:hAnsiTheme="minorHAnsi" w:cstheme="minorHAnsi"/>
          <w:lang w:val="fr-FR"/>
        </w:rPr>
        <w:t xml:space="preserve">ABIVAX mène ses activités de R&amp;D principalement à Montpellier et possède son siège à Paris. Elle compte environ 25 collaborateurs sur les deux sites. L’équipe dirigeante d’ABIVAX bénéficie d’une grande expérience dans le développement et la commercialisation de produits biopharmaceutiques sur les maladies infectieuses et les antiviraux. La Société dispose en outre d’un comité scientifique de renommée internationale, composé d’experts ainsi que d’un conseil d’administration constitué de membres avec une solide expérience acquise au sein de grands laboratoires pharmaceutiques et de fabricants internationaux de vaccins. </w:t>
      </w:r>
    </w:p>
    <w:p w:rsidR="00C73365" w:rsidRPr="00C73365" w:rsidRDefault="00C73365" w:rsidP="004572A0">
      <w:pPr>
        <w:pStyle w:val="BodyText"/>
        <w:rPr>
          <w:rFonts w:asciiTheme="minorHAnsi" w:eastAsia="MS Mincho" w:hAnsiTheme="minorHAnsi" w:cstheme="minorHAnsi"/>
          <w:highlight w:val="cyan"/>
          <w:lang w:val="fr-FR" w:eastAsia="fr-FR"/>
        </w:rPr>
        <w:sectPr w:rsidR="00C73365" w:rsidRPr="00C73365" w:rsidSect="007C607C">
          <w:headerReference w:type="even" r:id="rId92"/>
          <w:footerReference w:type="even" r:id="rId93"/>
          <w:pgSz w:w="11906" w:h="16838"/>
          <w:pgMar w:top="1134" w:right="1134" w:bottom="1134" w:left="1134" w:header="709" w:footer="709" w:gutter="0"/>
          <w:cols w:space="708"/>
          <w:docGrid w:linePitch="360"/>
        </w:sectPr>
      </w:pPr>
    </w:p>
    <w:p w:rsidR="00F46C7B" w:rsidRPr="00C73365" w:rsidRDefault="00F46C7B" w:rsidP="00A96CCA">
      <w:pPr>
        <w:pStyle w:val="Default"/>
        <w:jc w:val="both"/>
        <w:rPr>
          <w:rFonts w:asciiTheme="minorHAnsi" w:hAnsiTheme="minorHAnsi" w:cstheme="minorHAnsi"/>
          <w:color w:val="000000" w:themeColor="text1"/>
          <w:sz w:val="20"/>
          <w:szCs w:val="20"/>
          <w:lang w:val="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A96CCA">
      <w:pPr>
        <w:pStyle w:val="Default"/>
        <w:jc w:val="both"/>
        <w:rPr>
          <w:rFonts w:asciiTheme="minorHAnsi" w:hAnsiTheme="minorHAnsi" w:cstheme="minorHAnsi"/>
          <w:color w:val="000000" w:themeColor="text1"/>
          <w:sz w:val="20"/>
          <w:szCs w:val="20"/>
          <w:lang w:val="fr-FR"/>
        </w:rPr>
        <w:sectPr w:rsidR="00F46C7B" w:rsidRPr="00C73365" w:rsidSect="007C607C">
          <w:type w:val="continuous"/>
          <w:pgSz w:w="11906" w:h="16838"/>
          <w:pgMar w:top="1134" w:right="1134" w:bottom="1134" w:left="1134" w:header="709" w:footer="709" w:gutter="0"/>
          <w:cols w:num="2" w:space="708"/>
          <w:docGrid w:linePitch="360"/>
        </w:sect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708"/>
          <w:docGrid w:linePitch="360"/>
        </w:sectPr>
      </w:pPr>
    </w:p>
    <w:p w:rsidR="00F46C7B" w:rsidRPr="00C73365" w:rsidRDefault="00F46C7B" w:rsidP="00A96CCA">
      <w:pPr>
        <w:spacing w:after="0"/>
        <w:rPr>
          <w:rFonts w:asciiTheme="minorHAnsi" w:eastAsia="MS Mincho" w:hAnsiTheme="minorHAnsi" w:cstheme="minorHAnsi"/>
          <w:b/>
          <w:color w:val="7030A0"/>
          <w:sz w:val="28"/>
          <w:szCs w:val="20"/>
          <w:lang w:val="fr-FR" w:eastAsia="fr-FR"/>
        </w:rPr>
      </w:pPr>
      <w:r w:rsidRPr="00C73365">
        <w:rPr>
          <w:rFonts w:asciiTheme="minorHAnsi" w:eastAsia="MS Mincho" w:hAnsiTheme="minorHAnsi" w:cstheme="minorHAnsi"/>
          <w:b/>
          <w:color w:val="7030A0"/>
          <w:sz w:val="28"/>
          <w:szCs w:val="20"/>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2 : PRINCIPES, REGLES ET METHODES COMPTABLES</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comptes annuels de la société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pour l’exercice de douze mois se terminant le 31 Décembre </w:t>
      </w:r>
      <w:r w:rsidR="00A46927" w:rsidRPr="00C73365">
        <w:rPr>
          <w:rFonts w:asciiTheme="minorHAnsi" w:eastAsia="MS Mincho" w:hAnsiTheme="minorHAnsi" w:cstheme="minorHAnsi"/>
          <w:lang w:val="fr-FR" w:eastAsia="fr-FR"/>
        </w:rPr>
        <w:t xml:space="preserve">2017 </w:t>
      </w:r>
      <w:r w:rsidRPr="00C73365">
        <w:rPr>
          <w:rFonts w:asciiTheme="minorHAnsi" w:eastAsia="MS Mincho" w:hAnsiTheme="minorHAnsi" w:cstheme="minorHAnsi"/>
          <w:lang w:val="fr-FR" w:eastAsia="fr-FR"/>
        </w:rPr>
        <w:t xml:space="preserve">ont été arrêtés le </w:t>
      </w:r>
      <w:r w:rsidR="00A46927" w:rsidRPr="00C73365">
        <w:rPr>
          <w:rFonts w:asciiTheme="minorHAnsi" w:eastAsia="MS Mincho" w:hAnsiTheme="minorHAnsi" w:cstheme="minorHAnsi"/>
          <w:lang w:val="fr-FR" w:eastAsia="fr-FR"/>
        </w:rPr>
        <w:t xml:space="preserve">15 </w:t>
      </w:r>
      <w:r w:rsidRPr="00C73365">
        <w:rPr>
          <w:rFonts w:asciiTheme="minorHAnsi" w:eastAsia="MS Mincho" w:hAnsiTheme="minorHAnsi" w:cstheme="minorHAnsi"/>
          <w:lang w:val="fr-FR" w:eastAsia="fr-FR"/>
        </w:rPr>
        <w:t xml:space="preserve">mars </w:t>
      </w:r>
      <w:r w:rsidR="00A46927" w:rsidRPr="00C73365">
        <w:rPr>
          <w:rFonts w:asciiTheme="minorHAnsi" w:eastAsia="MS Mincho" w:hAnsiTheme="minorHAnsi" w:cstheme="minorHAnsi"/>
          <w:lang w:val="fr-FR" w:eastAsia="fr-FR"/>
        </w:rPr>
        <w:t xml:space="preserve">2018 </w:t>
      </w:r>
      <w:r w:rsidRPr="00C73365">
        <w:rPr>
          <w:rFonts w:asciiTheme="minorHAnsi" w:eastAsia="MS Mincho" w:hAnsiTheme="minorHAnsi" w:cstheme="minorHAnsi"/>
          <w:lang w:val="fr-FR" w:eastAsia="fr-FR"/>
        </w:rPr>
        <w:t>par le Conseil d’Administration</w:t>
      </w:r>
      <w:r w:rsidR="00A46927" w:rsidRPr="00C73365">
        <w:rPr>
          <w:rFonts w:asciiTheme="minorHAnsi" w:eastAsia="MS Mincho" w:hAnsiTheme="minorHAnsi" w:cstheme="minorHAnsi"/>
          <w:lang w:val="fr-FR" w:eastAsia="fr-FR"/>
        </w:rPr>
        <w:t xml:space="preserve"> et seront soumis à l’approbation de l’Assemblée Générale des actionnaires convoquée le 15 juin 2018.</w:t>
      </w:r>
      <w:r w:rsidRPr="00C73365">
        <w:rPr>
          <w:rFonts w:asciiTheme="minorHAnsi" w:eastAsia="MS Mincho" w:hAnsiTheme="minorHAnsi" w:cstheme="minorHAnsi"/>
          <w:lang w:val="fr-FR" w:eastAsia="fr-FR"/>
        </w:rPr>
        <w:t xml:space="preserve"> </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Ces comptes sont composés d’un bilan dont le total est de </w:t>
      </w:r>
      <w:r w:rsidR="00A46927" w:rsidRPr="00C73365">
        <w:rPr>
          <w:rFonts w:asciiTheme="minorHAnsi" w:eastAsia="MS Mincho" w:hAnsiTheme="minorHAnsi" w:cstheme="minorHAnsi"/>
          <w:lang w:val="fr-FR" w:eastAsia="fr-FR"/>
        </w:rPr>
        <w:t>53</w:t>
      </w:r>
      <w:r w:rsidR="00463F98" w:rsidRPr="00C73365">
        <w:rPr>
          <w:rFonts w:asciiTheme="minorHAnsi" w:eastAsia="MS Mincho" w:hAnsiTheme="minorHAnsi" w:cstheme="minorHAnsi"/>
          <w:lang w:val="fr-FR" w:eastAsia="fr-FR"/>
        </w:rPr>
        <w:t xml:space="preserve"> </w:t>
      </w:r>
      <w:r w:rsidR="00A46927" w:rsidRPr="00C73365">
        <w:rPr>
          <w:rFonts w:asciiTheme="minorHAnsi" w:eastAsia="MS Mincho" w:hAnsiTheme="minorHAnsi" w:cstheme="minorHAnsi"/>
          <w:lang w:val="fr-FR" w:eastAsia="fr-FR"/>
        </w:rPr>
        <w:t xml:space="preserve">815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d’un compte de résultat faisant apparaître une perte de </w:t>
      </w:r>
      <w:r w:rsidR="00A46927" w:rsidRPr="00C73365">
        <w:rPr>
          <w:rFonts w:asciiTheme="minorHAnsi" w:eastAsia="MS Mincho" w:hAnsiTheme="minorHAnsi" w:cstheme="minorHAnsi"/>
          <w:lang w:val="fr-FR" w:eastAsia="fr-FR"/>
        </w:rPr>
        <w:t xml:space="preserve">11 223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d’un tableau des flux de trésorerie, d’un tableau de variation des capitaux propres et de l’annexe regroupant les présentes notes d’information complémentaires.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comptes annuels sont présentés en milliers d’euros. Sauf mention contraire, les informations chiffrées fournies en annexe sont exprimées en milliers d’euros.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Règles générales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comptes annuels </w:t>
      </w:r>
      <w:r w:rsidR="00A46927" w:rsidRPr="00C73365">
        <w:rPr>
          <w:rFonts w:asciiTheme="minorHAnsi" w:eastAsia="MS Mincho" w:hAnsiTheme="minorHAnsi" w:cstheme="minorHAnsi"/>
          <w:lang w:val="fr-FR" w:eastAsia="fr-FR"/>
        </w:rPr>
        <w:t xml:space="preserve">2017 </w:t>
      </w:r>
      <w:r w:rsidRPr="00C73365">
        <w:rPr>
          <w:rFonts w:asciiTheme="minorHAnsi" w:eastAsia="MS Mincho" w:hAnsiTheme="minorHAnsi" w:cstheme="minorHAnsi"/>
          <w:lang w:val="fr-FR" w:eastAsia="fr-FR"/>
        </w:rPr>
        <w:t>ont été établis selon les normes définies par le Règlement ANC n°2014-03, et en application des articles L. 123-12 à L. 123-28 et R. 123-172 à R. 123-208 du code de commerce.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méthode de base retenue pour l’évaluation des éléments inscrits en comptabilité est la méthode des coûts historiques.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conventions comptables ont été appliquées avec sincérité dans le respect du principe de prudence, conformément aux hypothèses de base : </w:t>
      </w:r>
    </w:p>
    <w:p w:rsidR="00F46C7B" w:rsidRPr="00C73365" w:rsidRDefault="00F46C7B" w:rsidP="004572A0">
      <w:pPr>
        <w:pStyle w:val="ListBullet"/>
        <w:rPr>
          <w:rFonts w:asciiTheme="minorHAnsi" w:hAnsiTheme="minorHAnsi" w:cstheme="minorHAnsi"/>
        </w:rPr>
      </w:pPr>
      <w:r w:rsidRPr="00C73365">
        <w:rPr>
          <w:rFonts w:asciiTheme="minorHAnsi" w:hAnsiTheme="minorHAnsi" w:cstheme="minorHAnsi"/>
        </w:rPr>
        <w:t>Continuité de l’exploitation,</w:t>
      </w:r>
    </w:p>
    <w:p w:rsidR="00F46C7B" w:rsidRPr="00C73365" w:rsidRDefault="00F46C7B"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L’hypothèse de la continuité d’exploitation a été retenue par le Conseil d’Administration malgré les pertes accumulées depuis la création de la société. </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La trésorerie </w:t>
      </w:r>
      <w:r w:rsidR="00B12C1C" w:rsidRPr="00C73365">
        <w:rPr>
          <w:rFonts w:asciiTheme="minorHAnsi" w:eastAsia="MS Mincho" w:hAnsiTheme="minorHAnsi" w:cstheme="minorHAnsi"/>
          <w:lang w:val="fr-FR" w:eastAsia="fr-FR"/>
        </w:rPr>
        <w:t>disponible</w:t>
      </w:r>
      <w:r w:rsidR="00242E3B" w:rsidRPr="00C73365">
        <w:rPr>
          <w:rFonts w:asciiTheme="minorHAnsi" w:eastAsia="MS Mincho" w:hAnsiTheme="minorHAnsi" w:cstheme="minorHAnsi"/>
          <w:lang w:val="fr-FR" w:eastAsia="fr-FR"/>
        </w:rPr>
        <w:t xml:space="preserve"> </w:t>
      </w:r>
      <w:r w:rsidRPr="00C73365">
        <w:rPr>
          <w:rFonts w:asciiTheme="minorHAnsi" w:eastAsia="MS Mincho" w:hAnsiTheme="minorHAnsi" w:cstheme="minorHAnsi"/>
          <w:lang w:val="fr-FR" w:eastAsia="fr-FR"/>
        </w:rPr>
        <w:t>au 31 Décembre 201</w:t>
      </w:r>
      <w:r w:rsidR="00A46927" w:rsidRPr="00C73365">
        <w:rPr>
          <w:rFonts w:asciiTheme="minorHAnsi" w:eastAsia="MS Mincho" w:hAnsiTheme="minorHAnsi" w:cstheme="minorHAnsi"/>
          <w:lang w:val="fr-FR" w:eastAsia="fr-FR"/>
        </w:rPr>
        <w:t>7</w:t>
      </w:r>
      <w:r w:rsidRPr="00C73365">
        <w:rPr>
          <w:rFonts w:asciiTheme="minorHAnsi" w:eastAsia="MS Mincho" w:hAnsiTheme="minorHAnsi" w:cstheme="minorHAnsi"/>
          <w:lang w:val="fr-FR" w:eastAsia="fr-FR"/>
        </w:rPr>
        <w:t xml:space="preserve"> </w:t>
      </w:r>
      <w:r w:rsidR="00C73365">
        <w:rPr>
          <w:rFonts w:asciiTheme="minorHAnsi" w:eastAsia="MS Mincho" w:hAnsiTheme="minorHAnsi" w:cstheme="minorHAnsi"/>
          <w:lang w:val="fr-FR" w:eastAsia="fr-FR"/>
        </w:rPr>
        <w:t xml:space="preserve">combinée avec la ligne de financement en fonds propres de Kepler Cheuvreux </w:t>
      </w:r>
      <w:r w:rsidRPr="00C73365">
        <w:rPr>
          <w:rFonts w:asciiTheme="minorHAnsi" w:eastAsia="MS Mincho" w:hAnsiTheme="minorHAnsi" w:cstheme="minorHAnsi"/>
          <w:lang w:val="fr-FR" w:eastAsia="fr-FR"/>
        </w:rPr>
        <w:t xml:space="preserve">permettra de couvrir les dépenses relatives aux projets de recherche de la société jusqu’à </w:t>
      </w:r>
      <w:r w:rsidR="00693B3E" w:rsidRPr="00C73365">
        <w:rPr>
          <w:rFonts w:asciiTheme="minorHAnsi" w:eastAsia="MS Mincho" w:hAnsiTheme="minorHAnsi" w:cstheme="minorHAnsi"/>
          <w:lang w:val="fr-FR" w:eastAsia="fr-FR"/>
        </w:rPr>
        <w:t>mi</w:t>
      </w:r>
      <w:r w:rsidR="00EE4F61" w:rsidRPr="00C73365">
        <w:rPr>
          <w:rFonts w:asciiTheme="minorHAnsi" w:eastAsia="MS Mincho" w:hAnsiTheme="minorHAnsi" w:cstheme="minorHAnsi"/>
          <w:lang w:val="fr-FR" w:eastAsia="fr-FR"/>
        </w:rPr>
        <w:t>-</w:t>
      </w:r>
      <w:r w:rsidR="00A46927" w:rsidRPr="00C73365">
        <w:rPr>
          <w:rFonts w:asciiTheme="minorHAnsi" w:eastAsia="MS Mincho" w:hAnsiTheme="minorHAnsi" w:cstheme="minorHAnsi"/>
          <w:lang w:val="fr-FR" w:eastAsia="fr-FR"/>
        </w:rPr>
        <w:t>2019</w:t>
      </w:r>
      <w:r w:rsidRPr="00C73365">
        <w:rPr>
          <w:rFonts w:asciiTheme="minorHAnsi" w:eastAsia="MS Mincho" w:hAnsiTheme="minorHAnsi" w:cstheme="minorHAnsi"/>
          <w:lang w:val="fr-FR" w:eastAsia="fr-FR"/>
        </w:rPr>
        <w:t>.</w:t>
      </w:r>
    </w:p>
    <w:p w:rsidR="00F46C7B" w:rsidRPr="00C93577" w:rsidRDefault="00F46C7B" w:rsidP="004572A0">
      <w:pPr>
        <w:pStyle w:val="ListBullet"/>
        <w:rPr>
          <w:rFonts w:asciiTheme="minorHAnsi" w:hAnsiTheme="minorHAnsi" w:cstheme="minorHAnsi"/>
          <w:lang w:val="fr-FR"/>
        </w:rPr>
      </w:pPr>
      <w:r w:rsidRPr="00C93577">
        <w:rPr>
          <w:rFonts w:asciiTheme="minorHAnsi" w:hAnsiTheme="minorHAnsi" w:cstheme="minorHAnsi"/>
          <w:lang w:val="fr-FR"/>
        </w:rPr>
        <w:t>Permanence des méthodes comptables d’un exercice à l’autre,</w:t>
      </w:r>
    </w:p>
    <w:p w:rsidR="00F46C7B" w:rsidRPr="00C73365" w:rsidRDefault="00F46C7B" w:rsidP="004572A0">
      <w:pPr>
        <w:pStyle w:val="ListBullet"/>
        <w:rPr>
          <w:rFonts w:asciiTheme="minorHAnsi" w:hAnsiTheme="minorHAnsi" w:cstheme="minorHAnsi"/>
        </w:rPr>
      </w:pPr>
      <w:r w:rsidRPr="00C73365">
        <w:rPr>
          <w:rFonts w:asciiTheme="minorHAnsi" w:hAnsiTheme="minorHAnsi" w:cstheme="minorHAnsi"/>
        </w:rPr>
        <w:t>Indépendance des exercices.</w:t>
      </w:r>
    </w:p>
    <w:p w:rsidR="00F46C7B" w:rsidRPr="00C73365" w:rsidRDefault="00F46C7B" w:rsidP="00A96CCA">
      <w:pPr>
        <w:widowControl w:val="0"/>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et conformément aux règles générales d’établissement et de présentation des comptes annuels.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Immobilisations corporelles et incorporelles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immobilisations corporelles et incorporelles sont évaluées à leur coût d’acquisition pour les actifs acquis à titre onéreux, à leur coût de production pour les actifs produits par l’entreprise, à leur valeur vénale pour les actifs acquis à titre gratuit et par voie d’échange.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coût d’une immobilisation est constitué de son prix d’achat, y compris les droits de douane et taxes non récupérables, après déduction des remises, rabais commerciaux et escomptes de règlement de tous les coûts directement attribuables engagés pour mettre l’actif en place et en état de fonctionner selon l’utilisation prévue. Les droits de mutation, honoraires ou commissions et frais d’actes liés à l’acquisition, sont rattachés à ce coût d’acquisition. </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Tous les coûts qui ne font pas partie du prix d’acquisition de l’immobilisation et qui ne peuvent pas être rattachés directement aux coûts rendus nécessaires pour mettre l’actif en place et en état de fonctionner conformément à l’utilisation prévue, sont comptabilisés en charges.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Amortissements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amortissements pour dépréciation sont calculés suivant le mode linéaire en fonction de la durée de vie prévue.</w:t>
      </w:r>
    </w:p>
    <w:p w:rsidR="00F46C7B" w:rsidRPr="00C73365" w:rsidRDefault="00F46C7B" w:rsidP="00434C49">
      <w:pPr>
        <w:pStyle w:val="ListBullet2"/>
        <w:numPr>
          <w:ilvl w:val="0"/>
          <w:numId w:val="80"/>
        </w:numPr>
        <w:rPr>
          <w:rFonts w:asciiTheme="minorHAnsi" w:hAnsiTheme="minorHAnsi" w:cstheme="minorHAnsi"/>
        </w:rPr>
      </w:pPr>
      <w:r w:rsidRPr="00C73365">
        <w:rPr>
          <w:rFonts w:asciiTheme="minorHAnsi" w:hAnsiTheme="minorHAnsi" w:cstheme="minorHAnsi"/>
        </w:rPr>
        <w:t>Concessions, logiciels et brevets : 1 an</w:t>
      </w:r>
    </w:p>
    <w:p w:rsidR="00F46C7B" w:rsidRPr="00C73365" w:rsidRDefault="00F46C7B" w:rsidP="00434C49">
      <w:pPr>
        <w:pStyle w:val="ListBullet2"/>
        <w:numPr>
          <w:ilvl w:val="0"/>
          <w:numId w:val="80"/>
        </w:numPr>
        <w:rPr>
          <w:rFonts w:asciiTheme="minorHAnsi" w:hAnsiTheme="minorHAnsi" w:cstheme="minorHAnsi"/>
        </w:rPr>
      </w:pPr>
      <w:r w:rsidRPr="00C73365">
        <w:rPr>
          <w:rFonts w:asciiTheme="minorHAnsi" w:hAnsiTheme="minorHAnsi" w:cstheme="minorHAnsi"/>
        </w:rPr>
        <w:t>Installations techniques : 5 à 10 ans</w:t>
      </w:r>
    </w:p>
    <w:p w:rsidR="00F46C7B" w:rsidRPr="00C93577" w:rsidRDefault="00F46C7B" w:rsidP="00434C49">
      <w:pPr>
        <w:pStyle w:val="ListBullet2"/>
        <w:numPr>
          <w:ilvl w:val="0"/>
          <w:numId w:val="80"/>
        </w:numPr>
        <w:rPr>
          <w:rFonts w:asciiTheme="minorHAnsi" w:hAnsiTheme="minorHAnsi" w:cstheme="minorHAnsi"/>
          <w:lang w:val="fr-FR"/>
        </w:rPr>
      </w:pPr>
      <w:r w:rsidRPr="00C93577">
        <w:rPr>
          <w:rFonts w:asciiTheme="minorHAnsi" w:hAnsiTheme="minorHAnsi" w:cstheme="minorHAnsi"/>
          <w:lang w:val="fr-FR"/>
        </w:rPr>
        <w:t>Matériel et outillage industriels : 5 à 10 ans</w:t>
      </w:r>
    </w:p>
    <w:p w:rsidR="00F46C7B" w:rsidRPr="00C73365" w:rsidRDefault="00F46C7B" w:rsidP="00434C49">
      <w:pPr>
        <w:pStyle w:val="ListBullet2"/>
        <w:numPr>
          <w:ilvl w:val="0"/>
          <w:numId w:val="80"/>
        </w:numPr>
        <w:rPr>
          <w:rFonts w:asciiTheme="minorHAnsi" w:hAnsiTheme="minorHAnsi" w:cstheme="minorHAnsi"/>
        </w:rPr>
      </w:pPr>
      <w:r w:rsidRPr="00C73365">
        <w:rPr>
          <w:rFonts w:asciiTheme="minorHAnsi" w:hAnsiTheme="minorHAnsi" w:cstheme="minorHAnsi"/>
        </w:rPr>
        <w:t>Matériel de bureau : 5 à 10 ans</w:t>
      </w:r>
    </w:p>
    <w:p w:rsidR="00F46C7B" w:rsidRPr="00C73365" w:rsidRDefault="00F46C7B" w:rsidP="00434C49">
      <w:pPr>
        <w:pStyle w:val="ListBullet2"/>
        <w:numPr>
          <w:ilvl w:val="0"/>
          <w:numId w:val="80"/>
        </w:numPr>
        <w:rPr>
          <w:rFonts w:asciiTheme="minorHAnsi" w:hAnsiTheme="minorHAnsi" w:cstheme="minorHAnsi"/>
        </w:rPr>
      </w:pPr>
      <w:r w:rsidRPr="00C73365">
        <w:rPr>
          <w:rFonts w:asciiTheme="minorHAnsi" w:hAnsiTheme="minorHAnsi" w:cstheme="minorHAnsi"/>
        </w:rPr>
        <w:t>Matériel informatique : 3 ans</w:t>
      </w:r>
    </w:p>
    <w:p w:rsidR="00F46C7B" w:rsidRPr="00C73365" w:rsidRDefault="00F46C7B" w:rsidP="00434C49">
      <w:pPr>
        <w:pStyle w:val="ListBullet2"/>
        <w:numPr>
          <w:ilvl w:val="0"/>
          <w:numId w:val="80"/>
        </w:numPr>
        <w:rPr>
          <w:rFonts w:asciiTheme="minorHAnsi" w:hAnsiTheme="minorHAnsi" w:cstheme="minorHAnsi"/>
        </w:rPr>
      </w:pPr>
      <w:r w:rsidRPr="00C73365">
        <w:rPr>
          <w:rFonts w:asciiTheme="minorHAnsi" w:hAnsiTheme="minorHAnsi" w:cstheme="minorHAnsi"/>
        </w:rPr>
        <w:t>Mobilier : 10 ans</w:t>
      </w:r>
    </w:p>
    <w:p w:rsidR="00F46C7B" w:rsidRPr="00C73365" w:rsidRDefault="00F46C7B" w:rsidP="00A96CCA">
      <w:pPr>
        <w:spacing w:after="0"/>
        <w:ind w:left="567"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durée d’amortissement retenue par simplification est la durée d’usage pour les biens non décomposables à l’origine.</w:t>
      </w:r>
    </w:p>
    <w:p w:rsidR="008B375E" w:rsidRPr="00C73365" w:rsidRDefault="008B375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mali techniques constatés à l’occasion de l’absorption de filiales par Transmission Universelle de Patrimoine sont assimilés à des fonds commerciaux et ne font pas l’objet d’amortissement.</w:t>
      </w:r>
    </w:p>
    <w:p w:rsidR="008B375E" w:rsidRPr="00C73365" w:rsidRDefault="008B375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A chaque clôture, les mali techniques qui découlent des fusions absorptions de Splicos et de Wittycell sont </w:t>
      </w:r>
      <w:r w:rsidRPr="00C73365">
        <w:rPr>
          <w:rFonts w:asciiTheme="minorHAnsi" w:eastAsia="MS Mincho" w:hAnsiTheme="minorHAnsi" w:cstheme="minorHAnsi"/>
          <w:lang w:val="fr-FR" w:eastAsia="fr-FR"/>
        </w:rPr>
        <w:lastRenderedPageBreak/>
        <w:t xml:space="preserve">comparés aux valeurs de marché des molécules issus des plateformes technologiques qui leur sont rattachées, respectivement la plateforme technologique antivirale </w:t>
      </w:r>
      <w:r w:rsidR="004572A0" w:rsidRPr="00C73365">
        <w:rPr>
          <w:rFonts w:asciiTheme="minorHAnsi" w:eastAsia="MS Mincho" w:hAnsiTheme="minorHAnsi" w:cstheme="minorHAnsi"/>
          <w:lang w:val="fr-FR" w:eastAsia="fr-FR"/>
        </w:rPr>
        <w:t>« </w:t>
      </w:r>
      <w:r w:rsidRPr="00C73365">
        <w:rPr>
          <w:rFonts w:asciiTheme="minorHAnsi" w:eastAsia="MS Mincho" w:hAnsiTheme="minorHAnsi" w:cstheme="minorHAnsi"/>
          <w:lang w:val="fr-FR" w:eastAsia="fr-FR"/>
        </w:rPr>
        <w:t>épissage</w:t>
      </w:r>
      <w:r w:rsidR="004572A0" w:rsidRPr="00C73365">
        <w:rPr>
          <w:rFonts w:asciiTheme="minorHAnsi" w:eastAsia="MS Mincho" w:hAnsiTheme="minorHAnsi" w:cstheme="minorHAnsi"/>
          <w:lang w:val="fr-FR" w:eastAsia="fr-FR"/>
        </w:rPr>
        <w:t> »</w:t>
      </w:r>
      <w:r w:rsidRPr="00C73365">
        <w:rPr>
          <w:rFonts w:asciiTheme="minorHAnsi" w:eastAsia="MS Mincho" w:hAnsiTheme="minorHAnsi" w:cstheme="minorHAnsi"/>
          <w:lang w:val="fr-FR" w:eastAsia="fr-FR"/>
        </w:rPr>
        <w:t xml:space="preserve"> pour Splicos et la plateforme technologique </w:t>
      </w:r>
      <w:r w:rsidR="004572A0" w:rsidRPr="00C73365">
        <w:rPr>
          <w:rFonts w:asciiTheme="minorHAnsi" w:eastAsia="MS Mincho" w:hAnsiTheme="minorHAnsi" w:cstheme="minorHAnsi"/>
          <w:lang w:val="fr-FR" w:eastAsia="fr-FR"/>
        </w:rPr>
        <w:t>« </w:t>
      </w:r>
      <w:r w:rsidRPr="00C73365">
        <w:rPr>
          <w:rFonts w:asciiTheme="minorHAnsi" w:eastAsia="MS Mincho" w:hAnsiTheme="minorHAnsi" w:cstheme="minorHAnsi"/>
          <w:lang w:val="fr-FR" w:eastAsia="fr-FR"/>
        </w:rPr>
        <w:t>agonistes iNKT</w:t>
      </w:r>
      <w:r w:rsidR="004572A0" w:rsidRPr="00C73365">
        <w:rPr>
          <w:rFonts w:asciiTheme="minorHAnsi" w:eastAsia="MS Mincho" w:hAnsiTheme="minorHAnsi" w:cstheme="minorHAnsi"/>
          <w:lang w:val="fr-FR" w:eastAsia="fr-FR"/>
        </w:rPr>
        <w:t> »</w:t>
      </w:r>
      <w:r w:rsidRPr="00C73365">
        <w:rPr>
          <w:rFonts w:asciiTheme="minorHAnsi" w:eastAsia="MS Mincho" w:hAnsiTheme="minorHAnsi" w:cstheme="minorHAnsi"/>
          <w:lang w:val="fr-FR" w:eastAsia="fr-FR"/>
        </w:rPr>
        <w:t xml:space="preserve"> pour Wittycell. Le mali technique de Zophis a été complétement dépréciée au moment de la TUP car le partenariat (Contrat d</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option de licence sur brevets avec l</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INRA) apporté par Zophis a été abandonné.</w:t>
      </w:r>
    </w:p>
    <w:p w:rsidR="008B375E" w:rsidRPr="00C73365" w:rsidRDefault="008B375E" w:rsidP="004572A0">
      <w:pPr>
        <w:pStyle w:val="BodyText"/>
        <w:rPr>
          <w:rFonts w:asciiTheme="minorHAnsi" w:hAnsiTheme="minorHAnsi" w:cstheme="minorHAnsi"/>
          <w:sz w:val="24"/>
          <w:lang w:val="fr-FR" w:eastAsia="fr-FR"/>
        </w:rPr>
      </w:pPr>
      <w:r w:rsidRPr="00C73365">
        <w:rPr>
          <w:rFonts w:asciiTheme="minorHAnsi" w:eastAsia="MS Mincho" w:hAnsiTheme="minorHAnsi" w:cstheme="minorHAnsi"/>
          <w:lang w:val="fr-FR" w:eastAsia="fr-FR"/>
        </w:rPr>
        <w:t>Si la valeur de marché estimée des molécules est inférieure au mali technique lui correspondant, une dépréciation est pratiquée afin de ramener le montant du mali technique figurant dans les comptes à la valeur de marché des projets.</w:t>
      </w:r>
    </w:p>
    <w:p w:rsidR="008B375E" w:rsidRPr="00C73365" w:rsidRDefault="008B375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Afin d’estimer la valeur de marché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un projet, deux références sont prises en compte:</w:t>
      </w:r>
    </w:p>
    <w:p w:rsidR="008B375E" w:rsidRPr="00C73365" w:rsidRDefault="008B375E" w:rsidP="00434C49">
      <w:pPr>
        <w:pStyle w:val="ListParagraph"/>
        <w:widowControl w:val="0"/>
        <w:numPr>
          <w:ilvl w:val="0"/>
          <w:numId w:val="83"/>
        </w:numPr>
        <w:spacing w:after="0"/>
        <w:rPr>
          <w:rFonts w:asciiTheme="minorHAnsi" w:hAnsiTheme="minorHAnsi" w:cstheme="minorHAnsi"/>
          <w:szCs w:val="20"/>
          <w:lang w:val="fr-FR" w:eastAsia="fr-FR"/>
        </w:rPr>
      </w:pPr>
      <w:r w:rsidRPr="00C73365">
        <w:rPr>
          <w:rFonts w:asciiTheme="minorHAnsi" w:hAnsiTheme="minorHAnsi" w:cstheme="minorHAnsi"/>
          <w:szCs w:val="20"/>
          <w:lang w:val="fr-FR" w:eastAsia="fr-FR"/>
        </w:rPr>
        <w:t>La valeur actuelle nette ajustée des flux de trésorerie attendus de l</w:t>
      </w:r>
      <w:r w:rsidR="004572A0" w:rsidRPr="00C73365">
        <w:rPr>
          <w:rFonts w:asciiTheme="minorHAnsi" w:hAnsiTheme="minorHAnsi" w:cstheme="minorHAnsi"/>
          <w:szCs w:val="20"/>
          <w:lang w:val="fr-FR" w:eastAsia="fr-FR"/>
        </w:rPr>
        <w:t>’</w:t>
      </w:r>
      <w:r w:rsidRPr="00C73365">
        <w:rPr>
          <w:rFonts w:asciiTheme="minorHAnsi" w:hAnsiTheme="minorHAnsi" w:cstheme="minorHAnsi"/>
          <w:szCs w:val="20"/>
          <w:lang w:val="fr-FR" w:eastAsia="fr-FR"/>
        </w:rPr>
        <w:t>exploitation des molécules;</w:t>
      </w:r>
    </w:p>
    <w:p w:rsidR="008B375E" w:rsidRPr="00C73365" w:rsidRDefault="008B375E" w:rsidP="00434C49">
      <w:pPr>
        <w:pStyle w:val="ListParagraph"/>
        <w:widowControl w:val="0"/>
        <w:numPr>
          <w:ilvl w:val="0"/>
          <w:numId w:val="83"/>
        </w:numPr>
        <w:spacing w:after="0"/>
        <w:rPr>
          <w:rFonts w:asciiTheme="minorHAnsi" w:hAnsiTheme="minorHAnsi" w:cstheme="minorHAnsi"/>
          <w:szCs w:val="20"/>
          <w:lang w:val="fr-FR" w:eastAsia="fr-FR"/>
        </w:rPr>
      </w:pPr>
      <w:r w:rsidRPr="00C73365">
        <w:rPr>
          <w:rFonts w:asciiTheme="minorHAnsi" w:hAnsiTheme="minorHAnsi" w:cstheme="minorHAnsi"/>
          <w:szCs w:val="20"/>
          <w:lang w:val="fr-FR" w:eastAsia="fr-FR"/>
        </w:rPr>
        <w:t>les prix de transactions récentes portant sur l</w:t>
      </w:r>
      <w:r w:rsidR="004572A0" w:rsidRPr="00C73365">
        <w:rPr>
          <w:rFonts w:asciiTheme="minorHAnsi" w:hAnsiTheme="minorHAnsi" w:cstheme="minorHAnsi"/>
          <w:szCs w:val="20"/>
          <w:lang w:val="fr-FR" w:eastAsia="fr-FR"/>
        </w:rPr>
        <w:t>’</w:t>
      </w:r>
      <w:r w:rsidRPr="00C73365">
        <w:rPr>
          <w:rFonts w:asciiTheme="minorHAnsi" w:hAnsiTheme="minorHAnsi" w:cstheme="minorHAnsi"/>
          <w:szCs w:val="20"/>
          <w:lang w:val="fr-FR" w:eastAsia="fr-FR"/>
        </w:rPr>
        <w:t>acquisition ou des accords de licence pour des projets comparables (indication thérapeutique, stade de développement, taille du marché…).</w:t>
      </w:r>
    </w:p>
    <w:p w:rsidR="008B375E" w:rsidRPr="00C73365" w:rsidRDefault="008B375E" w:rsidP="00A96CCA">
      <w:pPr>
        <w:widowControl w:val="0"/>
        <w:spacing w:after="0"/>
        <w:rPr>
          <w:rFonts w:asciiTheme="minorHAnsi" w:hAnsiTheme="minorHAnsi" w:cstheme="minorHAnsi"/>
          <w:szCs w:val="20"/>
          <w:lang w:val="fr-FR" w:eastAsia="fr-FR"/>
        </w:rPr>
      </w:pPr>
    </w:p>
    <w:p w:rsidR="008B375E" w:rsidRPr="00C73365" w:rsidRDefault="008B375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Si les évaluations obtenues par ces deux méthodes sont discordantes, la valeur actuelle nette est retenue.</w:t>
      </w:r>
    </w:p>
    <w:p w:rsidR="008B375E" w:rsidRPr="00C73365" w:rsidRDefault="008B375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En cas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accident dans le développement de la plateforme technologique qui remettrait en cause leur exploitation, une dépréciation totale du mali technique concerné serait pratiquée.</w:t>
      </w:r>
    </w:p>
    <w:p w:rsidR="008B375E" w:rsidRPr="00C73365" w:rsidRDefault="008B375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Dans le cas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une provision pour dépréciation, cette dernière peut être reprise en partie ou en totalité en cas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amélioration ultérieure de la valeur de marché des projets.</w:t>
      </w:r>
    </w:p>
    <w:p w:rsidR="008B375E" w:rsidRPr="00C73365" w:rsidRDefault="008B375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Conformément au Règlement ANC 2015-6 applicable à compter du 1</w:t>
      </w:r>
      <w:r w:rsidRPr="00C73365">
        <w:rPr>
          <w:rFonts w:asciiTheme="minorHAnsi" w:hAnsiTheme="minorHAnsi" w:cstheme="minorHAnsi"/>
          <w:vertAlign w:val="superscript"/>
          <w:lang w:val="fr-FR" w:eastAsia="fr-FR"/>
        </w:rPr>
        <w:t>er</w:t>
      </w:r>
      <w:r w:rsidRPr="00C73365">
        <w:rPr>
          <w:rFonts w:asciiTheme="minorHAnsi" w:hAnsiTheme="minorHAnsi" w:cstheme="minorHAnsi"/>
          <w:lang w:val="fr-FR" w:eastAsia="fr-FR"/>
        </w:rPr>
        <w:t xml:space="preserve"> janvier 2016, ces mali ont été maintenus en fonds commercial et non affectés à des actifs corporels apportés car ils correspondent à des dépenses non activées encourues par les sociétés absorbées au cours des exercices précédant les opérations de Transmission Universelle de patrimoine.</w:t>
      </w:r>
    </w:p>
    <w:p w:rsidR="008B375E" w:rsidRPr="00C73365" w:rsidRDefault="008B375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Ce fonds commercial n</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est pas amorti car la durée pendant laquelle la société pourra bénéficier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avantages économiques est indéterminée. En effet, ce fonds commercial concerne plusieurs projets différents dont les degrés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avancement sont différents et dont la durée des retombées économiques n</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est pas prévisible à ce jour. De ce fait, en l</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état actuel des recherches en cours, sa durée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utilisation n</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est pas limitée dans le temps.</w:t>
      </w:r>
    </w:p>
    <w:p w:rsidR="008B375E" w:rsidRPr="00C73365" w:rsidRDefault="008B375E"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Dans le cas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une provision pour dépréciation, cette dernière peut être reprise en partie ou en totalité en cas d</w:t>
      </w:r>
      <w:r w:rsidR="004572A0" w:rsidRPr="00C73365">
        <w:rPr>
          <w:rFonts w:asciiTheme="minorHAnsi" w:hAnsiTheme="minorHAnsi" w:cstheme="minorHAnsi"/>
          <w:lang w:val="fr-FR" w:eastAsia="fr-FR"/>
        </w:rPr>
        <w:t>’</w:t>
      </w:r>
      <w:r w:rsidRPr="00C73365">
        <w:rPr>
          <w:rFonts w:asciiTheme="minorHAnsi" w:hAnsiTheme="minorHAnsi" w:cstheme="minorHAnsi"/>
          <w:lang w:val="fr-FR" w:eastAsia="fr-FR"/>
        </w:rPr>
        <w:t>amélioration ultérieure de la valeur de marché des produits.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Créances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créances sont valorisées à leur valeur nominale. Une provision pour dépréciation est pratiquée lorsque la valeur d’inventaire est inférieure à la valeur comptable.</w:t>
      </w:r>
    </w:p>
    <w:p w:rsidR="00A46927" w:rsidRPr="00C73365" w:rsidRDefault="00A46927"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Opération en devises</w:t>
      </w:r>
    </w:p>
    <w:p w:rsidR="00A46927" w:rsidRPr="00C73365" w:rsidRDefault="00A46927"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opérations en devises sont enregistrées pour leur contrevaleur à la date de l’opération. Les dettes, créances, disponibilités en devises figurent au bilan pour leur contrevaleur au cours de fin d’exercice. La différence résultant de l’actualisation des dettes et créances en devises à ce dernier cours est portée au bilan au poste « Ecarts de conversion ».</w:t>
      </w:r>
    </w:p>
    <w:p w:rsidR="00A46927" w:rsidRPr="00C73365" w:rsidRDefault="00A46927"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pertes latentes de change non compensées font l’objet d’une provision pour risques, en totalité ou partiellement.</w:t>
      </w:r>
    </w:p>
    <w:p w:rsidR="00A46927" w:rsidRPr="00C73365" w:rsidRDefault="00A46927"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Du fait de ses relations commerciales avec des prestataires étrangers, la société est exposée au risque de change sur le dollar américain et </w:t>
      </w:r>
      <w:r w:rsidR="00ED4E74" w:rsidRPr="00C73365">
        <w:rPr>
          <w:rFonts w:asciiTheme="minorHAnsi" w:eastAsia="MS Mincho" w:hAnsiTheme="minorHAnsi" w:cstheme="minorHAnsi"/>
          <w:lang w:val="fr-FR" w:eastAsia="fr-FR"/>
        </w:rPr>
        <w:t>la livre anglaise.</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Avances remboursables accordées par des organismes publics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avances reçues d’organismes publics pour le financement des activités de recherche de la Société dont le remboursement est conditionnel sont présentées au passif sous la rubrique « Autres fonds propres – Avances conditionnées ». Les autres avances reçues dont le remboursement n’est pas conditionnel, sont présentées en « Emprunts et dettes financières diverses ».</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intérêts courus sur ces avances sont présentés au passif selon les mêmes règles.</w:t>
      </w:r>
    </w:p>
    <w:p w:rsidR="00F46C7B" w:rsidRPr="00C73365" w:rsidRDefault="00F46C7B" w:rsidP="004572A0">
      <w:pPr>
        <w:pStyle w:val="BodyText"/>
        <w:rPr>
          <w:rFonts w:asciiTheme="minorHAnsi" w:eastAsia="MS Mincho" w:hAnsiTheme="minorHAnsi" w:cstheme="minorHAnsi"/>
          <w:b/>
          <w:color w:val="9032B8"/>
          <w:lang w:val="fr-FR" w:eastAsia="fr-FR"/>
        </w:rPr>
      </w:pPr>
      <w:r w:rsidRPr="00C73365">
        <w:rPr>
          <w:rFonts w:asciiTheme="minorHAnsi" w:eastAsia="MS Mincho" w:hAnsiTheme="minorHAnsi" w:cstheme="minorHAnsi"/>
          <w:b/>
          <w:lang w:val="fr-FR" w:eastAsia="fr-FR"/>
        </w:rPr>
        <w:t>Subventions d’exploitation</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subventions reçues sont enregistrées dès que la créance correspondante devient certaine, compte tenu des conditions posées à l’octroi de la subvention. Les subventions d’exploitation sont enregistrées en produits courants en tenant compte, le cas échéant, du rythme des dépenses correspondantes de manière à respecter le principe de rattachement des charges aux produits.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Charges de sous-traitance et d’études extérieures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stade d’avancement des contrats de sous-traitance à des tiers de certaines prestations de recherche est évalué </w:t>
      </w:r>
      <w:r w:rsidRPr="00C73365">
        <w:rPr>
          <w:rFonts w:asciiTheme="minorHAnsi" w:eastAsia="MS Mincho" w:hAnsiTheme="minorHAnsi" w:cstheme="minorHAnsi"/>
          <w:lang w:val="fr-FR" w:eastAsia="fr-FR"/>
        </w:rPr>
        <w:lastRenderedPageBreak/>
        <w:t>à chaque clôture afin de permettre la constatation en charges à payer du coût des services déjà rendus.</w:t>
      </w:r>
    </w:p>
    <w:p w:rsidR="00F46C7B" w:rsidRPr="00C73365" w:rsidRDefault="00F46C7B" w:rsidP="004572A0">
      <w:pPr>
        <w:pStyle w:val="BodyText"/>
        <w:rPr>
          <w:rFonts w:asciiTheme="minorHAnsi" w:eastAsia="MS Mincho" w:hAnsiTheme="minorHAnsi" w:cstheme="minorHAnsi"/>
          <w:b/>
          <w:color w:val="9032B8"/>
          <w:lang w:val="fr-FR" w:eastAsia="fr-FR"/>
        </w:rPr>
      </w:pPr>
      <w:r w:rsidRPr="00C73365">
        <w:rPr>
          <w:rFonts w:asciiTheme="minorHAnsi" w:eastAsia="MS Mincho" w:hAnsiTheme="minorHAnsi" w:cstheme="minorHAnsi"/>
          <w:b/>
          <w:lang w:val="fr-FR" w:eastAsia="fr-FR"/>
        </w:rPr>
        <w:t>Frais de recherche et développement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dépenses de recherche et développement de la Société sont comptabilisées en charges sur l’exercice au cours duquel elles sont engagées.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filiales de la Société ont appliqué le même principe. Cependant, du fait de leur absorption par la Société via une Transmission Universelle de Patrimoine ayant pris effet au cours de l’exercice 2014, les dépenses enregistrées avant la date d’effet (31 juillet 2014 pour Wittycell et Zophis ; 31 octobre 2014 pour Splicos) se trouvent intégrées aux mali techniques (Fonds commerciaux) inscrits à l’actif au 31 décembre 2014. Ces mali techniques ne sont pas amortis mais font l’objet d’une vérification de valeur à chaque clôture et une provision pour dépréciation est enregistrée si nécessaire, comme cela a été le cas en 2014 pour le mali technique dégagé lors de l’absorption de Zophis.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Frais d’émission de capital</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Ces frais sont imputés sur le montant de la prime d’émission afférente à l’augmentation de capital, si la prime est suffisante. Le cas échéant, l’excédent des frais est comptabilisé en charges. L’imputation de ces frais d’émission s’effectue avant effet d’impôts, du fait de la situation structurellement déficitaire de la Société dans sa phase de développement.</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Engagements de retraite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convention collective de l’entreprise prévoit des indemnités de fin de carrière. Il n’a pas été signé d’accord particulier.</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engagements correspondants ne sont pas provisionnés mais font l’objet d’une mention dans la présente annexe.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L’indemnité de départ à la retraite est déterminée en appliquant une méthode tenant compte des salaires projetés de fin de carrière, du taux de rotation du personnel, de l’espérance de vie et d’hypothèses d’actualisation des versements prévisibles.</w:t>
      </w:r>
    </w:p>
    <w:p w:rsidR="00985CE1" w:rsidRPr="00C73365" w:rsidRDefault="00985CE1"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hypothèses actuarielles retenues sont les suivantes : </w:t>
      </w:r>
    </w:p>
    <w:p w:rsidR="00D22228" w:rsidRPr="00C73365" w:rsidRDefault="00D22228" w:rsidP="00434C49">
      <w:pPr>
        <w:pStyle w:val="ListBullet2"/>
        <w:numPr>
          <w:ilvl w:val="0"/>
          <w:numId w:val="80"/>
        </w:numPr>
        <w:rPr>
          <w:rFonts w:asciiTheme="minorHAnsi" w:hAnsiTheme="minorHAnsi" w:cstheme="minorHAnsi"/>
        </w:rPr>
      </w:pPr>
      <w:r w:rsidRPr="00C73365">
        <w:rPr>
          <w:rFonts w:asciiTheme="minorHAnsi" w:hAnsiTheme="minorHAnsi" w:cstheme="minorHAnsi"/>
        </w:rPr>
        <w:t>Taux d’actualisation : 1.</w:t>
      </w:r>
      <w:r w:rsidR="00ED4E74" w:rsidRPr="00C73365">
        <w:rPr>
          <w:rFonts w:asciiTheme="minorHAnsi" w:hAnsiTheme="minorHAnsi" w:cstheme="minorHAnsi"/>
        </w:rPr>
        <w:t xml:space="preserve">45 </w:t>
      </w:r>
      <w:r w:rsidRPr="00C73365">
        <w:rPr>
          <w:rFonts w:asciiTheme="minorHAnsi" w:hAnsiTheme="minorHAnsi" w:cstheme="minorHAnsi"/>
        </w:rPr>
        <w:t>%</w:t>
      </w:r>
    </w:p>
    <w:p w:rsidR="00D22228" w:rsidRPr="00C93577" w:rsidRDefault="00D22228" w:rsidP="00434C49">
      <w:pPr>
        <w:pStyle w:val="ListBullet2"/>
        <w:numPr>
          <w:ilvl w:val="0"/>
          <w:numId w:val="80"/>
        </w:numPr>
        <w:rPr>
          <w:rFonts w:asciiTheme="minorHAnsi" w:hAnsiTheme="minorHAnsi" w:cstheme="minorHAnsi"/>
          <w:lang w:val="fr-FR"/>
        </w:rPr>
      </w:pPr>
      <w:r w:rsidRPr="00C93577">
        <w:rPr>
          <w:rFonts w:asciiTheme="minorHAnsi" w:hAnsiTheme="minorHAnsi" w:cstheme="minorHAnsi"/>
          <w:lang w:val="fr-FR"/>
        </w:rPr>
        <w:t>Taux de croissance des salaires : 2 %</w:t>
      </w:r>
    </w:p>
    <w:p w:rsidR="00D22228" w:rsidRPr="00C93577" w:rsidRDefault="00D22228" w:rsidP="00434C49">
      <w:pPr>
        <w:pStyle w:val="ListBullet2"/>
        <w:numPr>
          <w:ilvl w:val="0"/>
          <w:numId w:val="80"/>
        </w:numPr>
        <w:rPr>
          <w:rFonts w:asciiTheme="minorHAnsi" w:hAnsiTheme="minorHAnsi" w:cstheme="minorHAnsi"/>
          <w:lang w:val="fr-FR"/>
        </w:rPr>
      </w:pPr>
      <w:r w:rsidRPr="00C93577">
        <w:rPr>
          <w:rFonts w:asciiTheme="minorHAnsi" w:hAnsiTheme="minorHAnsi" w:cstheme="minorHAnsi"/>
          <w:lang w:val="fr-FR"/>
        </w:rPr>
        <w:t>Age de départ à la retraite : 62 ans</w:t>
      </w:r>
    </w:p>
    <w:p w:rsidR="00D22228" w:rsidRPr="00C93577" w:rsidRDefault="00D22228" w:rsidP="00434C49">
      <w:pPr>
        <w:pStyle w:val="ListBullet2"/>
        <w:numPr>
          <w:ilvl w:val="0"/>
          <w:numId w:val="80"/>
        </w:numPr>
        <w:rPr>
          <w:rFonts w:asciiTheme="minorHAnsi" w:hAnsiTheme="minorHAnsi" w:cstheme="minorHAnsi"/>
          <w:lang w:val="fr-FR"/>
        </w:rPr>
      </w:pPr>
      <w:r w:rsidRPr="00C93577">
        <w:rPr>
          <w:rFonts w:asciiTheme="minorHAnsi" w:hAnsiTheme="minorHAnsi" w:cstheme="minorHAnsi"/>
          <w:lang w:val="fr-FR"/>
        </w:rPr>
        <w:t>Taux de rotation du personnel : faible</w:t>
      </w:r>
    </w:p>
    <w:p w:rsidR="00D22228" w:rsidRPr="00C93577" w:rsidRDefault="00D22228" w:rsidP="00434C49">
      <w:pPr>
        <w:pStyle w:val="ListBullet2"/>
        <w:numPr>
          <w:ilvl w:val="0"/>
          <w:numId w:val="80"/>
        </w:numPr>
        <w:rPr>
          <w:rFonts w:asciiTheme="minorHAnsi" w:hAnsiTheme="minorHAnsi" w:cstheme="minorHAnsi"/>
          <w:lang w:val="fr-FR"/>
        </w:rPr>
      </w:pPr>
      <w:r w:rsidRPr="00C93577">
        <w:rPr>
          <w:rFonts w:asciiTheme="minorHAnsi" w:hAnsiTheme="minorHAnsi" w:cstheme="minorHAnsi"/>
          <w:lang w:val="fr-FR"/>
        </w:rPr>
        <w:t>Table de taux de mortalité : (table INSEE TD 88-90)</w:t>
      </w:r>
    </w:p>
    <w:p w:rsidR="00F46C7B" w:rsidRPr="00C73365" w:rsidRDefault="00F46C7B"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Crédits d’impôts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crédits d’impôts constatés à l’actif en Autres créances comprennent le Crédit d’Impôt Recherche (CIR) et le Crédit d’Impôt Compétitivité Emploi (CICE). Parmi les autres créances figurent aussi les crédits de TVA dont les remboursements ont été demandés.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crédit d’impôt compétitivité emploi estimé sur la base des rémunérations éligibles de l’année civile </w:t>
      </w:r>
      <w:r w:rsidR="00ED4E74" w:rsidRPr="00C73365">
        <w:rPr>
          <w:rFonts w:asciiTheme="minorHAnsi" w:eastAsia="MS Mincho" w:hAnsiTheme="minorHAnsi" w:cstheme="minorHAnsi"/>
          <w:lang w:val="fr-FR" w:eastAsia="fr-FR"/>
        </w:rPr>
        <w:t xml:space="preserve">2017 </w:t>
      </w:r>
      <w:r w:rsidRPr="00C73365">
        <w:rPr>
          <w:rFonts w:asciiTheme="minorHAnsi" w:eastAsia="MS Mincho" w:hAnsiTheme="minorHAnsi" w:cstheme="minorHAnsi"/>
          <w:lang w:val="fr-FR" w:eastAsia="fr-FR"/>
        </w:rPr>
        <w:t>a été constaté en autres créances. Conformément à la recommandation de l’Autorité des Normes Comptables, le produit correspondant a été porté au crédit des charges sociales dans le compte de résultat.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Crédit d’Impôt Recherche estimé sur la base des dépenses de recherche de l’année civile </w:t>
      </w:r>
      <w:r w:rsidR="00ED4E74" w:rsidRPr="00C73365">
        <w:rPr>
          <w:rFonts w:asciiTheme="minorHAnsi" w:eastAsia="MS Mincho" w:hAnsiTheme="minorHAnsi" w:cstheme="minorHAnsi"/>
          <w:lang w:val="fr-FR" w:eastAsia="fr-FR"/>
        </w:rPr>
        <w:t xml:space="preserve">2017 </w:t>
      </w:r>
      <w:r w:rsidRPr="00C73365">
        <w:rPr>
          <w:rFonts w:asciiTheme="minorHAnsi" w:eastAsia="MS Mincho" w:hAnsiTheme="minorHAnsi" w:cstheme="minorHAnsi"/>
          <w:lang w:val="fr-FR" w:eastAsia="fr-FR"/>
        </w:rPr>
        <w:t>a été constaté en autres créances. Ce produit figure en résultat (Impôt sur les bénéfices positif).</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Ces crédits d’impôt sont imputables sur l’impôt sur les sociétés dû au titre de l’exercice au cours duquel ils sont constatés. En l’absence de bénéfice imposable, la Société, considérée comme une PME au sens intracommunautaire, peut demander leur remboursement immédiat lors du dépôt de la liasse fiscale de l’exercice concerné.</w:t>
      </w:r>
    </w:p>
    <w:p w:rsidR="00ED4E74" w:rsidRPr="00C73365" w:rsidRDefault="00ED4E74"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Autre élément significatif postérieurs à la clôture</w:t>
      </w:r>
    </w:p>
    <w:p w:rsidR="00ED4E74" w:rsidRPr="00C73365" w:rsidRDefault="00ED4E74"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 xml:space="preserve">Réception en </w:t>
      </w:r>
      <w:r w:rsidR="00E73A7C">
        <w:rPr>
          <w:rFonts w:asciiTheme="minorHAnsi" w:eastAsia="MS Mincho" w:hAnsiTheme="minorHAnsi" w:cstheme="minorHAnsi"/>
          <w:b/>
          <w:lang w:val="fr-FR" w:eastAsia="fr-FR"/>
        </w:rPr>
        <w:t>septembre</w:t>
      </w:r>
      <w:r w:rsidRPr="00C73365">
        <w:rPr>
          <w:rFonts w:asciiTheme="minorHAnsi" w:eastAsia="MS Mincho" w:hAnsiTheme="minorHAnsi" w:cstheme="minorHAnsi"/>
          <w:b/>
          <w:lang w:val="fr-FR" w:eastAsia="fr-FR"/>
        </w:rPr>
        <w:t xml:space="preserve"> du paiement d’étapes de </w:t>
      </w:r>
      <w:r w:rsidR="001479F8">
        <w:rPr>
          <w:rFonts w:asciiTheme="minorHAnsi" w:eastAsia="MS Mincho" w:hAnsiTheme="minorHAnsi" w:cstheme="minorHAnsi"/>
          <w:b/>
          <w:lang w:val="fr-FR" w:eastAsia="fr-FR"/>
        </w:rPr>
        <w:t>Bpifrance</w:t>
      </w:r>
      <w:r w:rsidRPr="00C73365">
        <w:rPr>
          <w:rFonts w:asciiTheme="minorHAnsi" w:eastAsia="MS Mincho" w:hAnsiTheme="minorHAnsi" w:cstheme="minorHAnsi"/>
          <w:b/>
          <w:lang w:val="fr-FR" w:eastAsia="fr-FR"/>
        </w:rPr>
        <w:t xml:space="preserve"> à hauteur de 2,1</w:t>
      </w:r>
      <w:r w:rsidR="00EF089C" w:rsidRPr="00C73365">
        <w:rPr>
          <w:rFonts w:asciiTheme="minorHAnsi" w:eastAsia="MS Mincho" w:hAnsiTheme="minorHAnsi" w:cstheme="minorHAnsi"/>
          <w:b/>
          <w:lang w:val="fr-FR" w:eastAsia="fr-FR"/>
        </w:rPr>
        <w:t>M€</w:t>
      </w:r>
      <w:r w:rsidRPr="00C73365">
        <w:rPr>
          <w:rFonts w:asciiTheme="minorHAnsi" w:eastAsia="MS Mincho" w:hAnsiTheme="minorHAnsi" w:cstheme="minorHAnsi"/>
          <w:b/>
          <w:lang w:val="fr-FR" w:eastAsia="fr-FR"/>
        </w:rPr>
        <w:t xml:space="preserve"> pour le programme RNP-Vir</w:t>
      </w:r>
    </w:p>
    <w:p w:rsidR="00ED4E74" w:rsidRPr="00C73365" w:rsidRDefault="00ED4E74"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Ce financement, basé sur l’atteinte d’objectifs, va permettre à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d’accélérer la montée en puissance et l’optimisation de sa plateforme antivirale. Le premier paiement d’étape de 2,1</w:t>
      </w:r>
      <w:r w:rsidR="00EF089C" w:rsidRPr="00C73365">
        <w:rPr>
          <w:rFonts w:asciiTheme="minorHAnsi" w:eastAsia="MS Mincho" w:hAnsiTheme="minorHAnsi" w:cstheme="minorHAnsi"/>
          <w:lang w:val="fr-FR" w:eastAsia="fr-FR"/>
        </w:rPr>
        <w:t>M€</w:t>
      </w:r>
      <w:r w:rsidRPr="00C73365">
        <w:rPr>
          <w:rFonts w:asciiTheme="minorHAnsi" w:eastAsia="MS Mincho" w:hAnsiTheme="minorHAnsi" w:cstheme="minorHAnsi"/>
          <w:lang w:val="fr-FR" w:eastAsia="fr-FR"/>
        </w:rPr>
        <w:t xml:space="preserve"> a été perçu au début du mois de </w:t>
      </w:r>
      <w:r w:rsidR="00E73A7C">
        <w:rPr>
          <w:rFonts w:asciiTheme="minorHAnsi" w:eastAsia="MS Mincho" w:hAnsiTheme="minorHAnsi" w:cstheme="minorHAnsi"/>
          <w:lang w:val="fr-FR" w:eastAsia="fr-FR"/>
        </w:rPr>
        <w:t>septembre</w:t>
      </w:r>
      <w:r w:rsidRPr="00C73365">
        <w:rPr>
          <w:rFonts w:asciiTheme="minorHAnsi" w:eastAsia="MS Mincho" w:hAnsiTheme="minorHAnsi" w:cstheme="minorHAnsi"/>
          <w:lang w:val="fr-FR" w:eastAsia="fr-FR"/>
        </w:rPr>
        <w:t xml:space="preserve">. </w:t>
      </w:r>
    </w:p>
    <w:p w:rsidR="00ED4E74" w:rsidRPr="00C73365" w:rsidRDefault="00ED4E74"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Dans le cadre de l’appel à projets « Projets de R&amp;D Structurants Pour la Compétitivité » (PSPC) du Programme d’investissement d’avenir (PIA),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exerce le rôle de chef de file d’un consortium, qui comprend le CNRS et des sous-traitants scientifiques qualifiés, dans le but d’identifier des molécules contre d’autres virus au besoin médical non satisfait. Le montant de l’aide s’élève à 10,3 </w:t>
      </w:r>
      <w:r w:rsidR="00EF089C" w:rsidRPr="00C73365">
        <w:rPr>
          <w:rFonts w:asciiTheme="minorHAnsi" w:eastAsia="MS Mincho" w:hAnsiTheme="minorHAnsi" w:cstheme="minorHAnsi"/>
          <w:lang w:val="fr-FR" w:eastAsia="fr-FR"/>
        </w:rPr>
        <w:t>M€</w:t>
      </w:r>
      <w:r w:rsidRPr="00C73365">
        <w:rPr>
          <w:rFonts w:asciiTheme="minorHAnsi" w:eastAsia="MS Mincho" w:hAnsiTheme="minorHAnsi" w:cstheme="minorHAnsi"/>
          <w:lang w:val="fr-FR" w:eastAsia="fr-FR"/>
        </w:rPr>
        <w:t xml:space="preserve">, répartis entre 8,4 </w:t>
      </w:r>
      <w:r w:rsidR="00EF089C" w:rsidRPr="00C73365">
        <w:rPr>
          <w:rFonts w:asciiTheme="minorHAnsi" w:eastAsia="MS Mincho" w:hAnsiTheme="minorHAnsi" w:cstheme="minorHAnsi"/>
          <w:lang w:val="fr-FR" w:eastAsia="fr-FR"/>
        </w:rPr>
        <w:t>M€</w:t>
      </w:r>
      <w:r w:rsidRPr="00C73365">
        <w:rPr>
          <w:rFonts w:asciiTheme="minorHAnsi" w:eastAsia="MS Mincho" w:hAnsiTheme="minorHAnsi" w:cstheme="minorHAnsi"/>
          <w:lang w:val="fr-FR" w:eastAsia="fr-FR"/>
        </w:rPr>
        <w:t xml:space="preserve"> pour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sous forme de subvention et d’aide remboursable, et 1,9 </w:t>
      </w:r>
      <w:r w:rsidR="00EF089C" w:rsidRPr="00C73365">
        <w:rPr>
          <w:rFonts w:asciiTheme="minorHAnsi" w:eastAsia="MS Mincho" w:hAnsiTheme="minorHAnsi" w:cstheme="minorHAnsi"/>
          <w:lang w:val="fr-FR" w:eastAsia="fr-FR"/>
        </w:rPr>
        <w:t>M€</w:t>
      </w:r>
      <w:r w:rsidRPr="00C73365">
        <w:rPr>
          <w:rFonts w:asciiTheme="minorHAnsi" w:eastAsia="MS Mincho" w:hAnsiTheme="minorHAnsi" w:cstheme="minorHAnsi"/>
          <w:lang w:val="fr-FR" w:eastAsia="fr-FR"/>
        </w:rPr>
        <w:t xml:space="preserve"> pour le CNRS. Le programme est piloté par le Commissariat Général à l’Investissement (CGI) et opéré par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w:t>
      </w:r>
    </w:p>
    <w:p w:rsidR="00ED4E74" w:rsidRPr="00C73365" w:rsidRDefault="00ED4E74"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lastRenderedPageBreak/>
        <w:t>ABX464, le candidat d</w:t>
      </w:r>
      <w:r w:rsidR="004572A0" w:rsidRPr="00C73365">
        <w:rPr>
          <w:rFonts w:asciiTheme="minorHAnsi" w:eastAsia="MS Mincho" w:hAnsiTheme="minorHAnsi" w:cstheme="minorHAnsi"/>
          <w:lang w:val="fr-FR" w:eastAsia="fr-FR"/>
        </w:rPr>
        <w:t>’</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a réduit les réservoirs du VIH dans le sang dans le cadre d</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une seconde étude clinique de Phase 2a</w:t>
      </w:r>
    </w:p>
    <w:p w:rsidR="00ED4E74" w:rsidRPr="00C73365" w:rsidRDefault="00ED4E74"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résultats préliminaires de la première cohorte de l</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étude de Phase 2a ABX464-005 ont démontré une réduction significative des réservoirs du VIH dans le sang de patients infectés par le VIH. Les données confirment et prolongent la réduction des réservoirs du VIH observée dans une précédente étude clinique de Phase 2a, ABX464-004.</w:t>
      </w:r>
    </w:p>
    <w:p w:rsidR="00ED4E74" w:rsidRPr="00C73365" w:rsidRDefault="00ED4E74"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Mise en place d</w:t>
      </w:r>
      <w:r w:rsidR="004572A0" w:rsidRPr="00C73365">
        <w:rPr>
          <w:rFonts w:asciiTheme="minorHAnsi" w:eastAsia="MS Mincho" w:hAnsiTheme="minorHAnsi" w:cstheme="minorHAnsi"/>
          <w:b/>
          <w:lang w:val="fr-FR" w:eastAsia="fr-FR"/>
        </w:rPr>
        <w:t>’</w:t>
      </w:r>
      <w:r w:rsidRPr="00C73365">
        <w:rPr>
          <w:rFonts w:asciiTheme="minorHAnsi" w:eastAsia="MS Mincho" w:hAnsiTheme="minorHAnsi" w:cstheme="minorHAnsi"/>
          <w:b/>
          <w:lang w:val="fr-FR" w:eastAsia="fr-FR"/>
        </w:rPr>
        <w:t>une ligne de financement en fonds</w:t>
      </w:r>
      <w:r w:rsidRPr="00C73365">
        <w:rPr>
          <w:rFonts w:asciiTheme="minorHAnsi" w:eastAsia="MS Mincho" w:hAnsiTheme="minorHAnsi" w:cstheme="minorHAnsi"/>
          <w:b/>
          <w:color w:val="000000" w:themeColor="text1"/>
          <w:lang w:val="fr-FR" w:eastAsia="fr-FR"/>
        </w:rPr>
        <w:t xml:space="preserve"> </w:t>
      </w:r>
      <w:r w:rsidRPr="00C73365">
        <w:rPr>
          <w:rFonts w:asciiTheme="minorHAnsi" w:eastAsia="MS Mincho" w:hAnsiTheme="minorHAnsi" w:cstheme="minorHAnsi"/>
          <w:b/>
          <w:lang w:val="fr-FR" w:eastAsia="fr-FR"/>
        </w:rPr>
        <w:t>propres (Equity line financing) avec Kepler Cheuvreux.</w:t>
      </w:r>
    </w:p>
    <w:p w:rsidR="00A73531" w:rsidRPr="00A73531" w:rsidRDefault="00A73531" w:rsidP="00A73531">
      <w:pPr>
        <w:pStyle w:val="BodyText"/>
        <w:rPr>
          <w:rFonts w:asciiTheme="minorHAnsi" w:hAnsiTheme="minorHAnsi" w:cstheme="minorHAnsi"/>
          <w:lang w:val="fr-FR"/>
        </w:rPr>
      </w:pPr>
      <w:r w:rsidRPr="00C73365">
        <w:rPr>
          <w:rFonts w:asciiTheme="minorHAnsi" w:eastAsia="MS Mincho" w:hAnsiTheme="minorHAnsi" w:cstheme="minorHAnsi"/>
          <w:lang w:val="fr-FR" w:eastAsia="fr-FR"/>
        </w:rPr>
        <w:t>Cette ligne de financement procure une visibilité accrue sur le plan de financement à moyen terme de la Société. Sur la base de l’évaluation des besoins planifiés en R&amp;D, ABIVAX est désormais financé jusqu’à la fin du deuxième trimestre 2019.</w:t>
      </w:r>
    </w:p>
    <w:p w:rsidR="00A73531" w:rsidRPr="00C73365" w:rsidRDefault="00A73531" w:rsidP="00A73531">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Conformément aux termes de l’accord, Kepler Cheuvreux intervenant à titre d’intermédiaire financier et garant de la transaction, s’est engagé à souscrire 970 000 actions, à sa propre initiative suivant un calendrier d’une durée maximale de 24 mois. </w:t>
      </w:r>
    </w:p>
    <w:p w:rsidR="00A73531" w:rsidRPr="00C73365" w:rsidRDefault="00A73531" w:rsidP="00A73531">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actions seront émises sur la base d’une moyenne des cours de bourse pondérée par les volumes sur les deux jours de bourse précédant chaque émission, diminuée d’une décote maximale de 7,0%.</w:t>
      </w:r>
    </w:p>
    <w:p w:rsidR="00A73531" w:rsidRPr="00C73365" w:rsidRDefault="00A73531" w:rsidP="00A73531">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Dans l’hypothèse d’une utilisation en totalité de cette ligne de financement [2], elle permettrait à la Société de lever 12 millions d’euros au prix actuel de l’action [3]. Sous réserve que les conditions contractuelles soient remplies, un actionnaire détenant 1,00% du capital</w:t>
      </w:r>
      <w:r>
        <w:rPr>
          <w:rFonts w:asciiTheme="minorHAnsi" w:eastAsia="MS Mincho" w:hAnsiTheme="minorHAnsi" w:cstheme="minorHAnsi"/>
          <w:lang w:val="fr-FR" w:eastAsia="fr-FR"/>
        </w:rPr>
        <w:t xml:space="preserve"> </w:t>
      </w:r>
      <w:r w:rsidRPr="00C73365">
        <w:rPr>
          <w:rFonts w:asciiTheme="minorHAnsi" w:eastAsia="MS Mincho" w:hAnsiTheme="minorHAnsi" w:cstheme="minorHAnsi"/>
          <w:lang w:val="fr-FR" w:eastAsia="fr-FR"/>
        </w:rPr>
        <w:t>d’ABIVAX avant sa mise en place, verrait sa participation passer à 0.91% [4] du capital. ABIVAX conserve la possibilité de suspendre ou mettre fin à cet accord à tout moment.</w:t>
      </w:r>
    </w:p>
    <w:p w:rsidR="00A73531" w:rsidRPr="00C73365" w:rsidRDefault="00A73531" w:rsidP="00A73531">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nombre d’actions émises dans le cadre de cet accord et admises aux négociations fera l’objet d’avis Euronext ainsi que d’une communication sur le site Internet d’ABIVAX.</w:t>
      </w:r>
    </w:p>
    <w:p w:rsidR="00A73531" w:rsidRPr="00C73365" w:rsidRDefault="00A73531" w:rsidP="00A73531">
      <w:pPr>
        <w:pStyle w:val="BodyText"/>
        <w:rPr>
          <w:rFonts w:asciiTheme="minorHAnsi" w:eastAsia="MS Mincho" w:hAnsiTheme="minorHAnsi" w:cstheme="minorHAnsi"/>
          <w:color w:val="000000" w:themeColor="text1"/>
          <w:lang w:val="fr-FR" w:eastAsia="fr-FR"/>
        </w:rPr>
      </w:pPr>
      <w:bookmarkStart w:id="1450" w:name="_Hlk510179974"/>
      <w:r w:rsidRPr="001479F8">
        <w:rPr>
          <w:rFonts w:asciiTheme="minorHAnsi" w:hAnsiTheme="minorHAnsi" w:cstheme="minorHAnsi"/>
          <w:lang w:val="fr-FR"/>
        </w:rPr>
        <w:t>L’exercice de 60 000 bons par K</w:t>
      </w:r>
      <w:r>
        <w:rPr>
          <w:rFonts w:asciiTheme="minorHAnsi" w:hAnsiTheme="minorHAnsi" w:cstheme="minorHAnsi"/>
          <w:lang w:val="fr-FR"/>
        </w:rPr>
        <w:t>epler</w:t>
      </w:r>
      <w:r w:rsidRPr="001479F8">
        <w:rPr>
          <w:rFonts w:asciiTheme="minorHAnsi" w:hAnsiTheme="minorHAnsi" w:cstheme="minorHAnsi"/>
          <w:lang w:val="fr-FR"/>
        </w:rPr>
        <w:t xml:space="preserve"> C</w:t>
      </w:r>
      <w:r>
        <w:rPr>
          <w:rFonts w:asciiTheme="minorHAnsi" w:hAnsiTheme="minorHAnsi" w:cstheme="minorHAnsi"/>
          <w:lang w:val="fr-FR"/>
        </w:rPr>
        <w:t>heuvreux</w:t>
      </w:r>
      <w:r w:rsidRPr="001479F8">
        <w:rPr>
          <w:rFonts w:asciiTheme="minorHAnsi" w:hAnsiTheme="minorHAnsi" w:cstheme="minorHAnsi"/>
          <w:lang w:val="fr-FR"/>
        </w:rPr>
        <w:t xml:space="preserve"> a été réalisé en septembre 2017 (40 000 titres émis) et en octobre 2017 (20 000 titres émis) et a permis de libérer un premier montant de 0.6 M€. Le montant</w:t>
      </w:r>
      <w:r>
        <w:rPr>
          <w:rFonts w:asciiTheme="minorHAnsi" w:hAnsiTheme="minorHAnsi" w:cstheme="minorHAnsi"/>
          <w:lang w:val="fr-FR"/>
        </w:rPr>
        <w:t xml:space="preserve"> résiduel</w:t>
      </w:r>
      <w:r w:rsidRPr="001479F8">
        <w:rPr>
          <w:rFonts w:asciiTheme="minorHAnsi" w:hAnsiTheme="minorHAnsi" w:cstheme="minorHAnsi"/>
          <w:lang w:val="fr-FR"/>
        </w:rPr>
        <w:t xml:space="preserve"> de la ligne equity de Kepler Cheuvreux au 31 mars 2017 est ainsi de 910 000 titres</w:t>
      </w:r>
    </w:p>
    <w:bookmarkEnd w:id="1450"/>
    <w:p w:rsidR="00A73531" w:rsidRPr="00C73365" w:rsidRDefault="00A73531" w:rsidP="00A73531">
      <w:pPr>
        <w:pStyle w:val="Lis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[2] Dans ce cas, 970 000 nouveaux titres seraient émis. </w:t>
      </w:r>
    </w:p>
    <w:p w:rsidR="00A73531" w:rsidRPr="00C73365" w:rsidRDefault="00A73531" w:rsidP="00A73531">
      <w:pPr>
        <w:pStyle w:val="Lis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[3] Sur la base indicative de la moyenne des cours des vingt dernières séances de l’action ABIVAX.</w:t>
      </w:r>
    </w:p>
    <w:p w:rsidR="00A73531" w:rsidRPr="00C73365" w:rsidRDefault="00A73531" w:rsidP="00A73531">
      <w:pPr>
        <w:pStyle w:val="List"/>
        <w:rPr>
          <w:rFonts w:asciiTheme="minorHAnsi" w:eastAsia="MS Mincho" w:hAnsiTheme="minorHAnsi" w:cstheme="minorHAnsi"/>
          <w:highlight w:val="yellow"/>
          <w:lang w:val="fr-FR" w:eastAsia="fr-FR"/>
        </w:rPr>
      </w:pPr>
      <w:r w:rsidRPr="00C73365">
        <w:rPr>
          <w:rFonts w:asciiTheme="minorHAnsi" w:eastAsia="MS Mincho" w:hAnsiTheme="minorHAnsi" w:cstheme="minorHAnsi"/>
          <w:lang w:val="fr-FR" w:eastAsia="fr-FR"/>
        </w:rPr>
        <w:t>[4] Sur la base des 9 741 489 actions composant le capital social d’ABIVAX au 31 juillet 2017.</w:t>
      </w:r>
    </w:p>
    <w:p w:rsidR="00A73531" w:rsidRDefault="00A73531" w:rsidP="007D4A5A">
      <w:pPr>
        <w:pStyle w:val="BodyText"/>
        <w:rPr>
          <w:rFonts w:asciiTheme="minorHAnsi" w:hAnsiTheme="minorHAnsi" w:cstheme="minorHAnsi"/>
          <w:lang w:val="fr-FR"/>
        </w:rPr>
      </w:pPr>
    </w:p>
    <w:p w:rsidR="00F46C7B" w:rsidRPr="00C73365" w:rsidRDefault="00F46C7B" w:rsidP="004572A0">
      <w:pPr>
        <w:pStyle w:val="List"/>
        <w:rPr>
          <w:rFonts w:asciiTheme="minorHAnsi" w:eastAsia="MS Mincho" w:hAnsiTheme="minorHAnsi" w:cstheme="minorHAnsi"/>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ED4E74" w:rsidRPr="00C73365" w:rsidRDefault="00ED4E74" w:rsidP="00A96CCA">
      <w:pPr>
        <w:spacing w:after="0"/>
        <w:ind w:right="-2"/>
        <w:rPr>
          <w:rFonts w:asciiTheme="minorHAnsi" w:eastAsia="MS Mincho" w:hAnsiTheme="minorHAnsi" w:cstheme="minorHAnsi"/>
          <w:b/>
          <w:color w:val="7030A0"/>
          <w:szCs w:val="20"/>
          <w:highlight w:val="yellow"/>
          <w:lang w:val="fr-FR" w:eastAsia="fr-FR"/>
        </w:rPr>
      </w:pPr>
    </w:p>
    <w:p w:rsidR="00C767A8" w:rsidRPr="00C73365" w:rsidRDefault="00C767A8" w:rsidP="00A96CCA">
      <w:pPr>
        <w:spacing w:after="0"/>
        <w:ind w:left="284" w:right="-2"/>
        <w:rPr>
          <w:rFonts w:asciiTheme="minorHAnsi" w:eastAsia="MS Mincho" w:hAnsiTheme="minorHAnsi" w:cstheme="minorHAnsi"/>
          <w:szCs w:val="20"/>
          <w:lang w:val="fr-FR" w:eastAsia="fr-FR"/>
        </w:rPr>
      </w:pPr>
    </w:p>
    <w:p w:rsidR="005D7087" w:rsidRPr="00C73365" w:rsidRDefault="005D7087" w:rsidP="004572A0">
      <w:pPr>
        <w:pStyle w:val="BodyTextFirstIndent2"/>
        <w:rPr>
          <w:rFonts w:asciiTheme="minorHAnsi" w:eastAsia="MS Mincho" w:hAnsiTheme="minorHAnsi" w:cstheme="minorHAnsi"/>
          <w:lang w:val="fr-FR" w:eastAsia="fr-FR"/>
        </w:rPr>
        <w:sectPr w:rsidR="005D7087" w:rsidRPr="00C73365" w:rsidSect="007C607C">
          <w:type w:val="continuous"/>
          <w:pgSz w:w="11906" w:h="16838"/>
          <w:pgMar w:top="1134" w:right="1134" w:bottom="1134" w:left="1134" w:header="709" w:footer="709" w:gutter="0"/>
          <w:cols w:num="2" w:space="454"/>
          <w:docGrid w:linePitch="360"/>
        </w:sectPr>
      </w:pPr>
    </w:p>
    <w:p w:rsidR="005D7087" w:rsidRPr="00C73365" w:rsidRDefault="005D7087" w:rsidP="00A96CCA">
      <w:pPr>
        <w:spacing w:after="0"/>
        <w:rPr>
          <w:rFonts w:asciiTheme="minorHAnsi" w:eastAsia="MS Mincho" w:hAnsiTheme="minorHAnsi" w:cstheme="minorHAnsi"/>
          <w:b/>
          <w:color w:val="7030A0"/>
          <w:szCs w:val="20"/>
          <w:lang w:val="fr-FR" w:eastAsia="fr-FR"/>
        </w:rPr>
      </w:pPr>
      <w:r w:rsidRPr="00C73365">
        <w:rPr>
          <w:rFonts w:asciiTheme="minorHAnsi" w:eastAsia="MS Mincho" w:hAnsiTheme="minorHAnsi" w:cstheme="minorHAnsi"/>
          <w:b/>
          <w:color w:val="7030A0"/>
          <w:szCs w:val="20"/>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sectPr w:rsidR="00F46C7B" w:rsidRPr="00C73365" w:rsidSect="007C607C">
          <w:type w:val="continuous"/>
          <w:pgSz w:w="11906" w:h="16838"/>
          <w:pgMar w:top="1134" w:right="1134" w:bottom="1134" w:left="1134" w:header="709" w:footer="709" w:gutter="0"/>
          <w:cols w:space="708"/>
          <w:docGrid w:linePitch="360"/>
        </w:sectPr>
      </w:pPr>
      <w:r w:rsidRPr="00C73365">
        <w:rPr>
          <w:rFonts w:asciiTheme="minorHAnsi" w:eastAsia="MS Mincho" w:hAnsiTheme="minorHAnsi" w:cstheme="minorHAnsi"/>
          <w:b/>
          <w:lang w:val="fr-FR" w:eastAsia="fr-FR"/>
        </w:rPr>
        <w:lastRenderedPageBreak/>
        <w:t>NOTE 3 – IMMOBILISATIONS INCORPORELLES, CORPORELLES ET FINANCIERES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Tableau des immobilisations</w:t>
      </w:r>
    </w:p>
    <w:tbl>
      <w:tblPr>
        <w:tblW w:w="8960" w:type="dxa"/>
        <w:tblLook w:val="04A0" w:firstRow="1" w:lastRow="0" w:firstColumn="1" w:lastColumn="0" w:noHBand="0" w:noVBand="1"/>
      </w:tblPr>
      <w:tblGrid>
        <w:gridCol w:w="3880"/>
        <w:gridCol w:w="1360"/>
        <w:gridCol w:w="1240"/>
        <w:gridCol w:w="1240"/>
        <w:gridCol w:w="1240"/>
      </w:tblGrid>
      <w:tr w:rsidR="0054790E" w:rsidRPr="00F06F79" w:rsidTr="0054790E">
        <w:trPr>
          <w:trHeight w:val="576"/>
        </w:trPr>
        <w:tc>
          <w:tcPr>
            <w:tcW w:w="3880"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360"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Au début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exercice</w:t>
            </w:r>
          </w:p>
        </w:tc>
        <w:tc>
          <w:tcPr>
            <w:tcW w:w="1240"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Augmen-tation</w:t>
            </w:r>
          </w:p>
        </w:tc>
        <w:tc>
          <w:tcPr>
            <w:tcW w:w="1240"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Diminution</w:t>
            </w:r>
          </w:p>
        </w:tc>
        <w:tc>
          <w:tcPr>
            <w:tcW w:w="1240"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A la date de la situation</w:t>
            </w:r>
          </w:p>
        </w:tc>
      </w:tr>
      <w:tr w:rsidR="0054790E" w:rsidRPr="00C73365" w:rsidTr="0054790E">
        <w:trPr>
          <w:trHeight w:val="288"/>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Fonds commercial</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32 745</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szCs w:val="20"/>
              </w:rPr>
            </w:pP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32 745</w:t>
            </w:r>
          </w:p>
        </w:tc>
      </w:tr>
      <w:tr w:rsidR="0054790E" w:rsidRPr="00C73365" w:rsidTr="0054790E">
        <w:trPr>
          <w:trHeight w:val="552"/>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postes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immobilisations incorporelles</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0</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 w:val="22"/>
                <w:szCs w:val="22"/>
              </w:rPr>
            </w:pP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w:t>
            </w:r>
          </w:p>
        </w:tc>
      </w:tr>
      <w:tr w:rsidR="0054790E" w:rsidRPr="00C73365" w:rsidTr="0054790E">
        <w:trPr>
          <w:trHeight w:val="288"/>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incorporelles</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32 756</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0</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0</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32 756</w:t>
            </w:r>
          </w:p>
        </w:tc>
      </w:tr>
      <w:tr w:rsidR="0054790E" w:rsidRPr="00C73365" w:rsidTr="0054790E">
        <w:trPr>
          <w:trHeight w:val="552"/>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rPr>
              <w:t></w:t>
            </w:r>
            <w:r w:rsidRPr="00C73365">
              <w:rPr>
                <w:rFonts w:asciiTheme="minorHAnsi" w:hAnsiTheme="minorHAnsi" w:cstheme="minorHAnsi"/>
                <w:color w:val="000000"/>
                <w:szCs w:val="20"/>
                <w:lang w:val="fr-FR"/>
              </w:rPr>
              <w:t>  Installations techniques, matériel et outillage industriels</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302</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56</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357</w:t>
            </w:r>
          </w:p>
        </w:tc>
      </w:tr>
      <w:tr w:rsidR="0054790E" w:rsidRPr="00C73365" w:rsidTr="0054790E">
        <w:trPr>
          <w:trHeight w:val="552"/>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rPr>
              <w:t></w:t>
            </w:r>
            <w:r w:rsidRPr="00C73365">
              <w:rPr>
                <w:rFonts w:asciiTheme="minorHAnsi" w:hAnsiTheme="minorHAnsi" w:cstheme="minorHAnsi"/>
                <w:color w:val="000000"/>
                <w:szCs w:val="20"/>
                <w:lang w:val="fr-FR"/>
              </w:rPr>
              <w:t>  Matériel de bureau et informatique, mobilier</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83</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39</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111</w:t>
            </w:r>
          </w:p>
        </w:tc>
      </w:tr>
      <w:tr w:rsidR="0054790E" w:rsidRPr="00C73365" w:rsidTr="0054790E">
        <w:trPr>
          <w:trHeight w:val="288"/>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corporelles</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384</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95</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10</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468</w:t>
            </w:r>
          </w:p>
        </w:tc>
      </w:tr>
      <w:tr w:rsidR="0054790E" w:rsidRPr="00C73365" w:rsidTr="0054790E">
        <w:trPr>
          <w:trHeight w:val="288"/>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Autres titres immobilisés (actions propres)</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313</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834</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762</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385</w:t>
            </w:r>
          </w:p>
        </w:tc>
      </w:tr>
      <w:tr w:rsidR="0054790E" w:rsidRPr="00C73365" w:rsidTr="0054790E">
        <w:trPr>
          <w:trHeight w:val="288"/>
        </w:trPr>
        <w:tc>
          <w:tcPr>
            <w:tcW w:w="3880"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Prêts et autres immobilisations financières</w:t>
            </w:r>
          </w:p>
        </w:tc>
        <w:tc>
          <w:tcPr>
            <w:tcW w:w="136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247</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1066</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876</w:t>
            </w:r>
          </w:p>
        </w:tc>
        <w:tc>
          <w:tcPr>
            <w:tcW w:w="1240"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438</w:t>
            </w:r>
          </w:p>
        </w:tc>
      </w:tr>
      <w:tr w:rsidR="0054790E" w:rsidRPr="00C73365" w:rsidTr="0054790E">
        <w:trPr>
          <w:trHeight w:val="300"/>
        </w:trPr>
        <w:tc>
          <w:tcPr>
            <w:tcW w:w="388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financières</w:t>
            </w:r>
          </w:p>
        </w:tc>
        <w:tc>
          <w:tcPr>
            <w:tcW w:w="136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560</w:t>
            </w:r>
          </w:p>
        </w:tc>
        <w:tc>
          <w:tcPr>
            <w:tcW w:w="124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1 900</w:t>
            </w:r>
          </w:p>
        </w:tc>
        <w:tc>
          <w:tcPr>
            <w:tcW w:w="124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1 638</w:t>
            </w:r>
          </w:p>
        </w:tc>
        <w:tc>
          <w:tcPr>
            <w:tcW w:w="124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823</w:t>
            </w:r>
          </w:p>
        </w:tc>
      </w:tr>
      <w:tr w:rsidR="0054790E" w:rsidRPr="00C73365" w:rsidTr="0054790E">
        <w:trPr>
          <w:trHeight w:val="300"/>
        </w:trPr>
        <w:tc>
          <w:tcPr>
            <w:tcW w:w="3880" w:type="dxa"/>
            <w:tcBorders>
              <w:top w:val="nil"/>
              <w:left w:val="nil"/>
              <w:bottom w:val="single" w:sz="8" w:space="0" w:color="7030A0"/>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Actif immobilisé</w:t>
            </w:r>
          </w:p>
        </w:tc>
        <w:tc>
          <w:tcPr>
            <w:tcW w:w="136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33 701</w:t>
            </w:r>
          </w:p>
        </w:tc>
        <w:tc>
          <w:tcPr>
            <w:tcW w:w="124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1 994</w:t>
            </w:r>
          </w:p>
        </w:tc>
        <w:tc>
          <w:tcPr>
            <w:tcW w:w="124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1 648</w:t>
            </w:r>
          </w:p>
        </w:tc>
        <w:tc>
          <w:tcPr>
            <w:tcW w:w="1240"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34 047</w:t>
            </w:r>
          </w:p>
        </w:tc>
      </w:tr>
    </w:tbl>
    <w:p w:rsidR="00F46C7B" w:rsidRPr="00C73365" w:rsidRDefault="00F46C7B"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Immobilisations incorporelles</w:t>
      </w:r>
    </w:p>
    <w:p w:rsidR="00F46C7B" w:rsidRPr="00C73365" w:rsidRDefault="00F46C7B" w:rsidP="004572A0">
      <w:pPr>
        <w:pStyle w:val="BodyTextFirstIndent2"/>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immobilisations incorporelles se composent principalement </w:t>
      </w:r>
      <w:r w:rsidR="00072C6F" w:rsidRPr="00C73365">
        <w:rPr>
          <w:rFonts w:asciiTheme="minorHAnsi" w:eastAsia="MS Mincho" w:hAnsiTheme="minorHAnsi" w:cstheme="minorHAnsi"/>
          <w:lang w:val="fr-FR" w:eastAsia="fr-FR"/>
        </w:rPr>
        <w:t>des mali techniques</w:t>
      </w:r>
      <w:r w:rsidRPr="00C73365">
        <w:rPr>
          <w:rFonts w:asciiTheme="minorHAnsi" w:eastAsia="MS Mincho" w:hAnsiTheme="minorHAnsi" w:cstheme="minorHAnsi"/>
          <w:lang w:val="fr-FR" w:eastAsia="fr-FR"/>
        </w:rPr>
        <w:t xml:space="preserve"> relatifs aux Transmissions Universelles de Patrimoine réalisées au second semestre 2014.</w:t>
      </w:r>
    </w:p>
    <w:tbl>
      <w:tblPr>
        <w:tblW w:w="3465" w:type="dxa"/>
        <w:tblCellMar>
          <w:left w:w="70" w:type="dxa"/>
          <w:right w:w="70" w:type="dxa"/>
        </w:tblCellMar>
        <w:tblLook w:val="04A0" w:firstRow="1" w:lastRow="0" w:firstColumn="1" w:lastColumn="0" w:noHBand="0" w:noVBand="1"/>
      </w:tblPr>
      <w:tblGrid>
        <w:gridCol w:w="2553"/>
        <w:gridCol w:w="1123"/>
      </w:tblGrid>
      <w:tr w:rsidR="00F46C7B" w:rsidRPr="00C73365" w:rsidTr="007C607C">
        <w:trPr>
          <w:trHeight w:val="490"/>
        </w:trPr>
        <w:tc>
          <w:tcPr>
            <w:tcW w:w="2553"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912"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31/12/201</w:t>
            </w:r>
            <w:r w:rsidR="00714533">
              <w:rPr>
                <w:rFonts w:asciiTheme="minorHAnsi" w:hAnsiTheme="minorHAnsi" w:cstheme="minorHAnsi"/>
                <w:b/>
                <w:bCs/>
                <w:color w:val="7030A0"/>
                <w:szCs w:val="20"/>
                <w:lang w:val="fr-FR" w:eastAsia="fr-FR"/>
              </w:rPr>
              <w:t>7</w:t>
            </w:r>
          </w:p>
        </w:tc>
      </w:tr>
      <w:tr w:rsidR="00F46C7B" w:rsidRPr="00C73365" w:rsidTr="007C607C">
        <w:trPr>
          <w:trHeight w:val="206"/>
        </w:trPr>
        <w:tc>
          <w:tcPr>
            <w:tcW w:w="2553"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Eléments achetés</w:t>
            </w:r>
          </w:p>
        </w:tc>
        <w:tc>
          <w:tcPr>
            <w:tcW w:w="912"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szCs w:val="20"/>
                <w:lang w:val="fr-FR" w:eastAsia="fr-FR"/>
              </w:rPr>
            </w:pPr>
          </w:p>
        </w:tc>
      </w:tr>
      <w:tr w:rsidR="00F46C7B" w:rsidRPr="00C73365" w:rsidTr="007C607C">
        <w:trPr>
          <w:trHeight w:val="206"/>
        </w:trPr>
        <w:tc>
          <w:tcPr>
            <w:tcW w:w="2553"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Eléments réévalués</w:t>
            </w:r>
          </w:p>
        </w:tc>
        <w:tc>
          <w:tcPr>
            <w:tcW w:w="912"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szCs w:val="20"/>
                <w:lang w:val="fr-FR" w:eastAsia="fr-FR"/>
              </w:rPr>
            </w:pPr>
          </w:p>
        </w:tc>
      </w:tr>
      <w:tr w:rsidR="00F46C7B" w:rsidRPr="00C73365" w:rsidTr="007C607C">
        <w:trPr>
          <w:trHeight w:val="214"/>
        </w:trPr>
        <w:tc>
          <w:tcPr>
            <w:tcW w:w="2553"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Eléments reçus en apport</w:t>
            </w:r>
          </w:p>
        </w:tc>
        <w:tc>
          <w:tcPr>
            <w:tcW w:w="91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32 745  </w:t>
            </w:r>
          </w:p>
        </w:tc>
      </w:tr>
      <w:tr w:rsidR="00F46C7B" w:rsidRPr="00C73365" w:rsidTr="007C607C">
        <w:trPr>
          <w:trHeight w:val="286"/>
        </w:trPr>
        <w:tc>
          <w:tcPr>
            <w:tcW w:w="2553"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Total</w:t>
            </w:r>
          </w:p>
        </w:tc>
        <w:tc>
          <w:tcPr>
            <w:tcW w:w="91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xml:space="preserve">32 745  </w:t>
            </w:r>
          </w:p>
        </w:tc>
      </w:tr>
    </w:tbl>
    <w:p w:rsidR="00D22228" w:rsidRPr="00C73365" w:rsidRDefault="00D22228"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Au cours du second semestre de l’exercice 2014, trois Transmissions Universelles de Patrimoine ont été réalisées : les sociétés Wittycell et Zophis ont été absorbées au 31 juillet 2014 et la société Splicos a été absorbée au 31 octobre 2014. Ces trois opérations ont donné lieu à la constatation de mali techniques se substituant à l’actif aux titres de participation reçus en apport pour un montant global de 32 745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Ces mali techniques représentent les écarts entre l’actif net reçu mesuré à la date d’effet comptable et la valeur comptable de la participation chez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pour chacune des sociétés absorbées. Ce sont des mali techniques et non des mali financiers car ils représentent la valeur des frais de recherche et développement de ces trois sociétés reconnue par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lors de ses prises de participation et augmentée par les programmes de recherche et développement poursuivis début 2014. En effet ces frais de recherche n’avaient pas été capitalisés dans les trois sociétés dissoutes mais comptabilisés en charges au fur et à mesure de leur réalisation.</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Immobilisations corporelles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immobilisations corporelles se composent principalement du matériel de laboratoire et de recherche et de matériel informatique.</w:t>
      </w:r>
    </w:p>
    <w:p w:rsidR="00F46C7B" w:rsidRPr="00C73365" w:rsidRDefault="00F46C7B" w:rsidP="004572A0">
      <w:pPr>
        <w:pStyle w:val="BodyText"/>
        <w:rPr>
          <w:rFonts w:asciiTheme="minorHAnsi" w:eastAsia="MS Mincho" w:hAnsiTheme="minorHAnsi" w:cstheme="minorHAnsi"/>
          <w:b/>
          <w:color w:val="9032B8"/>
          <w:lang w:val="fr-FR" w:eastAsia="fr-FR"/>
        </w:rPr>
      </w:pPr>
      <w:r w:rsidRPr="00C73365">
        <w:rPr>
          <w:rFonts w:asciiTheme="minorHAnsi" w:eastAsia="MS Mincho" w:hAnsiTheme="minorHAnsi" w:cstheme="minorHAnsi"/>
          <w:b/>
          <w:lang w:val="fr-FR" w:eastAsia="fr-FR"/>
        </w:rPr>
        <w:t>Immobilisations financières</w:t>
      </w:r>
    </w:p>
    <w:p w:rsidR="0054790E" w:rsidRPr="00C73365" w:rsidRDefault="0054790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immobilisations financières correspondent principalement aux éléments relatifs au contrat de liquidité souscrit par la société fin juin 2015 et aux dépôts de garantie versés pour les locaux occupés par la société.</w:t>
      </w:r>
    </w:p>
    <w:p w:rsidR="0054790E" w:rsidRPr="00C73365" w:rsidRDefault="0054790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dépôt de garantie correspondant aux locaux utilisés à Evry jusque début 2016 a été restitué totalement.</w:t>
      </w:r>
    </w:p>
    <w:p w:rsidR="0054790E" w:rsidRPr="00C73365" w:rsidRDefault="0054790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opérations liées au contrat de liquidité sont comptabilisées en conformité avec l</w:t>
      </w:r>
      <w:r w:rsidR="004572A0" w:rsidRPr="00C73365">
        <w:rPr>
          <w:rFonts w:asciiTheme="minorHAnsi" w:eastAsia="MS Mincho" w:hAnsiTheme="minorHAnsi" w:cstheme="minorHAnsi"/>
          <w:lang w:val="fr-FR" w:eastAsia="fr-FR"/>
        </w:rPr>
        <w:t>’</w:t>
      </w:r>
      <w:r w:rsidRPr="00C73365">
        <w:rPr>
          <w:rFonts w:asciiTheme="minorHAnsi" w:eastAsia="MS Mincho" w:hAnsiTheme="minorHAnsi" w:cstheme="minorHAnsi"/>
          <w:lang w:val="fr-FR" w:eastAsia="fr-FR"/>
        </w:rPr>
        <w:t xml:space="preserve">Avis CU CNC n° 98-D et avec le Bulletin CNCC n° 137 - mars 2005: </w:t>
      </w:r>
    </w:p>
    <w:p w:rsidR="0054790E" w:rsidRPr="00C93577" w:rsidRDefault="0054790E" w:rsidP="004572A0">
      <w:pPr>
        <w:pStyle w:val="ListBullet"/>
        <w:rPr>
          <w:rFonts w:asciiTheme="minorHAnsi" w:hAnsiTheme="minorHAnsi" w:cstheme="minorHAnsi"/>
          <w:lang w:val="fr-FR"/>
        </w:rPr>
      </w:pPr>
      <w:r w:rsidRPr="00C93577">
        <w:rPr>
          <w:rFonts w:asciiTheme="minorHAnsi" w:hAnsiTheme="minorHAnsi" w:cstheme="minorHAnsi"/>
          <w:lang w:val="fr-FR"/>
        </w:rPr>
        <w:t>les actions propres détenues sont comptabilisées en Autres Immobilisations Financières - Actions propres. Une provision pour dépréciation est enregistrée par référence au cours moyen de bourse du dernier mois de l’exercice si celui-ci est inférieur au coût d</w:t>
      </w:r>
      <w:r w:rsidR="004572A0" w:rsidRPr="00C93577">
        <w:rPr>
          <w:rFonts w:asciiTheme="minorHAnsi" w:hAnsiTheme="minorHAnsi" w:cstheme="minorHAnsi"/>
          <w:lang w:val="fr-FR"/>
        </w:rPr>
        <w:t>’</w:t>
      </w:r>
      <w:r w:rsidRPr="00C93577">
        <w:rPr>
          <w:rFonts w:asciiTheme="minorHAnsi" w:hAnsiTheme="minorHAnsi" w:cstheme="minorHAnsi"/>
          <w:lang w:val="fr-FR"/>
        </w:rPr>
        <w:t xml:space="preserve">achat. Pour la détermination du résultat de cession, la méthode Premier entré – Premier sorti est appliquée. </w:t>
      </w:r>
    </w:p>
    <w:p w:rsidR="0054790E" w:rsidRPr="00C93577" w:rsidRDefault="0054790E" w:rsidP="004572A0">
      <w:pPr>
        <w:pStyle w:val="ListBullet"/>
        <w:rPr>
          <w:rFonts w:asciiTheme="minorHAnsi" w:hAnsiTheme="minorHAnsi" w:cstheme="minorHAnsi"/>
          <w:lang w:val="fr-FR"/>
        </w:rPr>
      </w:pPr>
      <w:r w:rsidRPr="00C93577">
        <w:rPr>
          <w:rFonts w:asciiTheme="minorHAnsi" w:hAnsiTheme="minorHAnsi" w:cstheme="minorHAnsi"/>
          <w:lang w:val="fr-FR"/>
        </w:rPr>
        <w:t>les espèces versées à l’intermédiaire et non encore utilisées sont comptabilisées au compte Autres Immobilisations Financières - Autres créances immobilisées</w:t>
      </w:r>
    </w:p>
    <w:p w:rsidR="0054790E" w:rsidRPr="00C73365" w:rsidRDefault="0054790E" w:rsidP="00A96CCA">
      <w:pPr>
        <w:spacing w:after="0"/>
        <w:ind w:right="-2"/>
        <w:rPr>
          <w:rFonts w:asciiTheme="minorHAnsi" w:eastAsia="MS Mincho" w:hAnsiTheme="minorHAnsi" w:cstheme="minorHAnsi"/>
          <w:color w:val="000000"/>
          <w:szCs w:val="20"/>
          <w:lang w:val="fr-FR" w:eastAsia="fr-FR"/>
        </w:rPr>
      </w:pPr>
    </w:p>
    <w:p w:rsidR="0054790E" w:rsidRPr="00C73365" w:rsidRDefault="0054790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de liquidité a été signé le 26 juin 2015 pour une durée de 12 mois et renouvelable par tacite reconduction. Le montant versé au prestataire à l’ouverture du contrat a été de 1 000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et les premières opérations permettant de constituer un volant de titres ont été réalisées entre le 26 et le 29 juin 2015.</w:t>
      </w:r>
    </w:p>
    <w:p w:rsidR="0054790E" w:rsidRPr="00C73365" w:rsidRDefault="0054790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La société détient, au 31 décembre 2017 et via ce contrat de liquidité, 34 050 actions propres soit moins de 10% de son capital, pour un coût d’acquisition de 385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F46C7B" w:rsidRPr="00C73365" w:rsidRDefault="0054790E"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solde du compte espèces chez le prestataire est de 337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tbl>
      <w:tblPr>
        <w:tblW w:w="8931" w:type="dxa"/>
        <w:tblLayout w:type="fixed"/>
        <w:tblLook w:val="04A0" w:firstRow="1" w:lastRow="0" w:firstColumn="1" w:lastColumn="0" w:noHBand="0" w:noVBand="1"/>
      </w:tblPr>
      <w:tblGrid>
        <w:gridCol w:w="4200"/>
        <w:gridCol w:w="1112"/>
        <w:gridCol w:w="1155"/>
        <w:gridCol w:w="1188"/>
        <w:gridCol w:w="1276"/>
      </w:tblGrid>
      <w:tr w:rsidR="0054790E" w:rsidRPr="00C73365" w:rsidTr="00BB083E">
        <w:trPr>
          <w:trHeight w:val="1128"/>
        </w:trPr>
        <w:tc>
          <w:tcPr>
            <w:tcW w:w="4200"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112"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Quantité</w:t>
            </w:r>
          </w:p>
        </w:tc>
        <w:tc>
          <w:tcPr>
            <w:tcW w:w="1155"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Cours moyen en euros</w:t>
            </w:r>
            <w:r w:rsidR="005E11E0" w:rsidRPr="00C73365">
              <w:rPr>
                <w:rFonts w:asciiTheme="minorHAnsi" w:hAnsiTheme="minorHAnsi" w:cstheme="minorHAnsi"/>
                <w:b/>
                <w:bCs/>
                <w:color w:val="000000"/>
                <w:szCs w:val="20"/>
              </w:rPr>
              <w:t>*</w:t>
            </w:r>
          </w:p>
        </w:tc>
        <w:tc>
          <w:tcPr>
            <w:tcW w:w="1188"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Valeur comptable des titres détenus</w:t>
            </w:r>
          </w:p>
        </w:tc>
        <w:tc>
          <w:tcPr>
            <w:tcW w:w="1276" w:type="dxa"/>
            <w:tcBorders>
              <w:top w:val="single" w:sz="12" w:space="0" w:color="7030A0"/>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Autres immobilisa-tions financières</w:t>
            </w:r>
          </w:p>
        </w:tc>
      </w:tr>
      <w:tr w:rsidR="0054790E" w:rsidRPr="00C73365" w:rsidTr="00BB083E">
        <w:trPr>
          <w:trHeight w:val="288"/>
        </w:trPr>
        <w:tc>
          <w:tcPr>
            <w:tcW w:w="4200" w:type="dxa"/>
            <w:tcBorders>
              <w:top w:val="nil"/>
              <w:left w:val="nil"/>
              <w:bottom w:val="nil"/>
              <w:right w:val="nil"/>
            </w:tcBorders>
            <w:shd w:val="clear" w:color="auto" w:fill="auto"/>
            <w:noWrap/>
            <w:vAlign w:val="center"/>
            <w:hideMark/>
          </w:tcPr>
          <w:p w:rsidR="0054790E" w:rsidRPr="00C73365" w:rsidRDefault="0054790E"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Ouverture du contrat</w:t>
            </w:r>
          </w:p>
        </w:tc>
        <w:tc>
          <w:tcPr>
            <w:tcW w:w="1112"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b/>
                <w:bCs/>
                <w:color w:val="000000"/>
                <w:szCs w:val="20"/>
              </w:rPr>
            </w:pPr>
          </w:p>
        </w:tc>
        <w:tc>
          <w:tcPr>
            <w:tcW w:w="1155"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szCs w:val="20"/>
              </w:rPr>
            </w:pPr>
          </w:p>
        </w:tc>
        <w:tc>
          <w:tcPr>
            <w:tcW w:w="1188" w:type="dxa"/>
            <w:tcBorders>
              <w:top w:val="nil"/>
              <w:left w:val="nil"/>
              <w:bottom w:val="nil"/>
              <w:right w:val="nil"/>
            </w:tcBorders>
            <w:shd w:val="clear" w:color="auto" w:fill="auto"/>
            <w:vAlign w:val="center"/>
            <w:hideMark/>
          </w:tcPr>
          <w:p w:rsidR="0054790E" w:rsidRPr="00C73365" w:rsidRDefault="0054790E" w:rsidP="00A96CCA">
            <w:pPr>
              <w:spacing w:after="0"/>
              <w:rPr>
                <w:rFonts w:asciiTheme="minorHAnsi" w:hAnsiTheme="minorHAnsi" w:cstheme="minorHAnsi"/>
                <w:szCs w:val="20"/>
              </w:rPr>
            </w:pPr>
          </w:p>
        </w:tc>
        <w:tc>
          <w:tcPr>
            <w:tcW w:w="1276"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1 000</w:t>
            </w:r>
          </w:p>
        </w:tc>
      </w:tr>
      <w:tr w:rsidR="0054790E" w:rsidRPr="00C73365" w:rsidTr="00BB083E">
        <w:trPr>
          <w:trHeight w:val="288"/>
        </w:trPr>
        <w:tc>
          <w:tcPr>
            <w:tcW w:w="4200" w:type="dxa"/>
            <w:tcBorders>
              <w:top w:val="nil"/>
              <w:left w:val="nil"/>
              <w:bottom w:val="nil"/>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Achats</w:t>
            </w:r>
          </w:p>
        </w:tc>
        <w:tc>
          <w:tcPr>
            <w:tcW w:w="1112"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54 537</w:t>
            </w:r>
          </w:p>
        </w:tc>
        <w:tc>
          <w:tcPr>
            <w:tcW w:w="1155"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18,45</w:t>
            </w:r>
          </w:p>
        </w:tc>
        <w:tc>
          <w:tcPr>
            <w:tcW w:w="1188"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1 006</w:t>
            </w:r>
          </w:p>
        </w:tc>
        <w:tc>
          <w:tcPr>
            <w:tcW w:w="1276"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-1 006</w:t>
            </w:r>
          </w:p>
        </w:tc>
      </w:tr>
      <w:tr w:rsidR="0054790E" w:rsidRPr="00C73365" w:rsidTr="00BB083E">
        <w:trPr>
          <w:trHeight w:val="288"/>
        </w:trPr>
        <w:tc>
          <w:tcPr>
            <w:tcW w:w="4200" w:type="dxa"/>
            <w:tcBorders>
              <w:top w:val="nil"/>
              <w:left w:val="nil"/>
              <w:bottom w:val="nil"/>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Ventes</w:t>
            </w:r>
          </w:p>
        </w:tc>
        <w:tc>
          <w:tcPr>
            <w:tcW w:w="1112"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11 091</w:t>
            </w:r>
          </w:p>
        </w:tc>
        <w:tc>
          <w:tcPr>
            <w:tcW w:w="1155"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18,18</w:t>
            </w:r>
          </w:p>
        </w:tc>
        <w:tc>
          <w:tcPr>
            <w:tcW w:w="1188"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202</w:t>
            </w:r>
          </w:p>
        </w:tc>
        <w:tc>
          <w:tcPr>
            <w:tcW w:w="1276"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202</w:t>
            </w:r>
          </w:p>
        </w:tc>
      </w:tr>
      <w:tr w:rsidR="0054790E" w:rsidRPr="00C73365" w:rsidTr="00BB083E">
        <w:trPr>
          <w:trHeight w:val="300"/>
        </w:trPr>
        <w:tc>
          <w:tcPr>
            <w:tcW w:w="4200" w:type="dxa"/>
            <w:tcBorders>
              <w:top w:val="nil"/>
              <w:left w:val="nil"/>
              <w:bottom w:val="single" w:sz="8" w:space="0" w:color="7030A0"/>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Plus ou Moins-values réalisées</w:t>
            </w:r>
          </w:p>
        </w:tc>
        <w:tc>
          <w:tcPr>
            <w:tcW w:w="1112"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155"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188"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-16</w:t>
            </w:r>
          </w:p>
        </w:tc>
        <w:tc>
          <w:tcPr>
            <w:tcW w:w="1276"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r>
      <w:tr w:rsidR="0054790E" w:rsidRPr="00C73365" w:rsidTr="00BB083E">
        <w:trPr>
          <w:trHeight w:val="300"/>
        </w:trPr>
        <w:tc>
          <w:tcPr>
            <w:tcW w:w="4200" w:type="dxa"/>
            <w:tcBorders>
              <w:top w:val="nil"/>
              <w:left w:val="nil"/>
              <w:bottom w:val="single" w:sz="8" w:space="0" w:color="7030A0"/>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Solde au 31 décembre 2015</w:t>
            </w:r>
          </w:p>
        </w:tc>
        <w:tc>
          <w:tcPr>
            <w:tcW w:w="1112"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43 446</w:t>
            </w:r>
          </w:p>
        </w:tc>
        <w:tc>
          <w:tcPr>
            <w:tcW w:w="1155"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18</w:t>
            </w:r>
          </w:p>
        </w:tc>
        <w:tc>
          <w:tcPr>
            <w:tcW w:w="1188"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788</w:t>
            </w:r>
          </w:p>
        </w:tc>
        <w:tc>
          <w:tcPr>
            <w:tcW w:w="1276"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196</w:t>
            </w:r>
          </w:p>
        </w:tc>
      </w:tr>
      <w:tr w:rsidR="0054790E" w:rsidRPr="00C73365" w:rsidTr="00BB083E">
        <w:trPr>
          <w:trHeight w:val="288"/>
        </w:trPr>
        <w:tc>
          <w:tcPr>
            <w:tcW w:w="4200" w:type="dxa"/>
            <w:tcBorders>
              <w:top w:val="nil"/>
              <w:left w:val="nil"/>
              <w:bottom w:val="nil"/>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Achats</w:t>
            </w:r>
          </w:p>
        </w:tc>
        <w:tc>
          <w:tcPr>
            <w:tcW w:w="1112"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74 993</w:t>
            </w:r>
          </w:p>
        </w:tc>
        <w:tc>
          <w:tcPr>
            <w:tcW w:w="1155"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8,31</w:t>
            </w:r>
          </w:p>
        </w:tc>
        <w:tc>
          <w:tcPr>
            <w:tcW w:w="1188"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623</w:t>
            </w:r>
          </w:p>
        </w:tc>
        <w:tc>
          <w:tcPr>
            <w:tcW w:w="1276"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-623</w:t>
            </w:r>
          </w:p>
        </w:tc>
      </w:tr>
      <w:tr w:rsidR="0054790E" w:rsidRPr="00C73365" w:rsidTr="00BB083E">
        <w:trPr>
          <w:trHeight w:val="288"/>
        </w:trPr>
        <w:tc>
          <w:tcPr>
            <w:tcW w:w="4200" w:type="dxa"/>
            <w:tcBorders>
              <w:top w:val="nil"/>
              <w:left w:val="nil"/>
              <w:bottom w:val="nil"/>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Ventes</w:t>
            </w:r>
          </w:p>
        </w:tc>
        <w:tc>
          <w:tcPr>
            <w:tcW w:w="1112"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68 539</w:t>
            </w:r>
          </w:p>
        </w:tc>
        <w:tc>
          <w:tcPr>
            <w:tcW w:w="1155"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8,52</w:t>
            </w:r>
          </w:p>
        </w:tc>
        <w:tc>
          <w:tcPr>
            <w:tcW w:w="1188"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584</w:t>
            </w:r>
          </w:p>
        </w:tc>
        <w:tc>
          <w:tcPr>
            <w:tcW w:w="1276"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584</w:t>
            </w:r>
          </w:p>
        </w:tc>
      </w:tr>
      <w:tr w:rsidR="0054790E" w:rsidRPr="00C73365" w:rsidTr="00BB083E">
        <w:trPr>
          <w:trHeight w:val="300"/>
        </w:trPr>
        <w:tc>
          <w:tcPr>
            <w:tcW w:w="4200" w:type="dxa"/>
            <w:tcBorders>
              <w:top w:val="nil"/>
              <w:left w:val="nil"/>
              <w:bottom w:val="single" w:sz="8" w:space="0" w:color="7030A0"/>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Plus ou Moins-values réalisées</w:t>
            </w:r>
          </w:p>
        </w:tc>
        <w:tc>
          <w:tcPr>
            <w:tcW w:w="1112"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155"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188"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-514</w:t>
            </w:r>
          </w:p>
        </w:tc>
        <w:tc>
          <w:tcPr>
            <w:tcW w:w="1276"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r>
      <w:tr w:rsidR="0054790E" w:rsidRPr="00C73365" w:rsidTr="00BB083E">
        <w:trPr>
          <w:trHeight w:val="300"/>
        </w:trPr>
        <w:tc>
          <w:tcPr>
            <w:tcW w:w="4200" w:type="dxa"/>
            <w:tcBorders>
              <w:top w:val="nil"/>
              <w:left w:val="nil"/>
              <w:bottom w:val="single" w:sz="8" w:space="0" w:color="7030A0"/>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Solde au 31 décembre 2016</w:t>
            </w:r>
          </w:p>
        </w:tc>
        <w:tc>
          <w:tcPr>
            <w:tcW w:w="1112"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49 900</w:t>
            </w:r>
          </w:p>
        </w:tc>
        <w:tc>
          <w:tcPr>
            <w:tcW w:w="1155"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6</w:t>
            </w:r>
          </w:p>
        </w:tc>
        <w:tc>
          <w:tcPr>
            <w:tcW w:w="1188"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313</w:t>
            </w:r>
          </w:p>
        </w:tc>
        <w:tc>
          <w:tcPr>
            <w:tcW w:w="1276"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157</w:t>
            </w:r>
          </w:p>
        </w:tc>
      </w:tr>
      <w:tr w:rsidR="0054790E" w:rsidRPr="00C73365" w:rsidTr="00BB083E">
        <w:trPr>
          <w:trHeight w:val="288"/>
        </w:trPr>
        <w:tc>
          <w:tcPr>
            <w:tcW w:w="4200" w:type="dxa"/>
            <w:tcBorders>
              <w:top w:val="nil"/>
              <w:left w:val="nil"/>
              <w:bottom w:val="nil"/>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Achats</w:t>
            </w:r>
          </w:p>
        </w:tc>
        <w:tc>
          <w:tcPr>
            <w:tcW w:w="1112"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90 109</w:t>
            </w:r>
          </w:p>
        </w:tc>
        <w:tc>
          <w:tcPr>
            <w:tcW w:w="1155"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9,26</w:t>
            </w:r>
          </w:p>
        </w:tc>
        <w:tc>
          <w:tcPr>
            <w:tcW w:w="1188"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834</w:t>
            </w:r>
          </w:p>
        </w:tc>
        <w:tc>
          <w:tcPr>
            <w:tcW w:w="1276"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-834</w:t>
            </w:r>
          </w:p>
        </w:tc>
      </w:tr>
      <w:tr w:rsidR="0054790E" w:rsidRPr="00C73365" w:rsidTr="00BB083E">
        <w:trPr>
          <w:trHeight w:val="288"/>
        </w:trPr>
        <w:tc>
          <w:tcPr>
            <w:tcW w:w="4200" w:type="dxa"/>
            <w:tcBorders>
              <w:top w:val="nil"/>
              <w:left w:val="nil"/>
              <w:bottom w:val="nil"/>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Ventes</w:t>
            </w:r>
          </w:p>
        </w:tc>
        <w:tc>
          <w:tcPr>
            <w:tcW w:w="1112"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105 959</w:t>
            </w:r>
          </w:p>
        </w:tc>
        <w:tc>
          <w:tcPr>
            <w:tcW w:w="1155"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9,57</w:t>
            </w:r>
          </w:p>
        </w:tc>
        <w:tc>
          <w:tcPr>
            <w:tcW w:w="1188"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1014</w:t>
            </w:r>
          </w:p>
        </w:tc>
        <w:tc>
          <w:tcPr>
            <w:tcW w:w="1276" w:type="dxa"/>
            <w:tcBorders>
              <w:top w:val="nil"/>
              <w:left w:val="nil"/>
              <w:bottom w:val="nil"/>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1014</w:t>
            </w:r>
          </w:p>
        </w:tc>
      </w:tr>
      <w:tr w:rsidR="0054790E" w:rsidRPr="00C73365" w:rsidTr="00BB083E">
        <w:trPr>
          <w:trHeight w:val="300"/>
        </w:trPr>
        <w:tc>
          <w:tcPr>
            <w:tcW w:w="4200" w:type="dxa"/>
            <w:tcBorders>
              <w:top w:val="nil"/>
              <w:left w:val="nil"/>
              <w:bottom w:val="single" w:sz="8" w:space="0" w:color="7030A0"/>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Plus ou Moins-values réalisées</w:t>
            </w:r>
          </w:p>
        </w:tc>
        <w:tc>
          <w:tcPr>
            <w:tcW w:w="1112"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155"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188"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252</w:t>
            </w:r>
          </w:p>
        </w:tc>
        <w:tc>
          <w:tcPr>
            <w:tcW w:w="1276"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w:t>
            </w:r>
          </w:p>
        </w:tc>
      </w:tr>
      <w:tr w:rsidR="0054790E" w:rsidRPr="00C73365" w:rsidTr="00BB083E">
        <w:trPr>
          <w:trHeight w:val="300"/>
        </w:trPr>
        <w:tc>
          <w:tcPr>
            <w:tcW w:w="4200" w:type="dxa"/>
            <w:tcBorders>
              <w:top w:val="nil"/>
              <w:left w:val="nil"/>
              <w:bottom w:val="single" w:sz="8" w:space="0" w:color="7030A0"/>
              <w:right w:val="nil"/>
            </w:tcBorders>
            <w:shd w:val="clear" w:color="auto" w:fill="auto"/>
            <w:noWrap/>
            <w:vAlign w:val="center"/>
            <w:hideMark/>
          </w:tcPr>
          <w:p w:rsidR="0054790E" w:rsidRPr="00C73365" w:rsidRDefault="0054790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Solde au 31 décembre 2017</w:t>
            </w:r>
          </w:p>
        </w:tc>
        <w:tc>
          <w:tcPr>
            <w:tcW w:w="1112"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34 050</w:t>
            </w:r>
          </w:p>
        </w:tc>
        <w:tc>
          <w:tcPr>
            <w:tcW w:w="1155"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11</w:t>
            </w:r>
          </w:p>
        </w:tc>
        <w:tc>
          <w:tcPr>
            <w:tcW w:w="1188"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385</w:t>
            </w:r>
          </w:p>
        </w:tc>
        <w:tc>
          <w:tcPr>
            <w:tcW w:w="1276" w:type="dxa"/>
            <w:tcBorders>
              <w:top w:val="nil"/>
              <w:left w:val="nil"/>
              <w:bottom w:val="single" w:sz="8" w:space="0" w:color="7030A0"/>
              <w:right w:val="nil"/>
            </w:tcBorders>
            <w:shd w:val="clear" w:color="auto" w:fill="auto"/>
            <w:vAlign w:val="center"/>
            <w:hideMark/>
          </w:tcPr>
          <w:p w:rsidR="0054790E" w:rsidRPr="00C73365" w:rsidRDefault="0054790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337</w:t>
            </w:r>
          </w:p>
        </w:tc>
      </w:tr>
    </w:tbl>
    <w:p w:rsidR="00F46C7B" w:rsidRPr="001479F8" w:rsidRDefault="005E11E0" w:rsidP="004572A0">
      <w:pPr>
        <w:pStyle w:val="Caption"/>
        <w:rPr>
          <w:rFonts w:asciiTheme="minorHAnsi" w:eastAsia="MS Mincho" w:hAnsiTheme="minorHAnsi" w:cstheme="minorHAnsi"/>
          <w:b w:val="0"/>
          <w:lang w:val="fr-FR" w:eastAsia="fr-FR"/>
        </w:rPr>
      </w:pPr>
      <w:r w:rsidRPr="001479F8">
        <w:rPr>
          <w:rFonts w:asciiTheme="minorHAnsi" w:eastAsia="MS Mincho" w:hAnsiTheme="minorHAnsi" w:cstheme="minorHAnsi"/>
          <w:b w:val="0"/>
          <w:lang w:val="fr-FR" w:eastAsia="fr-FR"/>
        </w:rPr>
        <w:t>*Valeurs moyennes, pour 2017 par exemple : 11 € = 385</w:t>
      </w:r>
      <w:r w:rsidR="00EF089C" w:rsidRPr="001479F8">
        <w:rPr>
          <w:rFonts w:asciiTheme="minorHAnsi" w:eastAsia="MS Mincho" w:hAnsiTheme="minorHAnsi" w:cstheme="minorHAnsi"/>
          <w:b w:val="0"/>
          <w:lang w:val="fr-FR" w:eastAsia="fr-FR"/>
        </w:rPr>
        <w:t>K€</w:t>
      </w:r>
      <w:r w:rsidRPr="001479F8">
        <w:rPr>
          <w:rFonts w:asciiTheme="minorHAnsi" w:eastAsia="MS Mincho" w:hAnsiTheme="minorHAnsi" w:cstheme="minorHAnsi"/>
          <w:b w:val="0"/>
          <w:lang w:val="fr-FR" w:eastAsia="fr-FR"/>
        </w:rPr>
        <w:t>/34050 titres</w:t>
      </w:r>
    </w:p>
    <w:p w:rsidR="005E11E0" w:rsidRPr="00C73365" w:rsidRDefault="005E11E0" w:rsidP="00A96CCA">
      <w:pPr>
        <w:autoSpaceDE w:val="0"/>
        <w:autoSpaceDN w:val="0"/>
        <w:adjustRightInd w:val="0"/>
        <w:spacing w:after="0"/>
        <w:rPr>
          <w:rFonts w:asciiTheme="minorHAnsi" w:eastAsia="MS Mincho" w:hAnsiTheme="minorHAnsi" w:cstheme="minorHAnsi"/>
          <w:szCs w:val="20"/>
          <w:lang w:val="fr-FR" w:eastAsia="fr-FR"/>
        </w:rPr>
      </w:pPr>
      <w:r w:rsidRPr="00C73365">
        <w:rPr>
          <w:rFonts w:asciiTheme="minorHAnsi" w:eastAsia="MS Mincho" w:hAnsiTheme="minorHAnsi" w:cstheme="minorHAnsi"/>
          <w:szCs w:val="20"/>
          <w:lang w:val="fr-FR" w:eastAsia="fr-FR"/>
        </w:rPr>
        <w:t xml:space="preserve">  </w:t>
      </w:r>
    </w:p>
    <w:p w:rsidR="005E11E0" w:rsidRPr="00C73365" w:rsidRDefault="005E11E0" w:rsidP="00A96CCA">
      <w:pPr>
        <w:autoSpaceDE w:val="0"/>
        <w:autoSpaceDN w:val="0"/>
        <w:adjustRightInd w:val="0"/>
        <w:spacing w:after="0"/>
        <w:rPr>
          <w:rFonts w:asciiTheme="minorHAnsi" w:eastAsia="MS Mincho" w:hAnsiTheme="minorHAnsi" w:cstheme="minorHAnsi"/>
          <w:szCs w:val="20"/>
          <w:lang w:val="fr-FR" w:eastAsia="fr-FR"/>
        </w:rPr>
      </w:pPr>
    </w:p>
    <w:p w:rsidR="005E11E0" w:rsidRPr="00C73365" w:rsidRDefault="005E11E0" w:rsidP="004572A0">
      <w:pPr>
        <w:pStyle w:val="BodyText"/>
        <w:rPr>
          <w:rFonts w:asciiTheme="minorHAnsi" w:eastAsia="MS Mincho" w:hAnsiTheme="minorHAnsi" w:cstheme="minorHAnsi"/>
          <w:lang w:val="fr-FR" w:eastAsia="fr-FR"/>
        </w:rPr>
        <w:sectPr w:rsidR="005E11E0" w:rsidRPr="00C73365" w:rsidSect="007C607C">
          <w:type w:val="continuous"/>
          <w:pgSz w:w="11906" w:h="16838"/>
          <w:pgMar w:top="1134" w:right="1134" w:bottom="1134" w:left="1134" w:header="709" w:footer="709" w:gutter="0"/>
          <w:cols w:space="708"/>
          <w:docGrid w:linePitch="360"/>
        </w:sectPr>
      </w:pPr>
    </w:p>
    <w:p w:rsidR="0054790E" w:rsidRPr="00C73365" w:rsidRDefault="0054790E"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cours de l’action au 31 décembre 2017 est de 8,63 euros. La valeur boursière au 31 décembre 2017 des titres auto-détenus s’établit donc à 294 </w:t>
      </w:r>
      <w:r w:rsidR="00EF089C" w:rsidRPr="00C73365">
        <w:rPr>
          <w:rFonts w:asciiTheme="minorHAnsi" w:hAnsiTheme="minorHAnsi" w:cstheme="minorHAnsi"/>
          <w:lang w:val="fr-FR"/>
        </w:rPr>
        <w:t>K€</w:t>
      </w:r>
    </w:p>
    <w:p w:rsidR="00F46C7B" w:rsidRPr="00C73365" w:rsidRDefault="0054790E" w:rsidP="004572A0">
      <w:pPr>
        <w:pStyle w:val="BodyText"/>
        <w:rPr>
          <w:rFonts w:asciiTheme="minorHAnsi" w:hAnsiTheme="minorHAnsi" w:cstheme="minorHAnsi"/>
          <w:b/>
          <w:color w:val="385623" w:themeColor="accent6" w:themeShade="80"/>
          <w:lang w:val="fr-FR"/>
        </w:rPr>
      </w:pPr>
      <w:r w:rsidRPr="00C73365">
        <w:rPr>
          <w:rFonts w:asciiTheme="minorHAnsi" w:hAnsiTheme="minorHAnsi" w:cstheme="minorHAnsi"/>
          <w:lang w:val="fr-FR"/>
        </w:rPr>
        <w:t xml:space="preserve">Une provision pour dépréciation de 91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a donc été constatée au 31 décembre 2017 concernant les titres auto-détenus. Celle-ci a été comptabilisée en charges exceptionnelles.</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Amortissements des immobilisations</w:t>
      </w:r>
    </w:p>
    <w:tbl>
      <w:tblPr>
        <w:tblW w:w="8980" w:type="dxa"/>
        <w:tblLook w:val="04A0" w:firstRow="1" w:lastRow="0" w:firstColumn="1" w:lastColumn="0" w:noHBand="0" w:noVBand="1"/>
      </w:tblPr>
      <w:tblGrid>
        <w:gridCol w:w="3660"/>
        <w:gridCol w:w="1360"/>
        <w:gridCol w:w="1480"/>
        <w:gridCol w:w="1240"/>
        <w:gridCol w:w="1240"/>
      </w:tblGrid>
      <w:tr w:rsidR="00C439F2" w:rsidRPr="00F06F79" w:rsidTr="00C439F2">
        <w:trPr>
          <w:trHeight w:val="576"/>
        </w:trPr>
        <w:tc>
          <w:tcPr>
            <w:tcW w:w="366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36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 début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exercice</w:t>
            </w:r>
          </w:p>
        </w:tc>
        <w:tc>
          <w:tcPr>
            <w:tcW w:w="148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Augmentation</w:t>
            </w:r>
          </w:p>
        </w:tc>
        <w:tc>
          <w:tcPr>
            <w:tcW w:w="124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Diminution</w:t>
            </w:r>
          </w:p>
        </w:tc>
        <w:tc>
          <w:tcPr>
            <w:tcW w:w="124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A la date de la situation</w:t>
            </w:r>
          </w:p>
        </w:tc>
      </w:tr>
      <w:tr w:rsidR="00C439F2" w:rsidRPr="00C73365" w:rsidTr="00C439F2">
        <w:trPr>
          <w:trHeight w:val="528"/>
        </w:trPr>
        <w:tc>
          <w:tcPr>
            <w:tcW w:w="366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postes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immobilisations incorporelles</w:t>
            </w:r>
          </w:p>
        </w:tc>
        <w:tc>
          <w:tcPr>
            <w:tcW w:w="136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w:t>
            </w:r>
          </w:p>
        </w:tc>
        <w:tc>
          <w:tcPr>
            <w:tcW w:w="148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w:t>
            </w:r>
          </w:p>
        </w:tc>
      </w:tr>
      <w:tr w:rsidR="00C439F2" w:rsidRPr="00C73365" w:rsidTr="00C439F2">
        <w:trPr>
          <w:trHeight w:val="288"/>
        </w:trPr>
        <w:tc>
          <w:tcPr>
            <w:tcW w:w="366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incorporelles</w:t>
            </w:r>
          </w:p>
        </w:tc>
        <w:tc>
          <w:tcPr>
            <w:tcW w:w="136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11</w:t>
            </w:r>
          </w:p>
        </w:tc>
        <w:tc>
          <w:tcPr>
            <w:tcW w:w="148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0</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0</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11</w:t>
            </w:r>
          </w:p>
        </w:tc>
      </w:tr>
      <w:tr w:rsidR="00C439F2" w:rsidRPr="00C73365" w:rsidTr="00C439F2">
        <w:trPr>
          <w:trHeight w:val="552"/>
        </w:trPr>
        <w:tc>
          <w:tcPr>
            <w:tcW w:w="366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rPr>
              <w:t></w:t>
            </w:r>
            <w:r w:rsidRPr="00C73365">
              <w:rPr>
                <w:rFonts w:asciiTheme="minorHAnsi" w:hAnsiTheme="minorHAnsi" w:cstheme="minorHAnsi"/>
                <w:color w:val="000000"/>
                <w:szCs w:val="20"/>
                <w:lang w:val="fr-FR"/>
              </w:rPr>
              <w:t>  Installations techniques, matériel et outillage industriels</w:t>
            </w:r>
          </w:p>
        </w:tc>
        <w:tc>
          <w:tcPr>
            <w:tcW w:w="136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148</w:t>
            </w:r>
          </w:p>
        </w:tc>
        <w:tc>
          <w:tcPr>
            <w:tcW w:w="148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62</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211</w:t>
            </w:r>
          </w:p>
        </w:tc>
      </w:tr>
      <w:tr w:rsidR="00C439F2" w:rsidRPr="00C73365" w:rsidTr="00C439F2">
        <w:trPr>
          <w:trHeight w:val="552"/>
        </w:trPr>
        <w:tc>
          <w:tcPr>
            <w:tcW w:w="366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rPr>
              <w:t></w:t>
            </w:r>
            <w:r w:rsidRPr="00C73365">
              <w:rPr>
                <w:rFonts w:asciiTheme="minorHAnsi" w:hAnsiTheme="minorHAnsi" w:cstheme="minorHAnsi"/>
                <w:color w:val="000000"/>
                <w:szCs w:val="20"/>
                <w:lang w:val="fr-FR"/>
              </w:rPr>
              <w:t>  Matériel de bureau et informatique, mobilier</w:t>
            </w:r>
          </w:p>
        </w:tc>
        <w:tc>
          <w:tcPr>
            <w:tcW w:w="136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45</w:t>
            </w:r>
          </w:p>
        </w:tc>
        <w:tc>
          <w:tcPr>
            <w:tcW w:w="148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21</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56</w:t>
            </w:r>
          </w:p>
        </w:tc>
      </w:tr>
      <w:tr w:rsidR="00C439F2" w:rsidRPr="00C73365" w:rsidTr="00C439F2">
        <w:trPr>
          <w:trHeight w:val="288"/>
        </w:trPr>
        <w:tc>
          <w:tcPr>
            <w:tcW w:w="366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corporelles</w:t>
            </w:r>
          </w:p>
        </w:tc>
        <w:tc>
          <w:tcPr>
            <w:tcW w:w="136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193</w:t>
            </w:r>
          </w:p>
        </w:tc>
        <w:tc>
          <w:tcPr>
            <w:tcW w:w="148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83</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10</w:t>
            </w: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26</w:t>
            </w:r>
            <w:r w:rsidR="00C73492" w:rsidRPr="00C73365">
              <w:rPr>
                <w:rFonts w:asciiTheme="minorHAnsi" w:hAnsiTheme="minorHAnsi" w:cstheme="minorHAnsi"/>
                <w:b/>
                <w:bCs/>
                <w:color w:val="000000"/>
                <w:szCs w:val="20"/>
              </w:rPr>
              <w:t>6</w:t>
            </w:r>
          </w:p>
        </w:tc>
      </w:tr>
      <w:tr w:rsidR="00C439F2" w:rsidRPr="00C73365" w:rsidTr="00C439F2">
        <w:trPr>
          <w:trHeight w:val="300"/>
        </w:trPr>
        <w:tc>
          <w:tcPr>
            <w:tcW w:w="3660" w:type="dxa"/>
            <w:tcBorders>
              <w:top w:val="nil"/>
              <w:left w:val="nil"/>
              <w:bottom w:val="single" w:sz="8" w:space="0" w:color="7030A0"/>
              <w:right w:val="nil"/>
            </w:tcBorders>
            <w:shd w:val="clear" w:color="auto" w:fill="auto"/>
            <w:noWrap/>
            <w:vAlign w:val="center"/>
            <w:hideMark/>
          </w:tcPr>
          <w:p w:rsidR="00C439F2" w:rsidRPr="00C73365" w:rsidRDefault="00C439F2"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Immobilisations financières</w:t>
            </w:r>
          </w:p>
        </w:tc>
        <w:tc>
          <w:tcPr>
            <w:tcW w:w="136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48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C439F2" w:rsidRPr="00C73365" w:rsidTr="00C439F2">
        <w:trPr>
          <w:trHeight w:val="300"/>
        </w:trPr>
        <w:tc>
          <w:tcPr>
            <w:tcW w:w="3660" w:type="dxa"/>
            <w:tcBorders>
              <w:top w:val="nil"/>
              <w:left w:val="nil"/>
              <w:bottom w:val="single" w:sz="8" w:space="0" w:color="7030A0"/>
              <w:right w:val="nil"/>
            </w:tcBorders>
            <w:shd w:val="clear" w:color="auto" w:fill="auto"/>
            <w:noWrap/>
            <w:vAlign w:val="center"/>
            <w:hideMark/>
          </w:tcPr>
          <w:p w:rsidR="00C439F2" w:rsidRPr="00C73365" w:rsidRDefault="00C439F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Actif immobilisé</w:t>
            </w:r>
          </w:p>
        </w:tc>
        <w:tc>
          <w:tcPr>
            <w:tcW w:w="136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204</w:t>
            </w:r>
          </w:p>
        </w:tc>
        <w:tc>
          <w:tcPr>
            <w:tcW w:w="148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83</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10</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27</w:t>
            </w:r>
            <w:r w:rsidR="00715262" w:rsidRPr="00C73365">
              <w:rPr>
                <w:rFonts w:asciiTheme="minorHAnsi" w:hAnsiTheme="minorHAnsi" w:cstheme="minorHAnsi"/>
                <w:color w:val="7030A0"/>
                <w:szCs w:val="20"/>
              </w:rPr>
              <w:t>7</w:t>
            </w:r>
          </w:p>
        </w:tc>
      </w:tr>
    </w:tbl>
    <w:p w:rsidR="00C439F2" w:rsidRPr="00C73365" w:rsidRDefault="00C439F2"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Dépréciation des actifs</w:t>
      </w:r>
    </w:p>
    <w:tbl>
      <w:tblPr>
        <w:tblW w:w="8980" w:type="dxa"/>
        <w:tblLook w:val="04A0" w:firstRow="1" w:lastRow="0" w:firstColumn="1" w:lastColumn="0" w:noHBand="0" w:noVBand="1"/>
      </w:tblPr>
      <w:tblGrid>
        <w:gridCol w:w="3660"/>
        <w:gridCol w:w="1367"/>
        <w:gridCol w:w="1393"/>
        <w:gridCol w:w="1193"/>
        <w:gridCol w:w="1367"/>
      </w:tblGrid>
      <w:tr w:rsidR="00C439F2" w:rsidRPr="00F06F79" w:rsidTr="00C439F2">
        <w:trPr>
          <w:trHeight w:val="852"/>
        </w:trPr>
        <w:tc>
          <w:tcPr>
            <w:tcW w:w="366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lastRenderedPageBreak/>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36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Dépréciations au début de l</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exercice</w:t>
            </w:r>
          </w:p>
        </w:tc>
        <w:tc>
          <w:tcPr>
            <w:tcW w:w="148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Dotations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exercice</w:t>
            </w:r>
          </w:p>
        </w:tc>
        <w:tc>
          <w:tcPr>
            <w:tcW w:w="124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Reprise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exercice</w:t>
            </w:r>
          </w:p>
        </w:tc>
        <w:tc>
          <w:tcPr>
            <w:tcW w:w="1240" w:type="dxa"/>
            <w:tcBorders>
              <w:top w:val="single" w:sz="12" w:space="0" w:color="7030A0"/>
              <w:left w:val="nil"/>
              <w:bottom w:val="single" w:sz="8" w:space="0" w:color="7030A0"/>
              <w:right w:val="nil"/>
            </w:tcBorders>
            <w:shd w:val="clear" w:color="auto" w:fill="auto"/>
            <w:vAlign w:val="center"/>
            <w:hideMark/>
          </w:tcPr>
          <w:p w:rsidR="00C439F2" w:rsidRPr="00C73365" w:rsidRDefault="00C439F2" w:rsidP="00A96CCA">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Dépréciations à la fin de l</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exercice</w:t>
            </w:r>
          </w:p>
        </w:tc>
      </w:tr>
      <w:tr w:rsidR="00C439F2" w:rsidRPr="00C73365" w:rsidTr="00C439F2">
        <w:trPr>
          <w:trHeight w:val="288"/>
        </w:trPr>
        <w:tc>
          <w:tcPr>
            <w:tcW w:w="3660" w:type="dxa"/>
            <w:tcBorders>
              <w:top w:val="nil"/>
              <w:left w:val="nil"/>
              <w:bottom w:val="nil"/>
              <w:right w:val="nil"/>
            </w:tcBorders>
            <w:shd w:val="clear" w:color="auto" w:fill="auto"/>
            <w:noWrap/>
            <w:vAlign w:val="center"/>
            <w:hideMark/>
          </w:tcPr>
          <w:p w:rsidR="00C439F2" w:rsidRPr="00C73365" w:rsidRDefault="00C439F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Immobilisations incorporelles</w:t>
            </w:r>
          </w:p>
        </w:tc>
        <w:tc>
          <w:tcPr>
            <w:tcW w:w="136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740</w:t>
            </w:r>
          </w:p>
        </w:tc>
        <w:tc>
          <w:tcPr>
            <w:tcW w:w="148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szCs w:val="20"/>
              </w:rPr>
            </w:pP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740</w:t>
            </w:r>
          </w:p>
        </w:tc>
      </w:tr>
      <w:tr w:rsidR="00C439F2" w:rsidRPr="00C73365" w:rsidTr="00C439F2">
        <w:trPr>
          <w:trHeight w:val="300"/>
        </w:trPr>
        <w:tc>
          <w:tcPr>
            <w:tcW w:w="3660" w:type="dxa"/>
            <w:tcBorders>
              <w:top w:val="nil"/>
              <w:left w:val="nil"/>
              <w:bottom w:val="single" w:sz="8" w:space="0" w:color="7030A0"/>
              <w:right w:val="nil"/>
            </w:tcBorders>
            <w:shd w:val="clear" w:color="auto" w:fill="auto"/>
            <w:noWrap/>
            <w:vAlign w:val="center"/>
            <w:hideMark/>
          </w:tcPr>
          <w:p w:rsidR="00C439F2" w:rsidRPr="00C73365" w:rsidRDefault="00C439F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Immobilisations financières</w:t>
            </w:r>
          </w:p>
        </w:tc>
        <w:tc>
          <w:tcPr>
            <w:tcW w:w="136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48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91</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91</w:t>
            </w:r>
          </w:p>
        </w:tc>
      </w:tr>
      <w:tr w:rsidR="00C439F2" w:rsidRPr="00C73365" w:rsidTr="00C439F2">
        <w:trPr>
          <w:trHeight w:val="300"/>
        </w:trPr>
        <w:tc>
          <w:tcPr>
            <w:tcW w:w="3660" w:type="dxa"/>
            <w:tcBorders>
              <w:top w:val="nil"/>
              <w:left w:val="nil"/>
              <w:bottom w:val="single" w:sz="8" w:space="0" w:color="7030A0"/>
              <w:right w:val="nil"/>
            </w:tcBorders>
            <w:shd w:val="clear" w:color="auto" w:fill="auto"/>
            <w:noWrap/>
            <w:vAlign w:val="center"/>
            <w:hideMark/>
          </w:tcPr>
          <w:p w:rsidR="00C439F2" w:rsidRPr="00C73365" w:rsidRDefault="00C439F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36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740</w:t>
            </w:r>
          </w:p>
        </w:tc>
        <w:tc>
          <w:tcPr>
            <w:tcW w:w="148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91</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831</w:t>
            </w:r>
          </w:p>
        </w:tc>
      </w:tr>
      <w:tr w:rsidR="00C439F2" w:rsidRPr="00F06F79" w:rsidTr="00C439F2">
        <w:trPr>
          <w:trHeight w:val="288"/>
        </w:trPr>
        <w:tc>
          <w:tcPr>
            <w:tcW w:w="3660" w:type="dxa"/>
            <w:tcBorders>
              <w:top w:val="nil"/>
              <w:left w:val="nil"/>
              <w:bottom w:val="nil"/>
              <w:right w:val="nil"/>
            </w:tcBorders>
            <w:shd w:val="clear" w:color="auto" w:fill="auto"/>
            <w:noWrap/>
            <w:vAlign w:val="center"/>
            <w:hideMark/>
          </w:tcPr>
          <w:p w:rsidR="00C439F2" w:rsidRPr="00C73365" w:rsidRDefault="00C439F2" w:rsidP="00A96CCA">
            <w:pPr>
              <w:spacing w:after="0"/>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Répartition des dotations et reprises:</w:t>
            </w:r>
          </w:p>
        </w:tc>
        <w:tc>
          <w:tcPr>
            <w:tcW w:w="1360" w:type="dxa"/>
            <w:tcBorders>
              <w:top w:val="nil"/>
              <w:left w:val="nil"/>
              <w:bottom w:val="nil"/>
              <w:right w:val="nil"/>
            </w:tcBorders>
            <w:shd w:val="clear" w:color="auto" w:fill="auto"/>
            <w:noWrap/>
            <w:vAlign w:val="center"/>
            <w:hideMark/>
          </w:tcPr>
          <w:p w:rsidR="00C439F2" w:rsidRPr="00C73365" w:rsidRDefault="00C439F2" w:rsidP="00A96CCA">
            <w:pPr>
              <w:spacing w:after="0"/>
              <w:rPr>
                <w:rFonts w:asciiTheme="minorHAnsi" w:hAnsiTheme="minorHAnsi" w:cstheme="minorHAnsi"/>
                <w:b/>
                <w:bCs/>
                <w:color w:val="000000"/>
                <w:szCs w:val="20"/>
                <w:lang w:val="fr-FR"/>
              </w:rPr>
            </w:pPr>
          </w:p>
        </w:tc>
        <w:tc>
          <w:tcPr>
            <w:tcW w:w="148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szCs w:val="20"/>
                <w:lang w:val="fr-FR"/>
              </w:rPr>
            </w:pP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szCs w:val="20"/>
                <w:lang w:val="fr-FR"/>
              </w:rPr>
            </w:pPr>
          </w:p>
        </w:tc>
        <w:tc>
          <w:tcPr>
            <w:tcW w:w="1240" w:type="dxa"/>
            <w:tcBorders>
              <w:top w:val="nil"/>
              <w:left w:val="nil"/>
              <w:bottom w:val="nil"/>
              <w:right w:val="nil"/>
            </w:tcBorders>
            <w:shd w:val="clear" w:color="auto" w:fill="auto"/>
            <w:vAlign w:val="center"/>
            <w:hideMark/>
          </w:tcPr>
          <w:p w:rsidR="00C439F2" w:rsidRPr="00C73365" w:rsidRDefault="00C439F2" w:rsidP="00A96CCA">
            <w:pPr>
              <w:spacing w:after="0"/>
              <w:rPr>
                <w:rFonts w:asciiTheme="minorHAnsi" w:hAnsiTheme="minorHAnsi" w:cstheme="minorHAnsi"/>
                <w:szCs w:val="20"/>
                <w:lang w:val="fr-FR"/>
              </w:rPr>
            </w:pPr>
          </w:p>
        </w:tc>
      </w:tr>
      <w:tr w:rsidR="00C439F2" w:rsidRPr="00C73365" w:rsidTr="00C439F2">
        <w:trPr>
          <w:trHeight w:val="300"/>
        </w:trPr>
        <w:tc>
          <w:tcPr>
            <w:tcW w:w="3660" w:type="dxa"/>
            <w:tcBorders>
              <w:top w:val="nil"/>
              <w:left w:val="nil"/>
              <w:bottom w:val="single" w:sz="8" w:space="0" w:color="7030A0"/>
              <w:right w:val="nil"/>
            </w:tcBorders>
            <w:shd w:val="clear" w:color="auto" w:fill="auto"/>
            <w:noWrap/>
            <w:vAlign w:val="center"/>
            <w:hideMark/>
          </w:tcPr>
          <w:p w:rsidR="00C439F2" w:rsidRPr="00C73365" w:rsidRDefault="00C439F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Exceptionnelles</w:t>
            </w:r>
          </w:p>
        </w:tc>
        <w:tc>
          <w:tcPr>
            <w:tcW w:w="136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48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91</w:t>
            </w: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p>
        </w:tc>
        <w:tc>
          <w:tcPr>
            <w:tcW w:w="1240" w:type="dxa"/>
            <w:tcBorders>
              <w:top w:val="nil"/>
              <w:left w:val="nil"/>
              <w:bottom w:val="single" w:sz="8" w:space="0" w:color="7030A0"/>
              <w:right w:val="nil"/>
            </w:tcBorders>
            <w:shd w:val="clear" w:color="auto" w:fill="auto"/>
            <w:vAlign w:val="center"/>
            <w:hideMark/>
          </w:tcPr>
          <w:p w:rsidR="00C439F2" w:rsidRPr="00C73365" w:rsidRDefault="00C439F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r>
    </w:tbl>
    <w:p w:rsidR="00C439F2" w:rsidRPr="00C73365" w:rsidRDefault="00C439F2" w:rsidP="00A96CCA">
      <w:pPr>
        <w:spacing w:after="0"/>
        <w:ind w:right="-2"/>
        <w:rPr>
          <w:rFonts w:asciiTheme="minorHAnsi" w:eastAsia="MS Mincho" w:hAnsiTheme="minorHAnsi" w:cstheme="minorHAnsi"/>
          <w:b/>
          <w:color w:val="9032B8"/>
          <w:szCs w:val="20"/>
          <w:lang w:val="fr-FR" w:eastAsia="fr-FR"/>
        </w:rPr>
      </w:pPr>
    </w:p>
    <w:p w:rsidR="00715262" w:rsidRPr="00C73365" w:rsidRDefault="00715262" w:rsidP="00A96CCA">
      <w:pPr>
        <w:spacing w:after="0"/>
        <w:ind w:right="-2"/>
        <w:rPr>
          <w:rFonts w:asciiTheme="minorHAnsi" w:eastAsia="MS Mincho" w:hAnsiTheme="minorHAnsi" w:cstheme="minorHAnsi"/>
          <w:b/>
          <w:color w:val="9032B8"/>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NOTE 4 – CREANCES</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Lis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total des créances à la clôture de l’exercice s’élève à </w:t>
      </w:r>
    </w:p>
    <w:p w:rsidR="00F46C7B" w:rsidRPr="00C73365" w:rsidRDefault="00C439F2" w:rsidP="004572A0">
      <w:pPr>
        <w:pStyle w:val="Lis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4 282</w:t>
      </w:r>
      <w:r w:rsidR="00F46C7B" w:rsidRPr="00C73365">
        <w:rPr>
          <w:rFonts w:asciiTheme="minorHAnsi" w:eastAsia="MS Mincho" w:hAnsiTheme="minorHAnsi" w:cstheme="minorHAnsi"/>
          <w:lang w:val="fr-FR" w:eastAsia="fr-FR"/>
        </w:rPr>
        <w:t xml:space="preserve"> </w:t>
      </w:r>
      <w:r w:rsidR="00EF089C" w:rsidRPr="00C73365">
        <w:rPr>
          <w:rFonts w:asciiTheme="minorHAnsi" w:eastAsia="MS Mincho" w:hAnsiTheme="minorHAnsi" w:cstheme="minorHAnsi"/>
          <w:lang w:val="fr-FR" w:eastAsia="fr-FR"/>
        </w:rPr>
        <w:t>K€</w:t>
      </w:r>
      <w:r w:rsidR="00F46C7B" w:rsidRPr="00C73365">
        <w:rPr>
          <w:rFonts w:asciiTheme="minorHAnsi" w:eastAsia="MS Mincho" w:hAnsiTheme="minorHAnsi" w:cstheme="minorHAnsi"/>
          <w:lang w:val="fr-FR" w:eastAsia="fr-FR"/>
        </w:rPr>
        <w:t xml:space="preserve"> et le classement détaillé </w:t>
      </w:r>
      <w:r w:rsidR="00F46C7B" w:rsidRPr="00C73365">
        <w:rPr>
          <w:rFonts w:asciiTheme="minorHAnsi" w:eastAsia="MS Mincho" w:hAnsiTheme="minorHAnsi" w:cstheme="minorHAnsi"/>
          <w:lang w:val="fr-FR" w:eastAsia="fr-FR"/>
        </w:rPr>
        <w:br w:type="column"/>
      </w:r>
      <w:r w:rsidR="00F46C7B" w:rsidRPr="00C73365">
        <w:rPr>
          <w:rFonts w:asciiTheme="minorHAnsi" w:eastAsia="MS Mincho" w:hAnsiTheme="minorHAnsi" w:cstheme="minorHAnsi"/>
          <w:lang w:val="fr-FR" w:eastAsia="fr-FR"/>
        </w:rPr>
        <w:t>par échéance s’établit comme suit :</w:t>
      </w:r>
    </w:p>
    <w:p w:rsidR="00F46C7B" w:rsidRPr="00C73365" w:rsidRDefault="00F46C7B" w:rsidP="004572A0">
      <w:pPr>
        <w:pStyle w:val="Lis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A96CCA">
      <w:pPr>
        <w:spacing w:after="0"/>
        <w:ind w:right="-2"/>
        <w:rPr>
          <w:rFonts w:asciiTheme="minorHAnsi" w:eastAsia="MS Mincho" w:hAnsiTheme="minorHAnsi" w:cstheme="minorHAnsi"/>
          <w:szCs w:val="20"/>
          <w:lang w:val="fr-FR" w:eastAsia="fr-FR"/>
        </w:rPr>
      </w:pPr>
    </w:p>
    <w:tbl>
      <w:tblPr>
        <w:tblW w:w="6700" w:type="dxa"/>
        <w:tblLook w:val="04A0" w:firstRow="1" w:lastRow="0" w:firstColumn="1" w:lastColumn="0" w:noHBand="0" w:noVBand="1"/>
      </w:tblPr>
      <w:tblGrid>
        <w:gridCol w:w="3280"/>
        <w:gridCol w:w="1100"/>
        <w:gridCol w:w="1160"/>
        <w:gridCol w:w="1160"/>
      </w:tblGrid>
      <w:tr w:rsidR="00774F13" w:rsidRPr="00F06F79" w:rsidTr="00774F13">
        <w:trPr>
          <w:trHeight w:val="852"/>
        </w:trPr>
        <w:tc>
          <w:tcPr>
            <w:tcW w:w="3280" w:type="dxa"/>
            <w:tcBorders>
              <w:top w:val="single" w:sz="12" w:space="0" w:color="7030A0"/>
              <w:left w:val="nil"/>
              <w:bottom w:val="single" w:sz="8" w:space="0" w:color="7030A0"/>
              <w:right w:val="nil"/>
            </w:tcBorders>
            <w:shd w:val="clear" w:color="auto" w:fill="auto"/>
            <w:vAlign w:val="center"/>
            <w:hideMark/>
          </w:tcPr>
          <w:p w:rsidR="00774F13" w:rsidRPr="00C73365" w:rsidRDefault="00774F13"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100" w:type="dxa"/>
            <w:tcBorders>
              <w:top w:val="single" w:sz="12" w:space="0" w:color="7030A0"/>
              <w:left w:val="nil"/>
              <w:bottom w:val="single" w:sz="8" w:space="0" w:color="7030A0"/>
              <w:right w:val="nil"/>
            </w:tcBorders>
            <w:shd w:val="clear" w:color="auto" w:fill="auto"/>
            <w:vAlign w:val="center"/>
            <w:hideMark/>
          </w:tcPr>
          <w:p w:rsidR="00774F13" w:rsidRPr="00C73365" w:rsidRDefault="00774F13"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Montant brut</w:t>
            </w:r>
          </w:p>
        </w:tc>
        <w:tc>
          <w:tcPr>
            <w:tcW w:w="1160" w:type="dxa"/>
            <w:tcBorders>
              <w:top w:val="single" w:sz="12" w:space="0" w:color="7030A0"/>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Échéances à moins d</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un an</w:t>
            </w:r>
          </w:p>
        </w:tc>
        <w:tc>
          <w:tcPr>
            <w:tcW w:w="1160" w:type="dxa"/>
            <w:tcBorders>
              <w:top w:val="single" w:sz="12" w:space="0" w:color="7030A0"/>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Échéances à plus d</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un an</w:t>
            </w:r>
          </w:p>
        </w:tc>
      </w:tr>
      <w:tr w:rsidR="00774F13" w:rsidRPr="00C73365" w:rsidTr="00774F13">
        <w:trPr>
          <w:trHeight w:val="288"/>
        </w:trPr>
        <w:tc>
          <w:tcPr>
            <w:tcW w:w="328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immobilisations financières</w:t>
            </w:r>
          </w:p>
        </w:tc>
        <w:tc>
          <w:tcPr>
            <w:tcW w:w="110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438</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438</w:t>
            </w:r>
          </w:p>
        </w:tc>
      </w:tr>
      <w:tr w:rsidR="00774F13" w:rsidRPr="00C73365" w:rsidTr="00774F13">
        <w:trPr>
          <w:trHeight w:val="288"/>
        </w:trPr>
        <w:tc>
          <w:tcPr>
            <w:tcW w:w="328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Créances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actif circulant:</w:t>
            </w:r>
          </w:p>
        </w:tc>
        <w:tc>
          <w:tcPr>
            <w:tcW w:w="110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b/>
                <w:bCs/>
                <w:color w:val="000000"/>
                <w:szCs w:val="20"/>
              </w:rPr>
            </w:pP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szCs w:val="20"/>
              </w:rPr>
            </w:pP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szCs w:val="20"/>
              </w:rPr>
            </w:pPr>
          </w:p>
        </w:tc>
      </w:tr>
      <w:tr w:rsidR="00774F13" w:rsidRPr="00C73365" w:rsidTr="00774F13">
        <w:trPr>
          <w:trHeight w:val="552"/>
        </w:trPr>
        <w:tc>
          <w:tcPr>
            <w:tcW w:w="328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Avances et acomptes versés sur commandes</w:t>
            </w:r>
          </w:p>
        </w:tc>
        <w:tc>
          <w:tcPr>
            <w:tcW w:w="110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12</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12</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p>
        </w:tc>
      </w:tr>
      <w:tr w:rsidR="00774F13" w:rsidRPr="00C73365" w:rsidTr="00774F13">
        <w:trPr>
          <w:trHeight w:val="288"/>
        </w:trPr>
        <w:tc>
          <w:tcPr>
            <w:tcW w:w="328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Personnel et comptes rattachés</w:t>
            </w:r>
          </w:p>
        </w:tc>
        <w:tc>
          <w:tcPr>
            <w:tcW w:w="110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p>
        </w:tc>
      </w:tr>
      <w:tr w:rsidR="00774F13" w:rsidRPr="00C73365" w:rsidTr="00774F13">
        <w:trPr>
          <w:trHeight w:val="288"/>
        </w:trPr>
        <w:tc>
          <w:tcPr>
            <w:tcW w:w="328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Impôts sur les bénéfices</w:t>
            </w:r>
          </w:p>
        </w:tc>
        <w:tc>
          <w:tcPr>
            <w:tcW w:w="110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2 766</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2 766</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p>
        </w:tc>
      </w:tr>
      <w:tr w:rsidR="00774F13" w:rsidRPr="00C73365" w:rsidTr="00774F13">
        <w:trPr>
          <w:trHeight w:val="288"/>
        </w:trPr>
        <w:tc>
          <w:tcPr>
            <w:tcW w:w="3280" w:type="dxa"/>
            <w:tcBorders>
              <w:top w:val="nil"/>
              <w:left w:val="nil"/>
              <w:bottom w:val="nil"/>
              <w:right w:val="nil"/>
            </w:tcBorders>
            <w:shd w:val="clear" w:color="auto" w:fill="auto"/>
            <w:vAlign w:val="center"/>
            <w:hideMark/>
          </w:tcPr>
          <w:p w:rsidR="00774F13" w:rsidRPr="00C73365" w:rsidRDefault="00774F13"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Taxe sur la Valeur Ajoutée</w:t>
            </w:r>
          </w:p>
        </w:tc>
        <w:tc>
          <w:tcPr>
            <w:tcW w:w="110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878</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878</w:t>
            </w:r>
          </w:p>
        </w:tc>
        <w:tc>
          <w:tcPr>
            <w:tcW w:w="1160" w:type="dxa"/>
            <w:tcBorders>
              <w:top w:val="nil"/>
              <w:left w:val="nil"/>
              <w:bottom w:val="nil"/>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p>
        </w:tc>
      </w:tr>
      <w:tr w:rsidR="00774F13" w:rsidRPr="00C73365" w:rsidTr="00774F13">
        <w:trPr>
          <w:trHeight w:val="300"/>
        </w:trPr>
        <w:tc>
          <w:tcPr>
            <w:tcW w:w="328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Charges constatées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avance</w:t>
            </w:r>
          </w:p>
        </w:tc>
        <w:tc>
          <w:tcPr>
            <w:tcW w:w="110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186</w:t>
            </w:r>
          </w:p>
        </w:tc>
        <w:tc>
          <w:tcPr>
            <w:tcW w:w="116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186</w:t>
            </w:r>
          </w:p>
        </w:tc>
        <w:tc>
          <w:tcPr>
            <w:tcW w:w="116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774F13" w:rsidRPr="00C73365" w:rsidTr="00774F13">
        <w:trPr>
          <w:trHeight w:val="300"/>
        </w:trPr>
        <w:tc>
          <w:tcPr>
            <w:tcW w:w="328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10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4 282</w:t>
            </w:r>
          </w:p>
        </w:tc>
        <w:tc>
          <w:tcPr>
            <w:tcW w:w="116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3 844</w:t>
            </w:r>
          </w:p>
        </w:tc>
        <w:tc>
          <w:tcPr>
            <w:tcW w:w="1160" w:type="dxa"/>
            <w:tcBorders>
              <w:top w:val="nil"/>
              <w:left w:val="nil"/>
              <w:bottom w:val="single" w:sz="8" w:space="0" w:color="7030A0"/>
              <w:right w:val="nil"/>
            </w:tcBorders>
            <w:shd w:val="clear" w:color="auto" w:fill="auto"/>
            <w:vAlign w:val="center"/>
            <w:hideMark/>
          </w:tcPr>
          <w:p w:rsidR="00774F13" w:rsidRPr="00C73365" w:rsidRDefault="00774F13"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438</w:t>
            </w:r>
          </w:p>
        </w:tc>
      </w:tr>
    </w:tbl>
    <w:p w:rsidR="00F46C7B" w:rsidRPr="00C73365" w:rsidRDefault="00F46C7B" w:rsidP="00A96CCA">
      <w:pPr>
        <w:spacing w:after="0"/>
        <w:ind w:right="-2"/>
        <w:rPr>
          <w:rFonts w:asciiTheme="minorHAnsi" w:eastAsia="MS Mincho" w:hAnsiTheme="minorHAnsi" w:cstheme="minorHAnsi"/>
          <w:szCs w:val="20"/>
          <w:lang w:val="fr-FR" w:eastAsia="fr-FR"/>
        </w:rPr>
      </w:pPr>
    </w:p>
    <w:p w:rsidR="00F46C7B" w:rsidRPr="00C73365" w:rsidRDefault="00F46C7B"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r w:rsidRPr="00C73365">
        <w:rPr>
          <w:rFonts w:asciiTheme="minorHAnsi" w:eastAsia="MS Mincho" w:hAnsiTheme="minorHAnsi" w:cstheme="minorHAnsi"/>
          <w:lang w:val="fr-FR" w:eastAsia="fr-FR"/>
        </w:rPr>
        <w:t xml:space="preserve">Les créances de l’actif immobilisé correspondent au montant disponible </w:t>
      </w:r>
      <w:r w:rsidRPr="00C73365">
        <w:rPr>
          <w:rFonts w:asciiTheme="minorHAnsi" w:eastAsia="MS Mincho" w:hAnsiTheme="minorHAnsi" w:cstheme="minorHAnsi"/>
          <w:lang w:val="fr-FR" w:eastAsia="fr-FR"/>
        </w:rPr>
        <w:br w:type="column"/>
      </w:r>
      <w:r w:rsidRPr="00C73365">
        <w:rPr>
          <w:rFonts w:asciiTheme="minorHAnsi" w:eastAsia="MS Mincho" w:hAnsiTheme="minorHAnsi" w:cstheme="minorHAnsi"/>
          <w:lang w:val="fr-FR" w:eastAsia="fr-FR"/>
        </w:rPr>
        <w:t>sur le contrat de liquidité souscrit par la société et aux dépôts et cautionnements versés par la société</w:t>
      </w:r>
    </w:p>
    <w:tbl>
      <w:tblPr>
        <w:tblW w:w="6223" w:type="dxa"/>
        <w:tblCellMar>
          <w:left w:w="70" w:type="dxa"/>
          <w:right w:w="70" w:type="dxa"/>
        </w:tblCellMar>
        <w:tblLook w:val="04A0" w:firstRow="1" w:lastRow="0" w:firstColumn="1" w:lastColumn="0" w:noHBand="0" w:noVBand="1"/>
      </w:tblPr>
      <w:tblGrid>
        <w:gridCol w:w="5030"/>
        <w:gridCol w:w="1193"/>
      </w:tblGrid>
      <w:tr w:rsidR="00F46C7B" w:rsidRPr="00C73365" w:rsidTr="00BB083E">
        <w:trPr>
          <w:trHeight w:val="322"/>
        </w:trPr>
        <w:tc>
          <w:tcPr>
            <w:tcW w:w="5030"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193"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Montant</w:t>
            </w:r>
          </w:p>
        </w:tc>
      </w:tr>
      <w:tr w:rsidR="00F46C7B" w:rsidRPr="00C73365" w:rsidTr="00BB083E">
        <w:trPr>
          <w:trHeight w:val="298"/>
        </w:trPr>
        <w:tc>
          <w:tcPr>
            <w:tcW w:w="5030"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Solde sur CIR 2014 à recevoir (intérêts moratoires inclus)</w:t>
            </w:r>
          </w:p>
        </w:tc>
        <w:tc>
          <w:tcPr>
            <w:tcW w:w="1193" w:type="dxa"/>
            <w:tcBorders>
              <w:top w:val="nil"/>
              <w:left w:val="nil"/>
              <w:bottom w:val="nil"/>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122 </w:t>
            </w:r>
            <w:r w:rsidR="00EF089C" w:rsidRPr="00C73365">
              <w:rPr>
                <w:rFonts w:asciiTheme="minorHAnsi" w:hAnsiTheme="minorHAnsi" w:cstheme="minorHAnsi"/>
                <w:color w:val="000000"/>
                <w:szCs w:val="20"/>
                <w:lang w:val="fr-FR" w:eastAsia="fr-FR"/>
              </w:rPr>
              <w:t>K€</w:t>
            </w:r>
          </w:p>
        </w:tc>
      </w:tr>
      <w:tr w:rsidR="00F46C7B" w:rsidRPr="00C73365" w:rsidTr="00BB083E">
        <w:trPr>
          <w:trHeight w:val="298"/>
        </w:trPr>
        <w:tc>
          <w:tcPr>
            <w:tcW w:w="5030"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CIR au 31/12/</w:t>
            </w:r>
            <w:r w:rsidR="00774F13" w:rsidRPr="00C73365">
              <w:rPr>
                <w:rFonts w:asciiTheme="minorHAnsi" w:hAnsiTheme="minorHAnsi" w:cstheme="minorHAnsi"/>
                <w:color w:val="000000"/>
                <w:szCs w:val="20"/>
                <w:lang w:val="fr-FR" w:eastAsia="fr-FR"/>
              </w:rPr>
              <w:t>2017</w:t>
            </w:r>
          </w:p>
        </w:tc>
        <w:tc>
          <w:tcPr>
            <w:tcW w:w="1193" w:type="dxa"/>
            <w:tcBorders>
              <w:top w:val="nil"/>
              <w:left w:val="nil"/>
              <w:bottom w:val="nil"/>
              <w:right w:val="nil"/>
            </w:tcBorders>
            <w:shd w:val="clear" w:color="auto" w:fill="auto"/>
            <w:noWrap/>
            <w:vAlign w:val="center"/>
            <w:hideMark/>
          </w:tcPr>
          <w:p w:rsidR="00F46C7B" w:rsidRPr="00C73365" w:rsidRDefault="00774F13"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2 632</w:t>
            </w:r>
            <w:r w:rsidR="00F46C7B" w:rsidRPr="00C73365">
              <w:rPr>
                <w:rFonts w:asciiTheme="minorHAnsi" w:hAnsiTheme="minorHAnsi" w:cstheme="minorHAnsi"/>
                <w:color w:val="000000"/>
                <w:szCs w:val="20"/>
                <w:lang w:val="fr-FR" w:eastAsia="fr-FR"/>
              </w:rPr>
              <w:t xml:space="preserve"> </w:t>
            </w:r>
            <w:r w:rsidR="00EF089C" w:rsidRPr="00C73365">
              <w:rPr>
                <w:rFonts w:asciiTheme="minorHAnsi" w:hAnsiTheme="minorHAnsi" w:cstheme="minorHAnsi"/>
                <w:color w:val="000000"/>
                <w:szCs w:val="20"/>
                <w:lang w:val="fr-FR" w:eastAsia="fr-FR"/>
              </w:rPr>
              <w:t>K€</w:t>
            </w:r>
          </w:p>
        </w:tc>
      </w:tr>
      <w:tr w:rsidR="00F46C7B" w:rsidRPr="00C73365" w:rsidTr="00BB083E">
        <w:trPr>
          <w:trHeight w:val="298"/>
        </w:trPr>
        <w:tc>
          <w:tcPr>
            <w:tcW w:w="5030" w:type="dxa"/>
            <w:tcBorders>
              <w:top w:val="nil"/>
              <w:left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CICE au 31 décembre </w:t>
            </w:r>
            <w:r w:rsidR="00774F13" w:rsidRPr="00C73365">
              <w:rPr>
                <w:rFonts w:asciiTheme="minorHAnsi" w:hAnsiTheme="minorHAnsi" w:cstheme="minorHAnsi"/>
                <w:color w:val="000000"/>
                <w:szCs w:val="20"/>
                <w:lang w:val="fr-FR" w:eastAsia="fr-FR"/>
              </w:rPr>
              <w:t>2017</w:t>
            </w:r>
          </w:p>
        </w:tc>
        <w:tc>
          <w:tcPr>
            <w:tcW w:w="1193" w:type="dxa"/>
            <w:tcBorders>
              <w:top w:val="nil"/>
              <w:left w:val="nil"/>
              <w:right w:val="nil"/>
            </w:tcBorders>
            <w:shd w:val="clear" w:color="auto" w:fill="auto"/>
            <w:noWrap/>
            <w:vAlign w:val="center"/>
            <w:hideMark/>
          </w:tcPr>
          <w:p w:rsidR="00F46C7B" w:rsidRPr="00C73365" w:rsidRDefault="00774F13"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12 </w:t>
            </w:r>
            <w:r w:rsidR="00EF089C" w:rsidRPr="00C73365">
              <w:rPr>
                <w:rFonts w:asciiTheme="minorHAnsi" w:hAnsiTheme="minorHAnsi" w:cstheme="minorHAnsi"/>
                <w:color w:val="000000"/>
                <w:szCs w:val="20"/>
                <w:lang w:val="fr-FR" w:eastAsia="fr-FR"/>
              </w:rPr>
              <w:t>K€</w:t>
            </w:r>
          </w:p>
        </w:tc>
      </w:tr>
      <w:tr w:rsidR="00F46C7B" w:rsidRPr="00C73365" w:rsidTr="00BB083E">
        <w:trPr>
          <w:trHeight w:val="298"/>
        </w:trPr>
        <w:tc>
          <w:tcPr>
            <w:tcW w:w="5030" w:type="dxa"/>
            <w:tcBorders>
              <w:top w:val="nil"/>
              <w:left w:val="nil"/>
              <w:bottom w:val="single" w:sz="4"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TVA déductible et crédits de TVA</w:t>
            </w:r>
          </w:p>
        </w:tc>
        <w:tc>
          <w:tcPr>
            <w:tcW w:w="1193" w:type="dxa"/>
            <w:tcBorders>
              <w:top w:val="nil"/>
              <w:left w:val="nil"/>
              <w:bottom w:val="single" w:sz="4" w:space="0" w:color="7030A0"/>
              <w:right w:val="nil"/>
            </w:tcBorders>
            <w:shd w:val="clear" w:color="auto" w:fill="auto"/>
            <w:noWrap/>
            <w:vAlign w:val="center"/>
            <w:hideMark/>
          </w:tcPr>
          <w:p w:rsidR="00F46C7B" w:rsidRPr="00C73365" w:rsidRDefault="00774F13"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878</w:t>
            </w:r>
            <w:r w:rsidR="00F46C7B" w:rsidRPr="00C73365">
              <w:rPr>
                <w:rFonts w:asciiTheme="minorHAnsi" w:hAnsiTheme="minorHAnsi" w:cstheme="minorHAnsi"/>
                <w:color w:val="000000"/>
                <w:szCs w:val="20"/>
                <w:lang w:val="fr-FR" w:eastAsia="fr-FR"/>
              </w:rPr>
              <w:t xml:space="preserve"> </w:t>
            </w:r>
            <w:r w:rsidR="00EF089C" w:rsidRPr="00C73365">
              <w:rPr>
                <w:rFonts w:asciiTheme="minorHAnsi" w:hAnsiTheme="minorHAnsi" w:cstheme="minorHAnsi"/>
                <w:color w:val="000000"/>
                <w:szCs w:val="20"/>
                <w:lang w:val="fr-FR" w:eastAsia="fr-FR"/>
              </w:rPr>
              <w:t>K€</w:t>
            </w:r>
          </w:p>
        </w:tc>
      </w:tr>
    </w:tbl>
    <w:p w:rsidR="00F46C7B" w:rsidRPr="00C73365" w:rsidRDefault="00F46C7B" w:rsidP="00A96CCA">
      <w:pPr>
        <w:spacing w:after="0"/>
        <w:ind w:right="-2"/>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Charges constatées d’avance</w:t>
      </w:r>
    </w:p>
    <w:tbl>
      <w:tblPr>
        <w:tblW w:w="5916" w:type="dxa"/>
        <w:tblCellMar>
          <w:left w:w="70" w:type="dxa"/>
          <w:right w:w="70" w:type="dxa"/>
        </w:tblCellMar>
        <w:tblLook w:val="04A0" w:firstRow="1" w:lastRow="0" w:firstColumn="1" w:lastColumn="0" w:noHBand="0" w:noVBand="1"/>
      </w:tblPr>
      <w:tblGrid>
        <w:gridCol w:w="2079"/>
        <w:gridCol w:w="1306"/>
        <w:gridCol w:w="1086"/>
        <w:gridCol w:w="1445"/>
      </w:tblGrid>
      <w:tr w:rsidR="00F46C7B" w:rsidRPr="00C73365" w:rsidTr="00D22228">
        <w:trPr>
          <w:trHeight w:val="742"/>
        </w:trPr>
        <w:tc>
          <w:tcPr>
            <w:tcW w:w="2533"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076"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Charges d</w:t>
            </w:r>
            <w:r w:rsidR="004572A0" w:rsidRPr="00C73365">
              <w:rPr>
                <w:rFonts w:asciiTheme="minorHAnsi" w:hAnsiTheme="minorHAnsi" w:cstheme="minorHAnsi"/>
                <w:b/>
                <w:bCs/>
                <w:color w:val="000000"/>
                <w:szCs w:val="20"/>
                <w:lang w:val="fr-FR" w:eastAsia="fr-FR"/>
              </w:rPr>
              <w:t>’</w:t>
            </w:r>
            <w:r w:rsidRPr="00C73365">
              <w:rPr>
                <w:rFonts w:asciiTheme="minorHAnsi" w:hAnsiTheme="minorHAnsi" w:cstheme="minorHAnsi"/>
                <w:b/>
                <w:bCs/>
                <w:color w:val="000000"/>
                <w:szCs w:val="20"/>
                <w:lang w:val="fr-FR" w:eastAsia="fr-FR"/>
              </w:rPr>
              <w:t>exploitation</w:t>
            </w:r>
          </w:p>
        </w:tc>
        <w:tc>
          <w:tcPr>
            <w:tcW w:w="1101"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Charges financières</w:t>
            </w:r>
          </w:p>
        </w:tc>
        <w:tc>
          <w:tcPr>
            <w:tcW w:w="1206"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Charges exceptionnelles</w:t>
            </w:r>
          </w:p>
        </w:tc>
      </w:tr>
      <w:tr w:rsidR="00F46C7B" w:rsidRPr="00C73365" w:rsidTr="00D22228">
        <w:trPr>
          <w:trHeight w:val="261"/>
        </w:trPr>
        <w:tc>
          <w:tcPr>
            <w:tcW w:w="253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Charges constatées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avances</w:t>
            </w:r>
          </w:p>
        </w:tc>
        <w:tc>
          <w:tcPr>
            <w:tcW w:w="1076" w:type="dxa"/>
            <w:tcBorders>
              <w:top w:val="nil"/>
              <w:left w:val="nil"/>
              <w:bottom w:val="single" w:sz="8" w:space="0" w:color="7030A0"/>
              <w:right w:val="nil"/>
            </w:tcBorders>
            <w:shd w:val="clear" w:color="auto" w:fill="auto"/>
            <w:vAlign w:val="center"/>
            <w:hideMark/>
          </w:tcPr>
          <w:p w:rsidR="00F46C7B" w:rsidRPr="00C73365" w:rsidRDefault="00975B62"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186</w:t>
            </w:r>
          </w:p>
        </w:tc>
        <w:tc>
          <w:tcPr>
            <w:tcW w:w="11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20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F46C7B" w:rsidRPr="00C73365" w:rsidTr="00D22228">
        <w:trPr>
          <w:trHeight w:val="345"/>
        </w:trPr>
        <w:tc>
          <w:tcPr>
            <w:tcW w:w="253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Total</w:t>
            </w:r>
          </w:p>
        </w:tc>
        <w:tc>
          <w:tcPr>
            <w:tcW w:w="1076" w:type="dxa"/>
            <w:tcBorders>
              <w:top w:val="nil"/>
              <w:left w:val="nil"/>
              <w:bottom w:val="single" w:sz="8" w:space="0" w:color="7030A0"/>
              <w:right w:val="nil"/>
            </w:tcBorders>
            <w:shd w:val="clear" w:color="auto" w:fill="auto"/>
            <w:vAlign w:val="center"/>
            <w:hideMark/>
          </w:tcPr>
          <w:p w:rsidR="00F46C7B" w:rsidRPr="00C73365" w:rsidRDefault="00975B62"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186</w:t>
            </w:r>
          </w:p>
        </w:tc>
        <w:tc>
          <w:tcPr>
            <w:tcW w:w="11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c>
          <w:tcPr>
            <w:tcW w:w="120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 </w:t>
            </w:r>
          </w:p>
        </w:tc>
      </w:tr>
    </w:tbl>
    <w:p w:rsidR="00F46C7B" w:rsidRPr="00C73365" w:rsidRDefault="00F46C7B" w:rsidP="00A96CCA">
      <w:pPr>
        <w:spacing w:after="0"/>
        <w:ind w:right="-2"/>
        <w:rPr>
          <w:rFonts w:asciiTheme="minorHAnsi" w:eastAsia="MS Mincho" w:hAnsiTheme="minorHAnsi" w:cstheme="minorHAnsi"/>
          <w:b/>
          <w:color w:val="9032B8"/>
          <w:szCs w:val="20"/>
          <w:lang w:val="fr-FR" w:eastAsia="fr-FR"/>
        </w:rPr>
      </w:pPr>
    </w:p>
    <w:p w:rsidR="00823C67" w:rsidRDefault="00823C67" w:rsidP="004572A0">
      <w:pPr>
        <w:pStyle w:val="BodyText"/>
        <w:rPr>
          <w:rFonts w:asciiTheme="minorHAnsi" w:eastAsia="MS Mincho" w:hAnsiTheme="minorHAnsi" w:cstheme="minorHAnsi"/>
          <w:b/>
          <w:lang w:val="fr-FR" w:eastAsia="fr-FR"/>
        </w:rPr>
      </w:pPr>
    </w:p>
    <w:p w:rsidR="00823C67" w:rsidRDefault="00823C67" w:rsidP="004572A0">
      <w:pPr>
        <w:pStyle w:val="BodyText"/>
        <w:rPr>
          <w:rFonts w:asciiTheme="minorHAnsi" w:eastAsia="MS Mincho" w:hAnsiTheme="minorHAnsi" w:cstheme="minorHAnsi"/>
          <w:b/>
          <w:lang w:val="fr-FR" w:eastAsia="fr-FR"/>
        </w:rPr>
      </w:pPr>
    </w:p>
    <w:p w:rsidR="00823C67" w:rsidRDefault="00823C67" w:rsidP="004572A0">
      <w:pPr>
        <w:pStyle w:val="BodyText"/>
        <w:rPr>
          <w:rFonts w:asciiTheme="minorHAnsi" w:eastAsia="MS Mincho" w:hAnsiTheme="minorHAnsi" w:cstheme="minorHAnsi"/>
          <w:b/>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Les charges constatées d’avance se détaillent de la façon suivante :</w:t>
      </w:r>
    </w:p>
    <w:tbl>
      <w:tblPr>
        <w:tblW w:w="6420" w:type="dxa"/>
        <w:tblLook w:val="04A0" w:firstRow="1" w:lastRow="0" w:firstColumn="1" w:lastColumn="0" w:noHBand="0" w:noVBand="1"/>
      </w:tblPr>
      <w:tblGrid>
        <w:gridCol w:w="5320"/>
        <w:gridCol w:w="1100"/>
      </w:tblGrid>
      <w:tr w:rsidR="00975B62" w:rsidRPr="00C73365" w:rsidTr="00975B62">
        <w:trPr>
          <w:trHeight w:val="312"/>
        </w:trPr>
        <w:tc>
          <w:tcPr>
            <w:tcW w:w="5320"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rPr>
                <w:rFonts w:asciiTheme="minorHAnsi" w:hAnsiTheme="minorHAnsi" w:cstheme="minorHAnsi"/>
                <w:color w:val="000000"/>
                <w:sz w:val="22"/>
                <w:szCs w:val="22"/>
                <w:lang w:val="fr-FR"/>
              </w:rPr>
            </w:pPr>
            <w:r w:rsidRPr="00C73365">
              <w:rPr>
                <w:rFonts w:asciiTheme="minorHAnsi" w:hAnsiTheme="minorHAnsi" w:cstheme="minorHAnsi"/>
                <w:color w:val="000000"/>
                <w:sz w:val="22"/>
                <w:szCs w:val="22"/>
                <w:lang w:val="fr-FR"/>
              </w:rPr>
              <w:t> </w:t>
            </w:r>
          </w:p>
        </w:tc>
        <w:tc>
          <w:tcPr>
            <w:tcW w:w="1100"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Montant</w:t>
            </w:r>
          </w:p>
        </w:tc>
      </w:tr>
      <w:tr w:rsidR="00975B62" w:rsidRPr="00C73365" w:rsidTr="00975B62">
        <w:trPr>
          <w:trHeight w:val="288"/>
        </w:trPr>
        <w:tc>
          <w:tcPr>
            <w:tcW w:w="5320"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Locations de matériel et de bureaux</w:t>
            </w:r>
          </w:p>
        </w:tc>
        <w:tc>
          <w:tcPr>
            <w:tcW w:w="1100"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xml:space="preserve">68 </w:t>
            </w:r>
            <w:r w:rsidR="00EF089C" w:rsidRPr="00C73365">
              <w:rPr>
                <w:rFonts w:asciiTheme="minorHAnsi" w:hAnsiTheme="minorHAnsi" w:cstheme="minorHAnsi"/>
                <w:color w:val="000000"/>
                <w:szCs w:val="20"/>
              </w:rPr>
              <w:t>K€</w:t>
            </w:r>
          </w:p>
        </w:tc>
      </w:tr>
      <w:tr w:rsidR="00975B62" w:rsidRPr="00C73365" w:rsidTr="00975B62">
        <w:trPr>
          <w:trHeight w:val="288"/>
        </w:trPr>
        <w:tc>
          <w:tcPr>
            <w:tcW w:w="5320"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Autres charges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exploitation (salons et frais de déplacement)</w:t>
            </w:r>
          </w:p>
        </w:tc>
        <w:tc>
          <w:tcPr>
            <w:tcW w:w="1100"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xml:space="preserve">67 </w:t>
            </w:r>
            <w:r w:rsidR="00EF089C" w:rsidRPr="00C73365">
              <w:rPr>
                <w:rFonts w:asciiTheme="minorHAnsi" w:hAnsiTheme="minorHAnsi" w:cstheme="minorHAnsi"/>
                <w:color w:val="000000"/>
                <w:szCs w:val="20"/>
              </w:rPr>
              <w:t>K€</w:t>
            </w:r>
          </w:p>
        </w:tc>
      </w:tr>
      <w:tr w:rsidR="00975B62" w:rsidRPr="00C73365" w:rsidTr="00975B62">
        <w:trPr>
          <w:trHeight w:val="324"/>
        </w:trPr>
        <w:tc>
          <w:tcPr>
            <w:tcW w:w="5320"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Assurances générales et sur essais cliniques</w:t>
            </w:r>
          </w:p>
        </w:tc>
        <w:tc>
          <w:tcPr>
            <w:tcW w:w="1100"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xml:space="preserve">39 </w:t>
            </w:r>
            <w:r w:rsidR="00EF089C" w:rsidRPr="00C73365">
              <w:rPr>
                <w:rFonts w:asciiTheme="minorHAnsi" w:hAnsiTheme="minorHAnsi" w:cstheme="minorHAnsi"/>
                <w:color w:val="000000"/>
                <w:szCs w:val="20"/>
              </w:rPr>
              <w:t>K€</w:t>
            </w:r>
          </w:p>
        </w:tc>
      </w:tr>
    </w:tbl>
    <w:p w:rsidR="00F46C7B" w:rsidRPr="00C73365" w:rsidRDefault="00F46C7B" w:rsidP="00A96CCA">
      <w:pPr>
        <w:spacing w:after="0"/>
        <w:ind w:right="-2"/>
        <w:rPr>
          <w:rFonts w:asciiTheme="minorHAnsi" w:eastAsia="MS Mincho" w:hAnsiTheme="minorHAnsi" w:cstheme="minorHAnsi"/>
          <w:b/>
          <w:color w:val="7030A0"/>
          <w:szCs w:val="20"/>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Produits à recevoir</w:t>
      </w:r>
    </w:p>
    <w:tbl>
      <w:tblPr>
        <w:tblW w:w="6497" w:type="dxa"/>
        <w:tblCellMar>
          <w:left w:w="70" w:type="dxa"/>
          <w:right w:w="70" w:type="dxa"/>
        </w:tblCellMar>
        <w:tblLook w:val="04A0" w:firstRow="1" w:lastRow="0" w:firstColumn="1" w:lastColumn="0" w:noHBand="0" w:noVBand="1"/>
      </w:tblPr>
      <w:tblGrid>
        <w:gridCol w:w="4162"/>
        <w:gridCol w:w="2335"/>
      </w:tblGrid>
      <w:tr w:rsidR="00F46C7B" w:rsidRPr="00C73365" w:rsidTr="00D22228">
        <w:trPr>
          <w:trHeight w:val="472"/>
        </w:trPr>
        <w:tc>
          <w:tcPr>
            <w:tcW w:w="4162"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2335"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Montant</w:t>
            </w:r>
          </w:p>
        </w:tc>
      </w:tr>
      <w:tr w:rsidR="00F46C7B" w:rsidRPr="00C73365" w:rsidTr="00D22228">
        <w:trPr>
          <w:trHeight w:val="230"/>
        </w:trPr>
        <w:tc>
          <w:tcPr>
            <w:tcW w:w="416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Intérêts Courus sur Compte à terme</w:t>
            </w:r>
          </w:p>
        </w:tc>
        <w:tc>
          <w:tcPr>
            <w:tcW w:w="2335" w:type="dxa"/>
            <w:tcBorders>
              <w:top w:val="nil"/>
              <w:left w:val="nil"/>
              <w:bottom w:val="single" w:sz="8" w:space="0" w:color="7030A0"/>
              <w:right w:val="nil"/>
            </w:tcBorders>
            <w:shd w:val="clear" w:color="auto" w:fill="auto"/>
            <w:vAlign w:val="center"/>
            <w:hideMark/>
          </w:tcPr>
          <w:p w:rsidR="00F46C7B" w:rsidRPr="00C73365" w:rsidRDefault="00975B62"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145</w:t>
            </w:r>
          </w:p>
        </w:tc>
      </w:tr>
      <w:tr w:rsidR="00F46C7B" w:rsidRPr="00C73365" w:rsidTr="00D22228">
        <w:trPr>
          <w:trHeight w:val="303"/>
        </w:trPr>
        <w:tc>
          <w:tcPr>
            <w:tcW w:w="416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Total</w:t>
            </w:r>
          </w:p>
        </w:tc>
        <w:tc>
          <w:tcPr>
            <w:tcW w:w="2335" w:type="dxa"/>
            <w:tcBorders>
              <w:top w:val="nil"/>
              <w:left w:val="nil"/>
              <w:bottom w:val="single" w:sz="8" w:space="0" w:color="7030A0"/>
              <w:right w:val="nil"/>
            </w:tcBorders>
            <w:shd w:val="clear" w:color="auto" w:fill="auto"/>
            <w:vAlign w:val="center"/>
            <w:hideMark/>
          </w:tcPr>
          <w:p w:rsidR="00F46C7B" w:rsidRPr="00C73365" w:rsidRDefault="00975B62"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szCs w:val="20"/>
                <w:lang w:val="fr-FR" w:eastAsia="fr-FR"/>
              </w:rPr>
              <w:t>145</w:t>
            </w:r>
          </w:p>
        </w:tc>
      </w:tr>
    </w:tbl>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highlight w:val="lightGray"/>
          <w:lang w:val="fr-FR" w:eastAsia="fr-FR"/>
        </w:rPr>
        <w:br w:type="page"/>
      </w:r>
      <w:r w:rsidRPr="00C73365">
        <w:rPr>
          <w:rFonts w:asciiTheme="minorHAnsi" w:eastAsia="MS Mincho" w:hAnsiTheme="minorHAnsi" w:cstheme="minorHAnsi"/>
          <w:b/>
          <w:lang w:val="fr-FR" w:eastAsia="fr-FR"/>
        </w:rPr>
        <w:lastRenderedPageBreak/>
        <w:t>NOTE 5 – DISPONIBILITES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valeurs mobilières de placement se décomposent :</w:t>
      </w:r>
    </w:p>
    <w:tbl>
      <w:tblPr>
        <w:tblW w:w="9303" w:type="dxa"/>
        <w:tblLook w:val="04A0" w:firstRow="1" w:lastRow="0" w:firstColumn="1" w:lastColumn="0" w:noHBand="0" w:noVBand="1"/>
      </w:tblPr>
      <w:tblGrid>
        <w:gridCol w:w="2078"/>
        <w:gridCol w:w="1781"/>
        <w:gridCol w:w="1881"/>
        <w:gridCol w:w="1782"/>
        <w:gridCol w:w="1781"/>
      </w:tblGrid>
      <w:tr w:rsidR="00975B62" w:rsidRPr="00C73365" w:rsidTr="00C50FC3">
        <w:trPr>
          <w:trHeight w:val="20"/>
        </w:trPr>
        <w:tc>
          <w:tcPr>
            <w:tcW w:w="2078"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781"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7030A0"/>
                <w:szCs w:val="20"/>
              </w:rPr>
            </w:pPr>
            <w:r w:rsidRPr="00C73365">
              <w:rPr>
                <w:rFonts w:asciiTheme="minorHAnsi" w:hAnsiTheme="minorHAnsi" w:cstheme="minorHAnsi"/>
                <w:b/>
                <w:bCs/>
                <w:color w:val="7030A0"/>
                <w:szCs w:val="20"/>
              </w:rPr>
              <w:t>31/12/2017</w:t>
            </w:r>
          </w:p>
        </w:tc>
        <w:tc>
          <w:tcPr>
            <w:tcW w:w="1881"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szCs w:val="20"/>
              </w:rPr>
            </w:pPr>
            <w:r w:rsidRPr="00C73365">
              <w:rPr>
                <w:rFonts w:asciiTheme="minorHAnsi" w:hAnsiTheme="minorHAnsi" w:cstheme="minorHAnsi"/>
                <w:b/>
                <w:bCs/>
                <w:szCs w:val="20"/>
              </w:rPr>
              <w:t>Disponibilité immédiate</w:t>
            </w:r>
          </w:p>
        </w:tc>
        <w:tc>
          <w:tcPr>
            <w:tcW w:w="1782"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szCs w:val="20"/>
              </w:rPr>
            </w:pPr>
            <w:r w:rsidRPr="00C73365">
              <w:rPr>
                <w:rFonts w:asciiTheme="minorHAnsi" w:hAnsiTheme="minorHAnsi" w:cstheme="minorHAnsi"/>
                <w:b/>
                <w:bCs/>
                <w:szCs w:val="20"/>
              </w:rPr>
              <w:t>06/01/2018</w:t>
            </w:r>
          </w:p>
        </w:tc>
        <w:tc>
          <w:tcPr>
            <w:tcW w:w="1781"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szCs w:val="20"/>
              </w:rPr>
            </w:pPr>
            <w:r w:rsidRPr="00C73365">
              <w:rPr>
                <w:rFonts w:asciiTheme="minorHAnsi" w:hAnsiTheme="minorHAnsi" w:cstheme="minorHAnsi"/>
                <w:b/>
                <w:bCs/>
                <w:szCs w:val="20"/>
              </w:rPr>
              <w:t>25/06/2018</w:t>
            </w:r>
          </w:p>
        </w:tc>
      </w:tr>
      <w:tr w:rsidR="00975B62" w:rsidRPr="00C73365" w:rsidTr="00C50FC3">
        <w:trPr>
          <w:trHeight w:val="20"/>
        </w:trPr>
        <w:tc>
          <w:tcPr>
            <w:tcW w:w="2078" w:type="dxa"/>
            <w:tcBorders>
              <w:top w:val="nil"/>
              <w:left w:val="nil"/>
              <w:bottom w:val="nil"/>
              <w:right w:val="nil"/>
            </w:tcBorders>
            <w:shd w:val="clear" w:color="auto" w:fill="auto"/>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Comptes à terme</w:t>
            </w:r>
          </w:p>
        </w:tc>
        <w:tc>
          <w:tcPr>
            <w:tcW w:w="178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15 145</w:t>
            </w:r>
          </w:p>
        </w:tc>
        <w:tc>
          <w:tcPr>
            <w:tcW w:w="188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145</w:t>
            </w:r>
          </w:p>
        </w:tc>
        <w:tc>
          <w:tcPr>
            <w:tcW w:w="1782"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5 000</w:t>
            </w:r>
          </w:p>
        </w:tc>
        <w:tc>
          <w:tcPr>
            <w:tcW w:w="178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10 000</w:t>
            </w:r>
          </w:p>
        </w:tc>
      </w:tr>
      <w:tr w:rsidR="00975B62" w:rsidRPr="00C73365" w:rsidTr="00C50FC3">
        <w:trPr>
          <w:trHeight w:val="20"/>
        </w:trPr>
        <w:tc>
          <w:tcPr>
            <w:tcW w:w="2078" w:type="dxa"/>
            <w:tcBorders>
              <w:top w:val="nil"/>
              <w:left w:val="nil"/>
              <w:bottom w:val="nil"/>
              <w:right w:val="nil"/>
            </w:tcBorders>
            <w:shd w:val="clear" w:color="auto" w:fill="auto"/>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SICAV/OPCVM</w:t>
            </w:r>
          </w:p>
        </w:tc>
        <w:tc>
          <w:tcPr>
            <w:tcW w:w="178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88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w:t>
            </w:r>
          </w:p>
        </w:tc>
        <w:tc>
          <w:tcPr>
            <w:tcW w:w="1782"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0</w:t>
            </w:r>
          </w:p>
        </w:tc>
        <w:tc>
          <w:tcPr>
            <w:tcW w:w="178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0</w:t>
            </w:r>
          </w:p>
        </w:tc>
      </w:tr>
      <w:tr w:rsidR="00975B62" w:rsidRPr="00C73365" w:rsidTr="00C50FC3">
        <w:trPr>
          <w:trHeight w:val="20"/>
        </w:trPr>
        <w:tc>
          <w:tcPr>
            <w:tcW w:w="207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Disponibilités</w:t>
            </w:r>
          </w:p>
        </w:tc>
        <w:tc>
          <w:tcPr>
            <w:tcW w:w="178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1 881</w:t>
            </w:r>
          </w:p>
        </w:tc>
        <w:tc>
          <w:tcPr>
            <w:tcW w:w="188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1 881</w:t>
            </w:r>
          </w:p>
        </w:tc>
        <w:tc>
          <w:tcPr>
            <w:tcW w:w="1782"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78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975B62" w:rsidRPr="00C73365" w:rsidTr="00C50FC3">
        <w:trPr>
          <w:trHeight w:val="20"/>
        </w:trPr>
        <w:tc>
          <w:tcPr>
            <w:tcW w:w="207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78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17 032</w:t>
            </w:r>
          </w:p>
        </w:tc>
        <w:tc>
          <w:tcPr>
            <w:tcW w:w="188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2 032</w:t>
            </w:r>
          </w:p>
        </w:tc>
        <w:tc>
          <w:tcPr>
            <w:tcW w:w="1782"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5 000</w:t>
            </w:r>
          </w:p>
        </w:tc>
        <w:tc>
          <w:tcPr>
            <w:tcW w:w="178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10 000</w:t>
            </w:r>
          </w:p>
        </w:tc>
      </w:tr>
    </w:tbl>
    <w:p w:rsidR="00F46C7B" w:rsidRPr="00C73365" w:rsidRDefault="00F46C7B" w:rsidP="00A96CCA">
      <w:pPr>
        <w:spacing w:after="0"/>
        <w:ind w:left="284" w:right="-2"/>
        <w:rPr>
          <w:rFonts w:asciiTheme="minorHAnsi" w:eastAsia="MS Mincho" w:hAnsiTheme="minorHAnsi" w:cstheme="minorHAnsi"/>
          <w:b/>
          <w:szCs w:val="20"/>
          <w:u w:val="single"/>
          <w:lang w:val="fr-FR" w:eastAsia="fr-FR"/>
        </w:rPr>
      </w:pPr>
    </w:p>
    <w:p w:rsidR="00F46C7B" w:rsidRPr="00C73365" w:rsidRDefault="00F46C7B" w:rsidP="004572A0">
      <w:pPr>
        <w:pStyle w:val="BodyTextFirstIndent2"/>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montant des intérêts courus sur comptes à terme au 31 Décembre </w:t>
      </w:r>
      <w:r w:rsidR="00975B62" w:rsidRPr="00C73365">
        <w:rPr>
          <w:rFonts w:asciiTheme="minorHAnsi" w:hAnsiTheme="minorHAnsi" w:cstheme="minorHAnsi"/>
          <w:lang w:val="fr-FR"/>
        </w:rPr>
        <w:t>2017</w:t>
      </w:r>
      <w:r w:rsidRPr="00C73365">
        <w:rPr>
          <w:rFonts w:asciiTheme="minorHAnsi" w:hAnsiTheme="minorHAnsi" w:cstheme="minorHAnsi"/>
          <w:lang w:val="fr-FR"/>
        </w:rPr>
        <w:t xml:space="preserve">, inclus dans les montants ci-dessus, est de </w:t>
      </w:r>
      <w:r w:rsidR="00975B62" w:rsidRPr="00C73365">
        <w:rPr>
          <w:rFonts w:asciiTheme="minorHAnsi" w:hAnsiTheme="minorHAnsi" w:cstheme="minorHAnsi"/>
          <w:lang w:val="fr-FR"/>
        </w:rPr>
        <w:t xml:space="preserve">145 </w:t>
      </w:r>
      <w:r w:rsidR="00EF089C" w:rsidRPr="00C73365">
        <w:rPr>
          <w:rFonts w:asciiTheme="minorHAnsi" w:hAnsiTheme="minorHAnsi" w:cstheme="minorHAnsi"/>
          <w:lang w:val="fr-FR"/>
        </w:rPr>
        <w:t>K€</w:t>
      </w:r>
      <w:r w:rsidRPr="00C73365">
        <w:rPr>
          <w:rFonts w:asciiTheme="minorHAnsi" w:hAnsiTheme="minorHAnsi" w:cstheme="minorHAnsi"/>
          <w:lang w:val="fr-FR"/>
        </w:rPr>
        <w: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*La </w:t>
      </w:r>
      <w:r w:rsidR="00A375B4" w:rsidRPr="00C73365">
        <w:rPr>
          <w:rFonts w:asciiTheme="minorHAnsi" w:eastAsia="MS Mincho" w:hAnsiTheme="minorHAnsi" w:cstheme="minorHAnsi"/>
          <w:lang w:val="fr-FR" w:eastAsia="fr-FR"/>
        </w:rPr>
        <w:t>trésorerie</w:t>
      </w:r>
      <w:r w:rsidRPr="00C73365">
        <w:rPr>
          <w:rFonts w:asciiTheme="minorHAnsi" w:eastAsia="MS Mincho" w:hAnsiTheme="minorHAnsi" w:cstheme="minorHAnsi"/>
          <w:lang w:val="fr-FR" w:eastAsia="fr-FR"/>
        </w:rPr>
        <w:t xml:space="preserve"> financière nette déduction faite des dettes financières de </w:t>
      </w:r>
      <w:r w:rsidR="00975B62" w:rsidRPr="00C73365">
        <w:rPr>
          <w:rFonts w:asciiTheme="minorHAnsi" w:eastAsia="MS Mincho" w:hAnsiTheme="minorHAnsi" w:cstheme="minorHAnsi"/>
          <w:lang w:val="fr-FR" w:eastAsia="fr-FR"/>
        </w:rPr>
        <w:t xml:space="preserve">170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est de </w:t>
      </w:r>
      <w:r w:rsidR="00975B62" w:rsidRPr="00C73365">
        <w:rPr>
          <w:rFonts w:asciiTheme="minorHAnsi" w:eastAsia="MS Mincho" w:hAnsiTheme="minorHAnsi" w:cstheme="minorHAnsi"/>
          <w:lang w:val="fr-FR" w:eastAsia="fr-FR"/>
        </w:rPr>
        <w:t xml:space="preserve">16 862 </w:t>
      </w:r>
      <w:r w:rsidR="00EF089C" w:rsidRPr="00C73365">
        <w:rPr>
          <w:rFonts w:asciiTheme="minorHAnsi" w:eastAsia="MS Mincho" w:hAnsiTheme="minorHAnsi" w:cstheme="minorHAnsi"/>
          <w:lang w:val="fr-FR" w:eastAsia="fr-FR"/>
        </w:rPr>
        <w:t>K€</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A96CCA">
      <w:pPr>
        <w:spacing w:after="0"/>
        <w:rPr>
          <w:rFonts w:asciiTheme="minorHAnsi" w:eastAsia="MS Mincho" w:hAnsiTheme="minorHAnsi" w:cstheme="minorHAnsi"/>
          <w:szCs w:val="20"/>
          <w:lang w:val="fr-FR" w:eastAsia="fr-FR"/>
        </w:rPr>
      </w:pPr>
      <w:r w:rsidRPr="00C73365">
        <w:rPr>
          <w:rFonts w:asciiTheme="minorHAnsi" w:eastAsia="MS Mincho" w:hAnsiTheme="minorHAnsi" w:cstheme="minorHAnsi"/>
          <w:szCs w:val="20"/>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sectPr w:rsidR="00F46C7B" w:rsidRPr="00C73365" w:rsidSect="007C607C">
          <w:type w:val="continuous"/>
          <w:pgSz w:w="11906" w:h="16838"/>
          <w:pgMar w:top="1134" w:right="1134" w:bottom="1134" w:left="1134" w:header="709" w:footer="709" w:gutter="0"/>
          <w:cols w:space="708"/>
          <w:docGrid w:linePitch="360"/>
        </w:sectPr>
      </w:pPr>
      <w:r w:rsidRPr="00C73365">
        <w:rPr>
          <w:rFonts w:asciiTheme="minorHAnsi" w:eastAsia="MS Mincho" w:hAnsiTheme="minorHAnsi" w:cstheme="minorHAnsi"/>
          <w:b/>
          <w:lang w:val="fr-FR" w:eastAsia="fr-FR"/>
        </w:rPr>
        <w:lastRenderedPageBreak/>
        <w:t>NOTE 6 – CAPITAUX PROPRES</w:t>
      </w:r>
    </w:p>
    <w:tbl>
      <w:tblPr>
        <w:tblW w:w="9668" w:type="dxa"/>
        <w:tblLook w:val="04A0" w:firstRow="1" w:lastRow="0" w:firstColumn="1" w:lastColumn="0" w:noHBand="0" w:noVBand="1"/>
      </w:tblPr>
      <w:tblGrid>
        <w:gridCol w:w="4112"/>
        <w:gridCol w:w="1033"/>
        <w:gridCol w:w="888"/>
        <w:gridCol w:w="888"/>
        <w:gridCol w:w="888"/>
        <w:gridCol w:w="971"/>
        <w:gridCol w:w="888"/>
      </w:tblGrid>
      <w:tr w:rsidR="00975B62" w:rsidRPr="00C73365" w:rsidTr="00975B62">
        <w:trPr>
          <w:trHeight w:val="983"/>
        </w:trPr>
        <w:tc>
          <w:tcPr>
            <w:tcW w:w="4112"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033"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Nombre d’actions émises</w:t>
            </w:r>
          </w:p>
        </w:tc>
        <w:tc>
          <w:tcPr>
            <w:tcW w:w="888"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Capital</w:t>
            </w:r>
          </w:p>
        </w:tc>
        <w:tc>
          <w:tcPr>
            <w:tcW w:w="888"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Primes</w:t>
            </w:r>
          </w:p>
        </w:tc>
        <w:tc>
          <w:tcPr>
            <w:tcW w:w="888"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BSA</w:t>
            </w:r>
          </w:p>
        </w:tc>
        <w:tc>
          <w:tcPr>
            <w:tcW w:w="971"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Report à nouveau</w:t>
            </w:r>
          </w:p>
        </w:tc>
        <w:tc>
          <w:tcPr>
            <w:tcW w:w="888" w:type="dxa"/>
            <w:tcBorders>
              <w:top w:val="single" w:sz="12"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TOTAL</w:t>
            </w:r>
          </w:p>
        </w:tc>
      </w:tr>
      <w:tr w:rsidR="00975B62" w:rsidRPr="00C73365" w:rsidTr="00975B62">
        <w:trPr>
          <w:trHeight w:val="346"/>
        </w:trPr>
        <w:tc>
          <w:tcPr>
            <w:tcW w:w="4112"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Au 31 décembre 2014</w:t>
            </w:r>
          </w:p>
        </w:tc>
        <w:tc>
          <w:tcPr>
            <w:tcW w:w="1033"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69 150</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69</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35 674</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0</w:t>
            </w:r>
          </w:p>
        </w:tc>
        <w:tc>
          <w:tcPr>
            <w:tcW w:w="97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-5 091</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30 653</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Division du nominal - AGM 20 Février 2015</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6 915 000</w:t>
            </w: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971"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rPr>
                <w:rFonts w:asciiTheme="minorHAnsi" w:hAnsiTheme="minorHAnsi" w:cstheme="minorHAnsi"/>
                <w:szCs w:val="20"/>
              </w:rPr>
            </w:pP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 CA 23 Juin 2015</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2 707 089</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27</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57 634</w:t>
            </w: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971"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57 661</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Frais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émission</w:t>
            </w:r>
          </w:p>
        </w:tc>
        <w:tc>
          <w:tcPr>
            <w:tcW w:w="1033" w:type="dxa"/>
            <w:tcBorders>
              <w:top w:val="nil"/>
              <w:left w:val="nil"/>
              <w:bottom w:val="nil"/>
              <w:right w:val="nil"/>
            </w:tcBorders>
            <w:shd w:val="clear" w:color="auto" w:fill="auto"/>
            <w:noWrap/>
            <w:hideMark/>
          </w:tcPr>
          <w:p w:rsidR="00975B62" w:rsidRPr="00C73365" w:rsidRDefault="00975B62" w:rsidP="00A96CCA">
            <w:pPr>
              <w:spacing w:after="0"/>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-3 774</w:t>
            </w: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971"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-3 774</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par exercice de BCE</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74 800</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w:t>
            </w: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971"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Emission de BSA</w:t>
            </w:r>
          </w:p>
        </w:tc>
        <w:tc>
          <w:tcPr>
            <w:tcW w:w="1033" w:type="dxa"/>
            <w:tcBorders>
              <w:top w:val="nil"/>
              <w:left w:val="nil"/>
              <w:bottom w:val="nil"/>
              <w:right w:val="nil"/>
            </w:tcBorders>
            <w:shd w:val="clear" w:color="auto" w:fill="auto"/>
            <w:noWrap/>
            <w:hideMark/>
          </w:tcPr>
          <w:p w:rsidR="00975B62" w:rsidRPr="00C73365" w:rsidRDefault="00975B62" w:rsidP="00A96CCA">
            <w:pPr>
              <w:spacing w:after="0"/>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173</w:t>
            </w:r>
          </w:p>
        </w:tc>
        <w:tc>
          <w:tcPr>
            <w:tcW w:w="971"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173</w:t>
            </w:r>
          </w:p>
        </w:tc>
      </w:tr>
      <w:tr w:rsidR="00975B62" w:rsidRPr="00C73365" w:rsidTr="00975B62">
        <w:trPr>
          <w:trHeight w:val="346"/>
        </w:trPr>
        <w:tc>
          <w:tcPr>
            <w:tcW w:w="4112"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Perte 2015</w:t>
            </w:r>
          </w:p>
        </w:tc>
        <w:tc>
          <w:tcPr>
            <w:tcW w:w="1033"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7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-15 954</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-15 954</w:t>
            </w:r>
          </w:p>
        </w:tc>
      </w:tr>
      <w:tr w:rsidR="00975B62" w:rsidRPr="00C73365" w:rsidTr="00975B62">
        <w:trPr>
          <w:trHeight w:val="346"/>
        </w:trPr>
        <w:tc>
          <w:tcPr>
            <w:tcW w:w="4112"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Au 31 décembre 2015</w:t>
            </w:r>
          </w:p>
        </w:tc>
        <w:tc>
          <w:tcPr>
            <w:tcW w:w="1033"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9 696 889</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97</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89 534</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173</w:t>
            </w:r>
          </w:p>
        </w:tc>
        <w:tc>
          <w:tcPr>
            <w:tcW w:w="971" w:type="dxa"/>
            <w:tcBorders>
              <w:top w:val="single" w:sz="8"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-21 045</w:t>
            </w:r>
          </w:p>
        </w:tc>
        <w:tc>
          <w:tcPr>
            <w:tcW w:w="888" w:type="dxa"/>
            <w:tcBorders>
              <w:top w:val="single" w:sz="8"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68 759</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par exercice de BSA</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5 200</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97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Emission de BSA</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58</w:t>
            </w:r>
          </w:p>
        </w:tc>
        <w:tc>
          <w:tcPr>
            <w:tcW w:w="971"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58</w:t>
            </w:r>
          </w:p>
        </w:tc>
      </w:tr>
      <w:tr w:rsidR="00975B62" w:rsidRPr="00C73365" w:rsidTr="00975B62">
        <w:trPr>
          <w:trHeight w:val="346"/>
        </w:trPr>
        <w:tc>
          <w:tcPr>
            <w:tcW w:w="4112"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Perte 2016</w:t>
            </w:r>
          </w:p>
        </w:tc>
        <w:tc>
          <w:tcPr>
            <w:tcW w:w="1033"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7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-14 308</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-14 308</w:t>
            </w:r>
          </w:p>
        </w:tc>
      </w:tr>
      <w:tr w:rsidR="00975B62" w:rsidRPr="00C73365" w:rsidTr="00975B62">
        <w:trPr>
          <w:trHeight w:val="346"/>
        </w:trPr>
        <w:tc>
          <w:tcPr>
            <w:tcW w:w="4112"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Au 31 décembre 2016</w:t>
            </w:r>
          </w:p>
        </w:tc>
        <w:tc>
          <w:tcPr>
            <w:tcW w:w="1033"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9 702 089</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97</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89 534</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231</w:t>
            </w:r>
          </w:p>
        </w:tc>
        <w:tc>
          <w:tcPr>
            <w:tcW w:w="971" w:type="dxa"/>
            <w:tcBorders>
              <w:top w:val="single" w:sz="8"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-35 352</w:t>
            </w:r>
          </w:p>
        </w:tc>
        <w:tc>
          <w:tcPr>
            <w:tcW w:w="888" w:type="dxa"/>
            <w:tcBorders>
              <w:top w:val="single" w:sz="8" w:space="0" w:color="7030A0"/>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54 510</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Augmentation de capital par exercice de BSA</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142 140</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19</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p>
        </w:tc>
        <w:tc>
          <w:tcPr>
            <w:tcW w:w="971"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20</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Frais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émission</w:t>
            </w:r>
          </w:p>
        </w:tc>
        <w:tc>
          <w:tcPr>
            <w:tcW w:w="1033" w:type="dxa"/>
            <w:tcBorders>
              <w:top w:val="nil"/>
              <w:left w:val="nil"/>
              <w:bottom w:val="nil"/>
              <w:right w:val="nil"/>
            </w:tcBorders>
            <w:shd w:val="clear" w:color="auto" w:fill="auto"/>
            <w:noWrap/>
            <w:hideMark/>
          </w:tcPr>
          <w:p w:rsidR="00975B62" w:rsidRPr="00C73365" w:rsidRDefault="00975B62" w:rsidP="00A96CCA">
            <w:pPr>
              <w:spacing w:after="0"/>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szCs w:val="20"/>
              </w:rPr>
            </w:pPr>
          </w:p>
        </w:tc>
        <w:tc>
          <w:tcPr>
            <w:tcW w:w="971"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rPr>
                <w:rFonts w:asciiTheme="minorHAnsi" w:hAnsiTheme="minorHAnsi" w:cstheme="minorHAnsi"/>
                <w:szCs w:val="20"/>
              </w:rPr>
            </w:pP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Emission de BSA</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21</w:t>
            </w:r>
          </w:p>
        </w:tc>
        <w:tc>
          <w:tcPr>
            <w:tcW w:w="971"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21</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Equity line Kepler Chevreux</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60 000</w:t>
            </w: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1</w:t>
            </w: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664</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w:t>
            </w:r>
          </w:p>
        </w:tc>
        <w:tc>
          <w:tcPr>
            <w:tcW w:w="971"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665</w:t>
            </w:r>
          </w:p>
        </w:tc>
      </w:tr>
      <w:tr w:rsidR="00975B62" w:rsidRPr="00C73365" w:rsidTr="00975B62">
        <w:trPr>
          <w:trHeight w:val="332"/>
        </w:trPr>
        <w:tc>
          <w:tcPr>
            <w:tcW w:w="4112"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Frais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émission</w:t>
            </w:r>
          </w:p>
        </w:tc>
        <w:tc>
          <w:tcPr>
            <w:tcW w:w="1033" w:type="dxa"/>
            <w:tcBorders>
              <w:top w:val="nil"/>
              <w:left w:val="nil"/>
              <w:bottom w:val="nil"/>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rPr>
                <w:rFonts w:asciiTheme="minorHAnsi" w:hAnsiTheme="minorHAnsi" w:cstheme="minorHAnsi"/>
                <w:szCs w:val="20"/>
              </w:rPr>
            </w:pPr>
          </w:p>
        </w:tc>
        <w:tc>
          <w:tcPr>
            <w:tcW w:w="888"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-77</w:t>
            </w: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 w:val="22"/>
                <w:szCs w:val="22"/>
              </w:rPr>
            </w:pPr>
          </w:p>
        </w:tc>
        <w:tc>
          <w:tcPr>
            <w:tcW w:w="971" w:type="dxa"/>
            <w:tcBorders>
              <w:top w:val="nil"/>
              <w:left w:val="nil"/>
              <w:bottom w:val="nil"/>
              <w:right w:val="nil"/>
            </w:tcBorders>
            <w:shd w:val="clear" w:color="auto" w:fill="auto"/>
            <w:hideMark/>
          </w:tcPr>
          <w:p w:rsidR="00975B62" w:rsidRPr="00C73365" w:rsidRDefault="00975B62" w:rsidP="00A96CCA">
            <w:pPr>
              <w:spacing w:after="0"/>
              <w:jc w:val="right"/>
              <w:rPr>
                <w:rFonts w:asciiTheme="minorHAnsi" w:hAnsiTheme="minorHAnsi" w:cstheme="minorHAnsi"/>
                <w:szCs w:val="20"/>
              </w:rPr>
            </w:pPr>
          </w:p>
        </w:tc>
        <w:tc>
          <w:tcPr>
            <w:tcW w:w="888" w:type="dxa"/>
            <w:tcBorders>
              <w:top w:val="nil"/>
              <w:left w:val="nil"/>
              <w:bottom w:val="nil"/>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-77</w:t>
            </w:r>
          </w:p>
        </w:tc>
      </w:tr>
      <w:tr w:rsidR="00975B62" w:rsidRPr="00C73365" w:rsidTr="00975B62">
        <w:trPr>
          <w:trHeight w:val="346"/>
        </w:trPr>
        <w:tc>
          <w:tcPr>
            <w:tcW w:w="4112"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Perte 2017</w:t>
            </w:r>
          </w:p>
        </w:tc>
        <w:tc>
          <w:tcPr>
            <w:tcW w:w="1033"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71"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-11 223</w:t>
            </w:r>
          </w:p>
        </w:tc>
        <w:tc>
          <w:tcPr>
            <w:tcW w:w="888" w:type="dxa"/>
            <w:tcBorders>
              <w:top w:val="nil"/>
              <w:left w:val="nil"/>
              <w:bottom w:val="single" w:sz="8" w:space="0" w:color="7030A0"/>
              <w:right w:val="nil"/>
            </w:tcBorders>
            <w:shd w:val="clear" w:color="auto" w:fill="auto"/>
            <w:vAlign w:val="center"/>
            <w:hideMark/>
          </w:tcPr>
          <w:p w:rsidR="00975B62" w:rsidRPr="00C73365" w:rsidRDefault="00975B62"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-11 223</w:t>
            </w:r>
          </w:p>
        </w:tc>
      </w:tr>
      <w:tr w:rsidR="00975B62" w:rsidRPr="00C73365" w:rsidTr="00975B62">
        <w:trPr>
          <w:trHeight w:val="346"/>
        </w:trPr>
        <w:tc>
          <w:tcPr>
            <w:tcW w:w="4112"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Au 31 décembre 2017</w:t>
            </w:r>
          </w:p>
        </w:tc>
        <w:tc>
          <w:tcPr>
            <w:tcW w:w="1033"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9 904 229</w:t>
            </w:r>
          </w:p>
        </w:tc>
        <w:tc>
          <w:tcPr>
            <w:tcW w:w="888"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99</w:t>
            </w:r>
          </w:p>
        </w:tc>
        <w:tc>
          <w:tcPr>
            <w:tcW w:w="888"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90 139</w:t>
            </w:r>
          </w:p>
        </w:tc>
        <w:tc>
          <w:tcPr>
            <w:tcW w:w="888"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253</w:t>
            </w:r>
          </w:p>
        </w:tc>
        <w:tc>
          <w:tcPr>
            <w:tcW w:w="971"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-46 575</w:t>
            </w:r>
          </w:p>
        </w:tc>
        <w:tc>
          <w:tcPr>
            <w:tcW w:w="888" w:type="dxa"/>
            <w:tcBorders>
              <w:top w:val="nil"/>
              <w:left w:val="nil"/>
              <w:bottom w:val="single" w:sz="8" w:space="0" w:color="7030A0"/>
              <w:right w:val="nil"/>
            </w:tcBorders>
            <w:shd w:val="clear" w:color="auto" w:fill="auto"/>
            <w:noWrap/>
            <w:vAlign w:val="center"/>
            <w:hideMark/>
          </w:tcPr>
          <w:p w:rsidR="00975B62" w:rsidRPr="00C73365" w:rsidRDefault="00975B62"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43 915</w:t>
            </w:r>
          </w:p>
        </w:tc>
      </w:tr>
    </w:tbl>
    <w:p w:rsidR="00F46C7B" w:rsidRPr="00C73365" w:rsidRDefault="00F46C7B" w:rsidP="00A96CCA">
      <w:pPr>
        <w:spacing w:after="0"/>
        <w:ind w:right="-2"/>
        <w:rPr>
          <w:rFonts w:asciiTheme="minorHAnsi" w:eastAsia="MS Mincho" w:hAnsiTheme="minorHAnsi" w:cstheme="minorHAnsi"/>
          <w:b/>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Composition du capital social</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 xml:space="preserve">L’exercice de 394 BSA-2014-1 en date du 17 mars 2017 donnant lieu à la création de 39.400 actions de la Société a entraîné  une augmentation du capital social de 394 € pour le porter de 97.020,89 € à 97.414,89 €.  </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100 BCE-2014-4 en date du 3 août 2017 donnant lieu à la création de 10.000 actions de la Société a entraîné une augmentation du capital social de 100 € pour le porter de 97.414,89 € à 97.514,89 €.</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473,4 BSA 2014-4 en date du 7 août 2017 donnant lieu à la création de 47.340 actions de la Société a entraîné une augmentation du capital social de 473,40 € pour le porter de 97.514,89 € à 97.988,29 €.</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400 BCE-2014-2 en date du 6 octobre 2017 donnant lieu à la création de 40.000 actions de la Société a entraîné une augmentation du capital social de 400 euros pour le porter de 97.988,29 € à 98.388,29 €.</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 xml:space="preserve">L’exercice de 29 BSA-2014-7 en date du 13 novembre 2017 donnant lieu à la création de 2.900 actions de la Société a entraîné une augmentation du capital social de </w:t>
      </w:r>
      <w:r w:rsidRPr="00C73365">
        <w:rPr>
          <w:rFonts w:asciiTheme="minorHAnsi" w:hAnsiTheme="minorHAnsi" w:cstheme="minorHAnsi"/>
          <w:lang w:val="fr-FR" w:eastAsia="fr-FR"/>
        </w:rPr>
        <w:t>29 euros pour le porter de 98.388,29 euros à 98.417,29 euros.</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L’exercice de 2.500 BCE-2016-1 en date du 2</w:t>
      </w:r>
      <w:r w:rsidR="00D468B1" w:rsidRPr="00C73365">
        <w:rPr>
          <w:rFonts w:asciiTheme="minorHAnsi" w:hAnsiTheme="minorHAnsi" w:cstheme="minorHAnsi"/>
          <w:lang w:val="fr-FR" w:eastAsia="fr-FR"/>
        </w:rPr>
        <w:t>0</w:t>
      </w:r>
      <w:r w:rsidRPr="00C73365">
        <w:rPr>
          <w:rFonts w:asciiTheme="minorHAnsi" w:hAnsiTheme="minorHAnsi" w:cstheme="minorHAnsi"/>
          <w:lang w:val="fr-FR" w:eastAsia="fr-FR"/>
        </w:rPr>
        <w:t xml:space="preserve"> décembre 2017 donnant lieu à la création de 2.500 actions de la Société a entraîné une augmentation du capital social de 25 euros pour le porter de 98.417,29 euros à 98.442,29 euros.</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 xml:space="preserve">L’exercice de 60 000 bons par </w:t>
      </w:r>
      <w:r w:rsidR="00EF089C" w:rsidRPr="00C73365">
        <w:rPr>
          <w:rFonts w:asciiTheme="minorHAnsi" w:hAnsiTheme="minorHAnsi" w:cstheme="minorHAnsi"/>
          <w:lang w:val="fr-FR" w:eastAsia="fr-FR"/>
        </w:rPr>
        <w:t>KEPLER CHEUVREUX</w:t>
      </w:r>
      <w:r w:rsidRPr="00C73365">
        <w:rPr>
          <w:rFonts w:asciiTheme="minorHAnsi" w:hAnsiTheme="minorHAnsi" w:cstheme="minorHAnsi"/>
          <w:lang w:val="fr-FR" w:eastAsia="fr-FR"/>
        </w:rPr>
        <w:t xml:space="preserve"> au cours du second semestre 2017 donnant lieu à la création de 60 000 actions de la Société a entraîné une augmentation du capital social de 600 euros pour le porter de 98.442,29 euros à 99.042,29 euros.</w:t>
      </w:r>
    </w:p>
    <w:p w:rsidR="00975B62" w:rsidRPr="00C73365" w:rsidRDefault="00975B62"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 Conseil d’Administration n’a pas encore constaté ces augmentations de capital.</w:t>
      </w:r>
    </w:p>
    <w:p w:rsidR="00975B62" w:rsidRPr="00C73365" w:rsidRDefault="00975B62"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détail des variations du capital est présenté dans le tableau de variation des capitaux propres figurant dans cette annexe.</w:t>
      </w:r>
    </w:p>
    <w:p w:rsidR="00975B62" w:rsidRPr="00C73365" w:rsidRDefault="00975B62" w:rsidP="00A96CCA">
      <w:pPr>
        <w:spacing w:after="0"/>
        <w:ind w:right="-2"/>
        <w:rPr>
          <w:rFonts w:asciiTheme="minorHAnsi" w:eastAsia="MS Mincho" w:hAnsiTheme="minorHAnsi" w:cstheme="minorHAnsi"/>
          <w:szCs w:val="20"/>
          <w:lang w:val="fr-FR" w:eastAsia="fr-FR"/>
        </w:rPr>
      </w:pPr>
    </w:p>
    <w:p w:rsidR="00975B62" w:rsidRPr="00C73365" w:rsidRDefault="00975B62" w:rsidP="00A96CCA">
      <w:pPr>
        <w:spacing w:after="0"/>
        <w:ind w:right="-2"/>
        <w:rPr>
          <w:rFonts w:asciiTheme="minorHAnsi" w:eastAsia="MS Mincho" w:hAnsiTheme="minorHAnsi" w:cstheme="minorHAnsi"/>
          <w:szCs w:val="20"/>
          <w:lang w:val="fr-FR" w:eastAsia="fr-FR"/>
        </w:rPr>
      </w:pPr>
    </w:p>
    <w:p w:rsidR="00975B62" w:rsidRPr="00C73365" w:rsidRDefault="00975B62" w:rsidP="00A96CCA">
      <w:pPr>
        <w:spacing w:after="0"/>
        <w:ind w:right="-2"/>
        <w:rPr>
          <w:rFonts w:asciiTheme="minorHAnsi" w:eastAsia="MS Mincho" w:hAnsiTheme="minorHAnsi" w:cstheme="minorHAnsi"/>
          <w:szCs w:val="20"/>
          <w:lang w:val="fr-FR" w:eastAsia="fr-FR"/>
        </w:rPr>
      </w:pPr>
    </w:p>
    <w:p w:rsidR="002473E0" w:rsidRPr="00C73365" w:rsidRDefault="002473E0" w:rsidP="00A96CCA">
      <w:pPr>
        <w:spacing w:after="0"/>
        <w:ind w:right="-2"/>
        <w:rPr>
          <w:rFonts w:asciiTheme="minorHAnsi" w:eastAsia="MS Mincho" w:hAnsiTheme="minorHAnsi" w:cstheme="minorHAnsi"/>
          <w:szCs w:val="20"/>
          <w:lang w:val="fr-FR" w:eastAsia="fr-FR"/>
        </w:rPr>
      </w:pPr>
    </w:p>
    <w:p w:rsidR="002473E0" w:rsidRPr="00C73365" w:rsidRDefault="002473E0" w:rsidP="00A96CCA">
      <w:pPr>
        <w:spacing w:after="0"/>
        <w:ind w:right="-2"/>
        <w:rPr>
          <w:rFonts w:asciiTheme="minorHAnsi" w:eastAsia="MS Mincho" w:hAnsiTheme="minorHAnsi" w:cstheme="minorHAnsi"/>
          <w:szCs w:val="20"/>
          <w:lang w:val="fr-FR" w:eastAsia="fr-FR"/>
        </w:rPr>
      </w:pPr>
    </w:p>
    <w:p w:rsidR="00452920" w:rsidRPr="00C73365" w:rsidRDefault="00452920" w:rsidP="00A96CCA">
      <w:pPr>
        <w:spacing w:after="0"/>
        <w:ind w:right="-2"/>
        <w:rPr>
          <w:rFonts w:asciiTheme="minorHAnsi" w:eastAsia="MS Mincho" w:hAnsiTheme="minorHAnsi" w:cstheme="minorHAnsi"/>
          <w:szCs w:val="20"/>
          <w:lang w:val="fr-FR" w:eastAsia="fr-FR"/>
        </w:rPr>
      </w:pPr>
    </w:p>
    <w:tbl>
      <w:tblPr>
        <w:tblW w:w="4613" w:type="dxa"/>
        <w:tblLook w:val="04A0" w:firstRow="1" w:lastRow="0" w:firstColumn="1" w:lastColumn="0" w:noHBand="0" w:noVBand="1"/>
      </w:tblPr>
      <w:tblGrid>
        <w:gridCol w:w="2213"/>
        <w:gridCol w:w="1131"/>
        <w:gridCol w:w="1269"/>
      </w:tblGrid>
      <w:tr w:rsidR="00452920" w:rsidRPr="00C73365" w:rsidTr="00452920">
        <w:trPr>
          <w:trHeight w:val="247"/>
        </w:trPr>
        <w:tc>
          <w:tcPr>
            <w:tcW w:w="2213" w:type="dxa"/>
            <w:tcBorders>
              <w:top w:val="single" w:sz="8" w:space="0" w:color="7030A0"/>
              <w:left w:val="nil"/>
              <w:bottom w:val="single" w:sz="8" w:space="0" w:color="7030A0"/>
              <w:right w:val="nil"/>
            </w:tcBorders>
            <w:shd w:val="clear" w:color="auto" w:fill="auto"/>
            <w:vAlign w:val="center"/>
            <w:hideMark/>
          </w:tcPr>
          <w:p w:rsidR="00452920" w:rsidRPr="00C73365" w:rsidRDefault="00452920" w:rsidP="00452920">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131" w:type="dxa"/>
            <w:tcBorders>
              <w:top w:val="single" w:sz="8" w:space="0" w:color="7030A0"/>
              <w:left w:val="nil"/>
              <w:bottom w:val="single" w:sz="8" w:space="0" w:color="7030A0"/>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Nombre d’Actions</w:t>
            </w:r>
          </w:p>
        </w:tc>
        <w:tc>
          <w:tcPr>
            <w:tcW w:w="1269" w:type="dxa"/>
            <w:tcBorders>
              <w:top w:val="single" w:sz="8" w:space="0" w:color="7030A0"/>
              <w:left w:val="nil"/>
              <w:bottom w:val="single" w:sz="8" w:space="0" w:color="7030A0"/>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 non dilué (capital)</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Holding Incubatrice MD</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257 600</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2,60%</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Truffle Capital</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5 921 954</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59,79%</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Direction</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6 500</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0,07%</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Conseil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administration</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446 011</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4,50%</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Salariés</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2 500</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0,03%</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Consultants**</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53 527</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0,54%</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187 883</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1,90%</w:t>
            </w:r>
          </w:p>
        </w:tc>
      </w:tr>
      <w:tr w:rsidR="00452920" w:rsidRPr="00C73365" w:rsidTr="00452920">
        <w:trPr>
          <w:trHeight w:val="235"/>
        </w:trPr>
        <w:tc>
          <w:tcPr>
            <w:tcW w:w="2213" w:type="dxa"/>
            <w:tcBorders>
              <w:top w:val="nil"/>
              <w:left w:val="nil"/>
              <w:bottom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Auto contrôle</w:t>
            </w:r>
          </w:p>
        </w:tc>
        <w:tc>
          <w:tcPr>
            <w:tcW w:w="1131" w:type="dxa"/>
            <w:tcBorders>
              <w:top w:val="nil"/>
              <w:left w:val="nil"/>
              <w:bottom w:val="nil"/>
              <w:right w:val="nil"/>
            </w:tcBorders>
            <w:shd w:val="clear" w:color="auto" w:fill="auto"/>
            <w:noWrap/>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34 050</w:t>
            </w:r>
          </w:p>
        </w:tc>
        <w:tc>
          <w:tcPr>
            <w:tcW w:w="1269" w:type="dxa"/>
            <w:tcBorders>
              <w:top w:val="nil"/>
              <w:left w:val="nil"/>
              <w:bottom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0,34%</w:t>
            </w:r>
          </w:p>
        </w:tc>
      </w:tr>
      <w:tr w:rsidR="00452920" w:rsidRPr="00C73365" w:rsidTr="00452920">
        <w:trPr>
          <w:trHeight w:val="247"/>
        </w:trPr>
        <w:tc>
          <w:tcPr>
            <w:tcW w:w="2213" w:type="dxa"/>
            <w:tcBorders>
              <w:top w:val="nil"/>
              <w:left w:val="nil"/>
              <w:bottom w:val="single" w:sz="8" w:space="0" w:color="7030A0"/>
              <w:right w:val="nil"/>
            </w:tcBorders>
            <w:shd w:val="clear" w:color="auto" w:fill="auto"/>
            <w:noWrap/>
            <w:vAlign w:val="center"/>
            <w:hideMark/>
          </w:tcPr>
          <w:p w:rsidR="00452920" w:rsidRPr="00C73365" w:rsidRDefault="00452920" w:rsidP="00452920">
            <w:pPr>
              <w:spacing w:after="0"/>
              <w:rPr>
                <w:rFonts w:asciiTheme="minorHAnsi" w:hAnsiTheme="minorHAnsi" w:cstheme="minorHAnsi"/>
                <w:color w:val="000000"/>
                <w:szCs w:val="20"/>
              </w:rPr>
            </w:pPr>
            <w:r w:rsidRPr="00C73365">
              <w:rPr>
                <w:rFonts w:asciiTheme="minorHAnsi" w:hAnsiTheme="minorHAnsi" w:cstheme="minorHAnsi"/>
                <w:color w:val="000000"/>
                <w:szCs w:val="20"/>
              </w:rPr>
              <w:t>Flottant</w:t>
            </w:r>
          </w:p>
        </w:tc>
        <w:tc>
          <w:tcPr>
            <w:tcW w:w="1131" w:type="dxa"/>
            <w:tcBorders>
              <w:top w:val="nil"/>
              <w:left w:val="nil"/>
              <w:bottom w:val="single" w:sz="8" w:space="0" w:color="7030A0"/>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2 994 204</w:t>
            </w:r>
          </w:p>
        </w:tc>
        <w:tc>
          <w:tcPr>
            <w:tcW w:w="1269" w:type="dxa"/>
            <w:tcBorders>
              <w:top w:val="nil"/>
              <w:left w:val="nil"/>
              <w:bottom w:val="single" w:sz="8" w:space="0" w:color="7030A0"/>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30,23%</w:t>
            </w:r>
          </w:p>
        </w:tc>
      </w:tr>
      <w:tr w:rsidR="00452920" w:rsidRPr="00C73365" w:rsidTr="004A7B49">
        <w:trPr>
          <w:trHeight w:val="247"/>
        </w:trPr>
        <w:tc>
          <w:tcPr>
            <w:tcW w:w="2213" w:type="dxa"/>
            <w:tcBorders>
              <w:top w:val="nil"/>
              <w:left w:val="nil"/>
              <w:right w:val="nil"/>
            </w:tcBorders>
            <w:shd w:val="clear" w:color="auto" w:fill="auto"/>
            <w:noWrap/>
            <w:vAlign w:val="center"/>
            <w:hideMark/>
          </w:tcPr>
          <w:p w:rsidR="00452920" w:rsidRPr="00C73365" w:rsidRDefault="00452920" w:rsidP="00452920">
            <w:pPr>
              <w:spacing w:after="0"/>
              <w:rPr>
                <w:rFonts w:asciiTheme="minorHAnsi" w:hAnsiTheme="minorHAnsi" w:cstheme="minorHAnsi"/>
                <w:b/>
                <w:bCs/>
                <w:color w:val="7030A0"/>
                <w:szCs w:val="20"/>
              </w:rPr>
            </w:pPr>
            <w:r w:rsidRPr="00C73365">
              <w:rPr>
                <w:rFonts w:asciiTheme="minorHAnsi" w:hAnsiTheme="minorHAnsi" w:cstheme="minorHAnsi"/>
                <w:b/>
                <w:bCs/>
                <w:color w:val="7030A0"/>
                <w:szCs w:val="20"/>
              </w:rPr>
              <w:t>Total</w:t>
            </w:r>
          </w:p>
        </w:tc>
        <w:tc>
          <w:tcPr>
            <w:tcW w:w="1131" w:type="dxa"/>
            <w:tcBorders>
              <w:top w:val="nil"/>
              <w:left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9 904 229</w:t>
            </w:r>
          </w:p>
        </w:tc>
        <w:tc>
          <w:tcPr>
            <w:tcW w:w="1269" w:type="dxa"/>
            <w:tcBorders>
              <w:top w:val="nil"/>
              <w:left w:val="nil"/>
              <w:right w:val="nil"/>
            </w:tcBorders>
            <w:shd w:val="clear" w:color="auto" w:fill="auto"/>
            <w:vAlign w:val="center"/>
            <w:hideMark/>
          </w:tcPr>
          <w:p w:rsidR="00452920" w:rsidRPr="00C73365" w:rsidRDefault="00452920" w:rsidP="00452920">
            <w:pPr>
              <w:spacing w:after="0"/>
              <w:jc w:val="center"/>
              <w:rPr>
                <w:rFonts w:asciiTheme="minorHAnsi" w:hAnsiTheme="minorHAnsi" w:cstheme="minorHAnsi"/>
                <w:b/>
                <w:bCs/>
                <w:color w:val="7030A0"/>
                <w:szCs w:val="20"/>
              </w:rPr>
            </w:pPr>
            <w:r w:rsidRPr="00C73365">
              <w:rPr>
                <w:rFonts w:asciiTheme="minorHAnsi" w:hAnsiTheme="minorHAnsi" w:cstheme="minorHAnsi"/>
                <w:b/>
                <w:bCs/>
                <w:color w:val="7030A0"/>
                <w:szCs w:val="20"/>
              </w:rPr>
              <w:t>100,00%</w:t>
            </w:r>
          </w:p>
        </w:tc>
      </w:tr>
      <w:tr w:rsidR="00253A11" w:rsidRPr="00C73365" w:rsidTr="004A7B49">
        <w:trPr>
          <w:trHeight w:val="247"/>
        </w:trPr>
        <w:tc>
          <w:tcPr>
            <w:tcW w:w="2213" w:type="dxa"/>
            <w:tcBorders>
              <w:top w:val="nil"/>
              <w:left w:val="nil"/>
              <w:right w:val="nil"/>
            </w:tcBorders>
            <w:shd w:val="clear" w:color="auto" w:fill="auto"/>
            <w:noWrap/>
            <w:vAlign w:val="center"/>
          </w:tcPr>
          <w:p w:rsidR="00253A11" w:rsidRPr="00C73365" w:rsidRDefault="00253A11" w:rsidP="00452920">
            <w:pPr>
              <w:spacing w:after="0"/>
              <w:rPr>
                <w:rFonts w:asciiTheme="minorHAnsi" w:hAnsiTheme="minorHAnsi" w:cstheme="minorHAnsi"/>
                <w:b/>
                <w:bCs/>
                <w:color w:val="7030A0"/>
                <w:szCs w:val="20"/>
                <w:lang w:val="fr-FR"/>
              </w:rPr>
            </w:pPr>
          </w:p>
        </w:tc>
        <w:tc>
          <w:tcPr>
            <w:tcW w:w="1131" w:type="dxa"/>
            <w:tcBorders>
              <w:top w:val="nil"/>
              <w:left w:val="nil"/>
              <w:right w:val="nil"/>
            </w:tcBorders>
            <w:shd w:val="clear" w:color="auto" w:fill="auto"/>
            <w:vAlign w:val="center"/>
          </w:tcPr>
          <w:p w:rsidR="00253A11" w:rsidRPr="00C73365" w:rsidRDefault="00253A11" w:rsidP="00452920">
            <w:pPr>
              <w:spacing w:after="0"/>
              <w:jc w:val="center"/>
              <w:rPr>
                <w:rFonts w:asciiTheme="minorHAnsi" w:hAnsiTheme="minorHAnsi" w:cstheme="minorHAnsi"/>
                <w:b/>
                <w:bCs/>
                <w:color w:val="7030A0"/>
                <w:szCs w:val="20"/>
                <w:lang w:val="fr-FR"/>
              </w:rPr>
            </w:pPr>
          </w:p>
        </w:tc>
        <w:tc>
          <w:tcPr>
            <w:tcW w:w="1269" w:type="dxa"/>
            <w:tcBorders>
              <w:top w:val="nil"/>
              <w:left w:val="nil"/>
              <w:right w:val="nil"/>
            </w:tcBorders>
            <w:shd w:val="clear" w:color="auto" w:fill="auto"/>
            <w:vAlign w:val="center"/>
          </w:tcPr>
          <w:p w:rsidR="00253A11" w:rsidRPr="00C73365" w:rsidRDefault="00253A11" w:rsidP="00452920">
            <w:pPr>
              <w:spacing w:after="0"/>
              <w:jc w:val="center"/>
              <w:rPr>
                <w:rFonts w:asciiTheme="minorHAnsi" w:hAnsiTheme="minorHAnsi" w:cstheme="minorHAnsi"/>
                <w:b/>
                <w:bCs/>
                <w:color w:val="7030A0"/>
                <w:szCs w:val="20"/>
                <w:lang w:val="fr-FR"/>
              </w:rPr>
            </w:pPr>
          </w:p>
        </w:tc>
      </w:tr>
    </w:tbl>
    <w:p w:rsidR="00452920" w:rsidRPr="00C73365" w:rsidRDefault="00452920" w:rsidP="00A96CCA">
      <w:pPr>
        <w:spacing w:after="0"/>
        <w:ind w:right="-2"/>
        <w:rPr>
          <w:rFonts w:asciiTheme="minorHAnsi" w:eastAsia="MS Mincho" w:hAnsiTheme="minorHAnsi" w:cstheme="minorHAnsi"/>
          <w:szCs w:val="20"/>
          <w:lang w:val="fr-FR" w:eastAsia="fr-FR"/>
        </w:rPr>
      </w:pPr>
    </w:p>
    <w:p w:rsidR="00452920" w:rsidRPr="00C73365" w:rsidRDefault="00452920" w:rsidP="00A96CCA">
      <w:pPr>
        <w:spacing w:after="0"/>
        <w:ind w:right="-2"/>
        <w:rPr>
          <w:rFonts w:asciiTheme="minorHAnsi" w:eastAsia="MS Mincho" w:hAnsiTheme="minorHAnsi" w:cstheme="minorHAnsi"/>
          <w:szCs w:val="20"/>
          <w:lang w:val="fr-FR" w:eastAsia="fr-FR"/>
        </w:rPr>
      </w:pPr>
    </w:p>
    <w:p w:rsidR="00452920" w:rsidRPr="00C73365" w:rsidRDefault="00452920" w:rsidP="00A96CCA">
      <w:pPr>
        <w:spacing w:after="0"/>
        <w:ind w:right="-2"/>
        <w:rPr>
          <w:rFonts w:asciiTheme="minorHAnsi" w:eastAsia="MS Mincho" w:hAnsiTheme="minorHAnsi" w:cstheme="minorHAnsi"/>
          <w:szCs w:val="20"/>
          <w:lang w:val="fr-FR" w:eastAsia="fr-FR"/>
        </w:rPr>
      </w:pPr>
    </w:p>
    <w:p w:rsidR="00452920" w:rsidRPr="00C73365" w:rsidRDefault="00452920" w:rsidP="00A96CCA">
      <w:pPr>
        <w:spacing w:after="0"/>
        <w:ind w:right="-2"/>
        <w:rPr>
          <w:rFonts w:asciiTheme="minorHAnsi" w:eastAsia="MS Mincho" w:hAnsiTheme="minorHAnsi" w:cstheme="minorHAnsi"/>
          <w:szCs w:val="20"/>
          <w:lang w:val="fr-FR" w:eastAsia="fr-FR"/>
        </w:rPr>
      </w:pPr>
    </w:p>
    <w:p w:rsidR="004A7B49" w:rsidRDefault="004A7B49" w:rsidP="004572A0">
      <w:pPr>
        <w:pStyle w:val="BodyText"/>
        <w:rPr>
          <w:rFonts w:asciiTheme="minorHAnsi" w:eastAsia="MS Mincho" w:hAnsiTheme="minorHAnsi" w:cstheme="minorHAnsi"/>
          <w:lang w:val="fr-FR" w:eastAsia="fr-FR"/>
        </w:rPr>
      </w:pPr>
    </w:p>
    <w:p w:rsidR="00253A11" w:rsidRPr="00C73365" w:rsidRDefault="00253A11" w:rsidP="004572A0">
      <w:pPr>
        <w:pStyle w:val="BodyText"/>
        <w:rPr>
          <w:rFonts w:asciiTheme="minorHAnsi" w:hAnsiTheme="minorHAnsi" w:cstheme="minorHAnsi"/>
          <w:lang w:val="fr-FR"/>
        </w:rPr>
      </w:pPr>
      <w:r w:rsidRPr="00C73365">
        <w:rPr>
          <w:rFonts w:asciiTheme="minorHAnsi" w:hAnsiTheme="minorHAnsi" w:cstheme="minorHAnsi"/>
          <w:lang w:val="fr-FR"/>
        </w:rPr>
        <w:t>*Autres : regroupe les actionnaires minoritaires historiques ou titulaires de BSA/</w:t>
      </w:r>
      <w:r w:rsidR="00656913">
        <w:rPr>
          <w:rFonts w:asciiTheme="minorHAnsi" w:hAnsiTheme="minorHAnsi" w:cstheme="minorHAnsi"/>
          <w:lang w:val="fr-FR"/>
        </w:rPr>
        <w:t>BCE</w:t>
      </w:r>
      <w:r w:rsidRPr="00C73365">
        <w:rPr>
          <w:rFonts w:asciiTheme="minorHAnsi" w:hAnsiTheme="minorHAnsi" w:cstheme="minorHAnsi"/>
          <w:lang w:val="fr-FR"/>
        </w:rPr>
        <w:t xml:space="preserve"> ainsi que des anciens salariés de la société, des anciens membres du conseil ou certains membres des comités.</w:t>
      </w:r>
    </w:p>
    <w:p w:rsidR="00975B62" w:rsidRPr="00C73365" w:rsidRDefault="00253A11" w:rsidP="004572A0">
      <w:pPr>
        <w:pStyle w:val="BodyText"/>
        <w:rPr>
          <w:rFonts w:asciiTheme="minorHAnsi" w:hAnsiTheme="minorHAnsi" w:cstheme="minorHAnsi"/>
          <w:lang w:val="fr-FR"/>
        </w:rPr>
        <w:sectPr w:rsidR="00975B62" w:rsidRPr="00C73365" w:rsidSect="007C607C">
          <w:footerReference w:type="default" r:id="rId94"/>
          <w:type w:val="continuous"/>
          <w:pgSz w:w="11906" w:h="16838"/>
          <w:pgMar w:top="1134" w:right="1134" w:bottom="1134" w:left="1134" w:header="709" w:footer="709" w:gutter="0"/>
          <w:cols w:num="2" w:space="397"/>
          <w:docGrid w:linePitch="360"/>
        </w:sectPr>
      </w:pPr>
      <w:r w:rsidRPr="00C73365">
        <w:rPr>
          <w:rFonts w:asciiTheme="minorHAnsi" w:hAnsiTheme="minorHAnsi" w:cstheme="minorHAnsi"/>
          <w:lang w:val="fr-FR"/>
        </w:rPr>
        <w:t xml:space="preserve">**Consultants : ce sont toutes les personnes qui ont un contrat de consultant avec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(consultants scientifiques, stratégiques</w:t>
      </w:r>
      <w:r w:rsidR="00B97E97" w:rsidRPr="00C73365">
        <w:rPr>
          <w:rFonts w:asciiTheme="minorHAnsi" w:hAnsiTheme="minorHAnsi" w:cstheme="minorHAnsi"/>
          <w:lang w:val="fr-FR"/>
        </w:rPr>
        <w:t>)</w:t>
      </w:r>
    </w:p>
    <w:p w:rsidR="00975B62" w:rsidRPr="00C73365" w:rsidRDefault="00975B62" w:rsidP="004572A0">
      <w:pPr>
        <w:pStyle w:val="BodyText"/>
        <w:rPr>
          <w:rFonts w:asciiTheme="minorHAnsi" w:eastAsia="MS Mincho" w:hAnsiTheme="minorHAnsi" w:cstheme="minorHAnsi"/>
          <w:highlight w:val="yellow"/>
          <w:lang w:val="fr-FR" w:eastAsia="fr-FR"/>
        </w:rPr>
        <w:sectPr w:rsidR="00975B62" w:rsidRPr="00C73365" w:rsidSect="00C50FC3">
          <w:type w:val="continuous"/>
          <w:pgSz w:w="11906" w:h="16838"/>
          <w:pgMar w:top="1134" w:right="1134" w:bottom="1134" w:left="1134" w:header="709" w:footer="709" w:gutter="0"/>
          <w:cols w:space="397"/>
          <w:docGrid w:linePitch="360"/>
        </w:sectPr>
      </w:pPr>
    </w:p>
    <w:p w:rsidR="004A54FF" w:rsidRPr="004A7B49"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Emission d’instruments financiers dilutifs (</w:t>
      </w:r>
      <w:r w:rsidR="00656913">
        <w:rPr>
          <w:rFonts w:asciiTheme="minorHAnsi" w:eastAsia="MS Mincho" w:hAnsiTheme="minorHAnsi" w:cstheme="minorHAnsi"/>
          <w:b/>
          <w:lang w:val="fr-FR" w:eastAsia="fr-FR"/>
        </w:rPr>
        <w:t>BCE</w:t>
      </w:r>
      <w:r w:rsidRPr="00C73365">
        <w:rPr>
          <w:rFonts w:asciiTheme="minorHAnsi" w:eastAsia="MS Mincho" w:hAnsiTheme="minorHAnsi" w:cstheme="minorHAnsi"/>
          <w:b/>
          <w:lang w:val="fr-FR" w:eastAsia="fr-FR"/>
        </w:rPr>
        <w:t xml:space="preserve"> et BSA)</w:t>
      </w:r>
      <w:r w:rsidR="005D0722" w:rsidRPr="00C73365">
        <w:rPr>
          <w:rFonts w:asciiTheme="minorHAnsi" w:eastAsia="MS Mincho" w:hAnsiTheme="minorHAnsi" w:cstheme="minorHAnsi"/>
          <w:b/>
          <w:lang w:val="fr-FR" w:eastAsia="fr-FR"/>
        </w:rPr>
        <w:t xml:space="preserve"> </w:t>
      </w:r>
      <w:r w:rsidRPr="00C73365">
        <w:rPr>
          <w:rFonts w:asciiTheme="minorHAnsi" w:eastAsia="MS Mincho" w:hAnsiTheme="minorHAnsi" w:cstheme="minorHAnsi"/>
          <w:lang w:val="fr-FR" w:eastAsia="fr-FR"/>
        </w:rPr>
        <w:t xml:space="preserve">La société a émis les titres donnant accès à son capital (bons de souscription de parts de créateur d’entreprise – </w:t>
      </w:r>
      <w:r w:rsidRPr="00C73365">
        <w:rPr>
          <w:rFonts w:asciiTheme="minorHAnsi" w:eastAsia="MS Mincho" w:hAnsiTheme="minorHAnsi" w:cstheme="minorHAnsi"/>
          <w:lang w:val="fr-FR" w:eastAsia="fr-FR"/>
        </w:rPr>
        <w:t xml:space="preserve">BCE- et bons de souscription d’actions – BSA) détaillés dans le tableau présenté ci-après (données mises à jour au </w:t>
      </w:r>
      <w:r w:rsidR="00575359" w:rsidRPr="00C73365">
        <w:rPr>
          <w:rFonts w:asciiTheme="minorHAnsi" w:eastAsia="MS Mincho" w:hAnsiTheme="minorHAnsi" w:cstheme="minorHAnsi"/>
          <w:lang w:val="fr-FR" w:eastAsia="fr-FR"/>
        </w:rPr>
        <w:t xml:space="preserve">31 Décembre </w:t>
      </w:r>
      <w:r w:rsidR="005D0722" w:rsidRPr="00C73365">
        <w:rPr>
          <w:rFonts w:asciiTheme="minorHAnsi" w:eastAsia="MS Mincho" w:hAnsiTheme="minorHAnsi" w:cstheme="minorHAnsi"/>
          <w:lang w:val="fr-FR" w:eastAsia="fr-FR"/>
        </w:rPr>
        <w:t>2017</w:t>
      </w:r>
      <w:r w:rsidRPr="00C73365">
        <w:rPr>
          <w:rFonts w:asciiTheme="minorHAnsi" w:eastAsia="MS Mincho" w:hAnsiTheme="minorHAnsi" w:cstheme="minorHAnsi"/>
          <w:lang w:val="fr-FR" w:eastAsia="fr-FR"/>
        </w:rPr>
        <w:t>)</w:t>
      </w:r>
    </w:p>
    <w:p w:rsidR="005D0722" w:rsidRPr="00C73365" w:rsidRDefault="005D0722" w:rsidP="004572A0">
      <w:pPr>
        <w:pStyle w:val="BodyText"/>
        <w:rPr>
          <w:rFonts w:asciiTheme="minorHAnsi" w:eastAsia="MS Mincho" w:hAnsiTheme="minorHAnsi" w:cstheme="minorHAnsi"/>
          <w:lang w:val="fr-FR" w:eastAsia="fr-FR"/>
        </w:rPr>
        <w:sectPr w:rsidR="005D0722" w:rsidRPr="00C73365" w:rsidSect="00C50FC3">
          <w:type w:val="continuous"/>
          <w:pgSz w:w="11906" w:h="16838"/>
          <w:pgMar w:top="1134" w:right="1134" w:bottom="1134" w:left="1134" w:header="709" w:footer="709" w:gutter="0"/>
          <w:cols w:num="2" w:space="397"/>
          <w:docGrid w:linePitch="360"/>
        </w:sectPr>
      </w:pPr>
    </w:p>
    <w:tbl>
      <w:tblPr>
        <w:tblW w:w="8900" w:type="dxa"/>
        <w:tblCellMar>
          <w:left w:w="0" w:type="dxa"/>
          <w:right w:w="0" w:type="dxa"/>
        </w:tblCellMar>
        <w:tblLook w:val="04A0" w:firstRow="1" w:lastRow="0" w:firstColumn="1" w:lastColumn="0" w:noHBand="0" w:noVBand="1"/>
      </w:tblPr>
      <w:tblGrid>
        <w:gridCol w:w="1460"/>
        <w:gridCol w:w="1240"/>
        <w:gridCol w:w="1240"/>
        <w:gridCol w:w="1240"/>
        <w:gridCol w:w="1240"/>
        <w:gridCol w:w="1240"/>
        <w:gridCol w:w="1240"/>
      </w:tblGrid>
      <w:tr w:rsidR="00333B95" w:rsidRPr="00C73365" w:rsidTr="00117EB8">
        <w:trPr>
          <w:trHeight w:val="852"/>
        </w:trPr>
        <w:tc>
          <w:tcPr>
            <w:tcW w:w="146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val="fr-FR" w:eastAsia="fr-FR"/>
              </w:rPr>
            </w:pPr>
            <w:r w:rsidRPr="00C73365">
              <w:rPr>
                <w:rFonts w:asciiTheme="minorHAnsi" w:hAnsiTheme="minorHAnsi" w:cstheme="minorHAnsi"/>
                <w:szCs w:val="20"/>
                <w:lang w:val="fr-FR" w:eastAsia="fr-FR"/>
              </w:rPr>
              <w:t> </w:t>
            </w:r>
          </w:p>
        </w:tc>
        <w:tc>
          <w:tcPr>
            <w:tcW w:w="124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Emis</w:t>
            </w:r>
          </w:p>
        </w:tc>
        <w:tc>
          <w:tcPr>
            <w:tcW w:w="124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Souscrits</w:t>
            </w:r>
          </w:p>
        </w:tc>
        <w:tc>
          <w:tcPr>
            <w:tcW w:w="124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Exercés</w:t>
            </w:r>
          </w:p>
        </w:tc>
        <w:tc>
          <w:tcPr>
            <w:tcW w:w="124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Caducs</w:t>
            </w:r>
          </w:p>
        </w:tc>
        <w:tc>
          <w:tcPr>
            <w:tcW w:w="124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Solde</w:t>
            </w:r>
          </w:p>
        </w:tc>
        <w:tc>
          <w:tcPr>
            <w:tcW w:w="1240" w:type="dxa"/>
            <w:tcBorders>
              <w:top w:val="single" w:sz="12"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Nombre d</w:t>
            </w:r>
            <w:r w:rsidR="004572A0" w:rsidRPr="00C73365">
              <w:rPr>
                <w:rFonts w:asciiTheme="minorHAnsi" w:hAnsiTheme="minorHAnsi" w:cstheme="minorHAnsi"/>
                <w:b/>
                <w:bCs/>
                <w:szCs w:val="20"/>
                <w:lang w:eastAsia="fr-FR"/>
              </w:rPr>
              <w:t>’</w:t>
            </w:r>
            <w:r w:rsidRPr="00C73365">
              <w:rPr>
                <w:rFonts w:asciiTheme="minorHAnsi" w:hAnsiTheme="minorHAnsi" w:cstheme="minorHAnsi"/>
                <w:b/>
                <w:bCs/>
                <w:szCs w:val="20"/>
                <w:lang w:eastAsia="fr-FR"/>
              </w:rPr>
              <w:t>actions à émettre</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2 750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2 750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2 750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275 000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2 750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2 750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400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2 350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235 000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BCE-2014-3</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1 389</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1 389</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763</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626</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984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984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884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88 400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197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197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28</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169</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BCE-2014-6</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52 500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BCE-2014-7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1 650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1 650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990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660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66 000</w:t>
            </w:r>
          </w:p>
        </w:tc>
      </w:tr>
      <w:tr w:rsidR="00333B95" w:rsidRPr="00C73365" w:rsidTr="00117EB8">
        <w:trPr>
          <w:trHeight w:val="288"/>
        </w:trPr>
        <w:tc>
          <w:tcPr>
            <w:tcW w:w="1460" w:type="dxa"/>
            <w:tcBorders>
              <w:top w:val="nil"/>
              <w:left w:val="nil"/>
              <w:bottom w:val="single" w:sz="8" w:space="0" w:color="FFFFFF"/>
              <w:right w:val="nil"/>
            </w:tcBorders>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BCE-2015-9</w:t>
            </w:r>
          </w:p>
        </w:tc>
        <w:tc>
          <w:tcPr>
            <w:tcW w:w="1240" w:type="dxa"/>
            <w:tcBorders>
              <w:top w:val="nil"/>
              <w:left w:val="nil"/>
              <w:bottom w:val="single" w:sz="8" w:space="0" w:color="FFFFFF"/>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202 122</w:t>
            </w:r>
          </w:p>
        </w:tc>
        <w:tc>
          <w:tcPr>
            <w:tcW w:w="1240" w:type="dxa"/>
            <w:tcBorders>
              <w:top w:val="nil"/>
              <w:left w:val="nil"/>
              <w:bottom w:val="single" w:sz="8" w:space="0" w:color="FFFFFF"/>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202 122</w:t>
            </w:r>
          </w:p>
        </w:tc>
        <w:tc>
          <w:tcPr>
            <w:tcW w:w="1240" w:type="dxa"/>
            <w:tcBorders>
              <w:top w:val="nil"/>
              <w:left w:val="nil"/>
              <w:bottom w:val="single" w:sz="8" w:space="0" w:color="FFFFFF"/>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Borders>
              <w:top w:val="nil"/>
              <w:left w:val="nil"/>
              <w:bottom w:val="single" w:sz="8" w:space="0" w:color="FFFFFF"/>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202 122</w:t>
            </w:r>
          </w:p>
        </w:tc>
        <w:tc>
          <w:tcPr>
            <w:tcW w:w="1240" w:type="dxa"/>
            <w:tcBorders>
              <w:top w:val="nil"/>
              <w:left w:val="nil"/>
              <w:bottom w:val="single" w:sz="8" w:space="0" w:color="FFFFFF"/>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Borders>
              <w:top w:val="nil"/>
              <w:left w:val="nil"/>
              <w:bottom w:val="single" w:sz="8" w:space="0" w:color="FFFFFF"/>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BCE-2016-1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84 000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84 000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2 500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A021F1"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81 500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81 500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BCE-2017-1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BCE-2017-2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150 000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150 000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150 000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150 000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BCE-2017-3</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101 061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101 061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101 061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101 061</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BCE-2017-5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67 374</w:t>
            </w:r>
          </w:p>
        </w:tc>
      </w:tr>
      <w:tr w:rsidR="00333B95" w:rsidRPr="00C73365" w:rsidTr="00117EB8">
        <w:trPr>
          <w:trHeight w:val="300"/>
        </w:trPr>
        <w:tc>
          <w:tcPr>
            <w:tcW w:w="1460" w:type="dxa"/>
            <w:tcBorders>
              <w:top w:val="single" w:sz="8" w:space="0" w:color="7030A0"/>
              <w:left w:val="nil"/>
              <w:bottom w:val="single" w:sz="8" w:space="0" w:color="7030A0"/>
              <w:right w:val="nil"/>
            </w:tcBorders>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Total BCE</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749 550</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749 550</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3791</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203 907</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544 352</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1 251 583</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394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394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394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677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448</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229</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BSA-2014-3</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1 172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1 008</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64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844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84 400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1 315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1 315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473</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842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84 160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BSA-2014-5</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787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787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787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78 700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BSA-2014-6</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BSA-2014-7</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29</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5 200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BSA-2015-9</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122 274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BSA-2015-11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96 924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96 924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96 924</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96 924</w:t>
            </w:r>
          </w:p>
        </w:tc>
      </w:tr>
      <w:tr w:rsidR="00333B95" w:rsidRPr="00C73365" w:rsidTr="00117EB8">
        <w:trPr>
          <w:trHeight w:val="288"/>
        </w:trPr>
        <w:tc>
          <w:tcPr>
            <w:tcW w:w="1460" w:type="dxa"/>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BSA-2015-12</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82 000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32 800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32 800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32 800</w:t>
            </w:r>
          </w:p>
        </w:tc>
      </w:tr>
      <w:tr w:rsidR="00333B95" w:rsidRPr="00C73365" w:rsidTr="00117EB8">
        <w:trPr>
          <w:trHeight w:val="300"/>
        </w:trPr>
        <w:tc>
          <w:tcPr>
            <w:tcW w:w="1460" w:type="dxa"/>
            <w:tcBorders>
              <w:top w:val="nil"/>
              <w:left w:val="nil"/>
              <w:bottom w:val="single" w:sz="8" w:space="0" w:color="7030A0"/>
              <w:right w:val="nil"/>
            </w:tcBorders>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BSA-2017-1</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16 400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16 400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16 400</w:t>
            </w:r>
          </w:p>
        </w:tc>
        <w:tc>
          <w:tcPr>
            <w:tcW w:w="1240" w:type="dxa"/>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16 400</w:t>
            </w:r>
          </w:p>
        </w:tc>
      </w:tr>
      <w:tr w:rsidR="00333B95" w:rsidRPr="00C73365" w:rsidTr="00117EB8">
        <w:trPr>
          <w:trHeight w:val="300"/>
        </w:trPr>
        <w:tc>
          <w:tcPr>
            <w:tcW w:w="1460" w:type="dxa"/>
            <w:tcBorders>
              <w:top w:val="nil"/>
              <w:left w:val="nil"/>
              <w:bottom w:val="single" w:sz="8" w:space="0" w:color="7030A0"/>
              <w:right w:val="nil"/>
            </w:tcBorders>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szCs w:val="20"/>
                <w:lang w:eastAsia="fr-FR"/>
              </w:rPr>
            </w:pPr>
            <w:r w:rsidRPr="00C73365">
              <w:rPr>
                <w:rFonts w:asciiTheme="minorHAnsi" w:hAnsiTheme="minorHAnsi" w:cstheme="minorHAnsi"/>
                <w:szCs w:val="20"/>
                <w:lang w:eastAsia="fr-FR"/>
              </w:rPr>
              <w:t>Total BSA</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322 076</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150 438</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1460</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329</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148 649</w:t>
            </w:r>
          </w:p>
        </w:tc>
        <w:tc>
          <w:tcPr>
            <w:tcW w:w="1240" w:type="dxa"/>
            <w:tcBorders>
              <w:top w:val="single" w:sz="8" w:space="0" w:color="7030A0"/>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szCs w:val="20"/>
                <w:lang w:eastAsia="fr-FR"/>
              </w:rPr>
            </w:pPr>
            <w:r w:rsidRPr="00C73365">
              <w:rPr>
                <w:rFonts w:asciiTheme="minorHAnsi" w:hAnsiTheme="minorHAnsi" w:cstheme="minorHAnsi"/>
                <w:szCs w:val="20"/>
                <w:lang w:eastAsia="fr-FR"/>
              </w:rPr>
              <w:t>398 584</w:t>
            </w:r>
          </w:p>
        </w:tc>
      </w:tr>
      <w:tr w:rsidR="00333B95" w:rsidRPr="00C73365" w:rsidTr="00117EB8">
        <w:trPr>
          <w:trHeight w:val="300"/>
        </w:trPr>
        <w:tc>
          <w:tcPr>
            <w:tcW w:w="1460" w:type="dxa"/>
            <w:tcBorders>
              <w:top w:val="nil"/>
              <w:left w:val="nil"/>
              <w:bottom w:val="single" w:sz="8" w:space="0" w:color="7030A0"/>
              <w:right w:val="nil"/>
            </w:tcBorders>
            <w:noWrap/>
            <w:tcMar>
              <w:top w:w="0" w:type="dxa"/>
              <w:left w:w="70" w:type="dxa"/>
              <w:bottom w:w="0" w:type="dxa"/>
              <w:right w:w="70" w:type="dxa"/>
            </w:tcMar>
            <w:vAlign w:val="center"/>
            <w:hideMark/>
          </w:tcPr>
          <w:p w:rsidR="00333B95" w:rsidRPr="00C73365" w:rsidRDefault="00333B95" w:rsidP="00A96CCA">
            <w:pPr>
              <w:widowControl w:val="0"/>
              <w:spacing w:after="0"/>
              <w:rPr>
                <w:rFonts w:asciiTheme="minorHAnsi" w:hAnsiTheme="minorHAnsi" w:cstheme="minorHAnsi"/>
                <w:b/>
                <w:bCs/>
                <w:szCs w:val="20"/>
                <w:lang w:eastAsia="fr-FR"/>
              </w:rPr>
            </w:pPr>
            <w:r w:rsidRPr="00C73365">
              <w:rPr>
                <w:rFonts w:asciiTheme="minorHAnsi" w:hAnsiTheme="minorHAnsi" w:cstheme="minorHAnsi"/>
                <w:b/>
                <w:bCs/>
                <w:szCs w:val="20"/>
                <w:lang w:eastAsia="fr-FR"/>
              </w:rPr>
              <w:t>Total BCE+BSA</w:t>
            </w:r>
          </w:p>
        </w:tc>
        <w:tc>
          <w:tcPr>
            <w:tcW w:w="1240" w:type="dxa"/>
            <w:tcBorders>
              <w:top w:val="nil"/>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b/>
                <w:bCs/>
                <w:szCs w:val="20"/>
                <w:lang w:eastAsia="fr-FR"/>
              </w:rPr>
            </w:pPr>
            <w:r w:rsidRPr="00C73365">
              <w:rPr>
                <w:rFonts w:asciiTheme="minorHAnsi" w:hAnsiTheme="minorHAnsi" w:cstheme="minorHAnsi"/>
                <w:b/>
                <w:bCs/>
                <w:szCs w:val="20"/>
                <w:lang w:eastAsia="fr-FR"/>
              </w:rPr>
              <w:t>1 071 626</w:t>
            </w:r>
          </w:p>
        </w:tc>
        <w:tc>
          <w:tcPr>
            <w:tcW w:w="1240" w:type="dxa"/>
            <w:tcBorders>
              <w:top w:val="nil"/>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b/>
                <w:bCs/>
                <w:szCs w:val="20"/>
                <w:lang w:eastAsia="fr-FR"/>
              </w:rPr>
            </w:pPr>
            <w:r w:rsidRPr="00C73365">
              <w:rPr>
                <w:rFonts w:asciiTheme="minorHAnsi" w:hAnsiTheme="minorHAnsi" w:cstheme="minorHAnsi"/>
                <w:b/>
                <w:bCs/>
                <w:szCs w:val="20"/>
                <w:lang w:eastAsia="fr-FR"/>
              </w:rPr>
              <w:t>899 988</w:t>
            </w:r>
          </w:p>
        </w:tc>
        <w:tc>
          <w:tcPr>
            <w:tcW w:w="1240" w:type="dxa"/>
            <w:tcBorders>
              <w:top w:val="nil"/>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b/>
                <w:bCs/>
                <w:szCs w:val="20"/>
                <w:lang w:eastAsia="fr-FR"/>
              </w:rPr>
            </w:pPr>
            <w:r w:rsidRPr="00C73365">
              <w:rPr>
                <w:rFonts w:asciiTheme="minorHAnsi" w:hAnsiTheme="minorHAnsi" w:cstheme="minorHAnsi"/>
                <w:b/>
                <w:bCs/>
                <w:szCs w:val="20"/>
                <w:lang w:eastAsia="fr-FR"/>
              </w:rPr>
              <w:t>5 251</w:t>
            </w:r>
          </w:p>
        </w:tc>
        <w:tc>
          <w:tcPr>
            <w:tcW w:w="1240" w:type="dxa"/>
            <w:tcBorders>
              <w:top w:val="nil"/>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b/>
                <w:bCs/>
                <w:szCs w:val="20"/>
                <w:lang w:eastAsia="fr-FR"/>
              </w:rPr>
            </w:pPr>
            <w:r w:rsidRPr="00C73365">
              <w:rPr>
                <w:rFonts w:asciiTheme="minorHAnsi" w:hAnsiTheme="minorHAnsi" w:cstheme="minorHAnsi"/>
                <w:b/>
                <w:bCs/>
                <w:szCs w:val="20"/>
                <w:lang w:eastAsia="fr-FR"/>
              </w:rPr>
              <w:t>204 236</w:t>
            </w:r>
          </w:p>
        </w:tc>
        <w:tc>
          <w:tcPr>
            <w:tcW w:w="1240" w:type="dxa"/>
            <w:tcBorders>
              <w:top w:val="nil"/>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b/>
                <w:bCs/>
                <w:szCs w:val="20"/>
                <w:lang w:eastAsia="fr-FR"/>
              </w:rPr>
            </w:pPr>
            <w:r w:rsidRPr="00C73365">
              <w:rPr>
                <w:rFonts w:asciiTheme="minorHAnsi" w:hAnsiTheme="minorHAnsi" w:cstheme="minorHAnsi"/>
                <w:b/>
                <w:bCs/>
                <w:szCs w:val="20"/>
                <w:lang w:eastAsia="fr-FR"/>
              </w:rPr>
              <w:t>693 001</w:t>
            </w:r>
          </w:p>
        </w:tc>
        <w:tc>
          <w:tcPr>
            <w:tcW w:w="1240" w:type="dxa"/>
            <w:tcBorders>
              <w:top w:val="nil"/>
              <w:left w:val="nil"/>
              <w:bottom w:val="single" w:sz="8" w:space="0" w:color="7030A0"/>
              <w:right w:val="nil"/>
            </w:tcBorders>
            <w:tcMar>
              <w:top w:w="0" w:type="dxa"/>
              <w:left w:w="70" w:type="dxa"/>
              <w:bottom w:w="0" w:type="dxa"/>
              <w:right w:w="70" w:type="dxa"/>
            </w:tcMar>
            <w:vAlign w:val="center"/>
            <w:hideMark/>
          </w:tcPr>
          <w:p w:rsidR="00333B95" w:rsidRPr="00C73365" w:rsidRDefault="00333B95" w:rsidP="00A96CCA">
            <w:pPr>
              <w:widowControl w:val="0"/>
              <w:spacing w:after="0"/>
              <w:jc w:val="right"/>
              <w:rPr>
                <w:rFonts w:asciiTheme="minorHAnsi" w:hAnsiTheme="minorHAnsi" w:cstheme="minorHAnsi"/>
                <w:b/>
                <w:bCs/>
                <w:szCs w:val="20"/>
                <w:lang w:eastAsia="fr-FR"/>
              </w:rPr>
            </w:pPr>
            <w:r w:rsidRPr="00C73365">
              <w:rPr>
                <w:rFonts w:asciiTheme="minorHAnsi" w:hAnsiTheme="minorHAnsi" w:cstheme="minorHAnsi"/>
                <w:b/>
                <w:bCs/>
                <w:szCs w:val="20"/>
                <w:lang w:eastAsia="fr-FR"/>
              </w:rPr>
              <w:t>1 650 167</w:t>
            </w:r>
          </w:p>
        </w:tc>
      </w:tr>
    </w:tbl>
    <w:p w:rsidR="00333B95" w:rsidRPr="00C73365" w:rsidRDefault="00333B95" w:rsidP="00A96CCA">
      <w:pPr>
        <w:spacing w:after="0"/>
        <w:rPr>
          <w:rFonts w:asciiTheme="minorHAnsi" w:eastAsia="MS Mincho" w:hAnsiTheme="minorHAnsi" w:cstheme="minorHAnsi"/>
          <w:szCs w:val="20"/>
          <w:lang w:val="fr-FR" w:eastAsia="fr-FR"/>
        </w:rPr>
      </w:pPr>
    </w:p>
    <w:p w:rsidR="004A54FF" w:rsidRPr="00C73365" w:rsidRDefault="004A54FF" w:rsidP="00A96CCA">
      <w:pPr>
        <w:spacing w:after="0"/>
        <w:rPr>
          <w:rFonts w:asciiTheme="minorHAnsi" w:eastAsia="MS Mincho" w:hAnsiTheme="minorHAnsi" w:cstheme="minorHAnsi"/>
          <w:szCs w:val="20"/>
          <w:lang w:val="fr-FR" w:eastAsia="fr-FR"/>
        </w:rPr>
      </w:pPr>
    </w:p>
    <w:p w:rsidR="004A54FF" w:rsidRPr="00C73365" w:rsidRDefault="004A54FF" w:rsidP="004572A0">
      <w:pPr>
        <w:pStyle w:val="BodyText"/>
        <w:rPr>
          <w:rFonts w:asciiTheme="minorHAnsi" w:eastAsia="MS Mincho" w:hAnsiTheme="minorHAnsi" w:cstheme="minorHAnsi"/>
          <w:lang w:val="fr-FR" w:eastAsia="fr-FR"/>
        </w:rPr>
        <w:sectPr w:rsidR="004A54FF" w:rsidRPr="00C73365" w:rsidSect="007C607C">
          <w:type w:val="continuous"/>
          <w:pgSz w:w="11906" w:h="16838"/>
          <w:pgMar w:top="1134" w:right="1134" w:bottom="1134" w:left="1134" w:header="709" w:footer="709" w:gutter="0"/>
          <w:cols w:space="708"/>
          <w:docGrid w:linePitch="360"/>
        </w:sectPr>
      </w:pPr>
    </w:p>
    <w:p w:rsidR="00333B95" w:rsidRPr="00C73365" w:rsidRDefault="00333B95"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dilution potentielle maximale associée à ces instruments financiers émis au profit de salariés, dirigeants, membres du conseil d’administration ou de comités et consultants externes représente 1 650 167 actions, générant une dilution de 16,66% du capital émis au 31 décembre 2017.</w:t>
      </w:r>
    </w:p>
    <w:p w:rsidR="00F46C7B" w:rsidRPr="00C73365" w:rsidRDefault="00333B95" w:rsidP="004572A0">
      <w:pPr>
        <w:pStyle w:val="BodyText"/>
        <w:rPr>
          <w:rFonts w:asciiTheme="minorHAnsi" w:hAnsiTheme="minorHAnsi" w:cstheme="minorHAnsi"/>
          <w:lang w:val="fr-FR"/>
        </w:rPr>
        <w:sectPr w:rsidR="00F46C7B" w:rsidRPr="00C73365" w:rsidSect="007C607C">
          <w:type w:val="continuous"/>
          <w:pgSz w:w="11906" w:h="16838"/>
          <w:pgMar w:top="1134" w:right="1134" w:bottom="1134" w:left="1134" w:header="709" w:footer="709" w:gutter="0"/>
          <w:cols w:num="2" w:space="397"/>
          <w:docGrid w:linePitch="360"/>
        </w:sectPr>
      </w:pPr>
      <w:r w:rsidRPr="00C73365">
        <w:rPr>
          <w:rFonts w:asciiTheme="minorHAnsi" w:eastAsia="MS Mincho" w:hAnsiTheme="minorHAnsi" w:cstheme="minorHAnsi"/>
          <w:lang w:val="fr-FR" w:eastAsia="fr-FR"/>
        </w:rPr>
        <w:t xml:space="preserve">Ces instruments dilutifs sont exerçables à un prix préférentiel (généralement au nominal de 1 euro), mais ils ont une durée de vie limitée et sont exerçables de </w:t>
      </w:r>
      <w:r w:rsidRPr="00C73365">
        <w:rPr>
          <w:rFonts w:asciiTheme="minorHAnsi" w:eastAsia="MS Mincho" w:hAnsiTheme="minorHAnsi" w:cstheme="minorHAnsi"/>
          <w:lang w:val="fr-FR" w:eastAsia="fr-FR"/>
        </w:rPr>
        <w:t>façon progressive et/ou sous condition de la réalisation d’objectifs préalablement fixés par le conseil d’administration ou par le règlement du plan. Sur la base des capitaux propres au 31 décembre 2017, et dans l’hypothèse où tous les instruments dilutifs valides à la même date seraient exercés, les capitaux propres par action au 31 décembre 2017 sont de 4.43 euros pour 9 904 229 actions. Après dilution (soit avec 1 650 167 actions supplémentaires), ils seraient de 3.80 euros pour 11 554 396 actions.</w:t>
      </w:r>
    </w:p>
    <w:p w:rsidR="00333B95" w:rsidRPr="00C73365" w:rsidRDefault="00333B95" w:rsidP="00A96CCA">
      <w:pPr>
        <w:spacing w:after="0"/>
        <w:rPr>
          <w:rFonts w:asciiTheme="minorHAnsi" w:eastAsia="MS Mincho" w:hAnsiTheme="minorHAnsi" w:cstheme="minorHAnsi"/>
          <w:b/>
          <w:color w:val="7030A0"/>
          <w:szCs w:val="20"/>
          <w:highlight w:val="lightGray"/>
          <w:lang w:val="fr-FR" w:eastAsia="fr-FR"/>
        </w:rPr>
      </w:pPr>
      <w:r w:rsidRPr="00C73365">
        <w:rPr>
          <w:rFonts w:asciiTheme="minorHAnsi" w:eastAsia="MS Mincho" w:hAnsiTheme="minorHAnsi" w:cstheme="minorHAnsi"/>
          <w:b/>
          <w:color w:val="7030A0"/>
          <w:szCs w:val="20"/>
          <w:highlight w:val="lightGray"/>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7 – PROVISIONS POUR RISQUES ET CHARGES</w:t>
      </w:r>
    </w:p>
    <w:tbl>
      <w:tblPr>
        <w:tblW w:w="9360" w:type="dxa"/>
        <w:tblLook w:val="04A0" w:firstRow="1" w:lastRow="0" w:firstColumn="1" w:lastColumn="0" w:noHBand="0" w:noVBand="1"/>
      </w:tblPr>
      <w:tblGrid>
        <w:gridCol w:w="4400"/>
        <w:gridCol w:w="1367"/>
        <w:gridCol w:w="1123"/>
        <w:gridCol w:w="1103"/>
        <w:gridCol w:w="1367"/>
      </w:tblGrid>
      <w:tr w:rsidR="005D0722" w:rsidRPr="00F06F79" w:rsidTr="00246D6C">
        <w:trPr>
          <w:trHeight w:val="852"/>
        </w:trPr>
        <w:tc>
          <w:tcPr>
            <w:tcW w:w="4400" w:type="dxa"/>
            <w:tcBorders>
              <w:top w:val="single" w:sz="12" w:space="0" w:color="7030A0"/>
              <w:left w:val="nil"/>
              <w:bottom w:val="single" w:sz="8" w:space="0" w:color="7030A0"/>
              <w:right w:val="nil"/>
            </w:tcBorders>
            <w:shd w:val="clear" w:color="auto" w:fill="auto"/>
            <w:vAlign w:val="center"/>
            <w:hideMark/>
          </w:tcPr>
          <w:p w:rsidR="005D0722" w:rsidRPr="00C73365" w:rsidRDefault="005D0722" w:rsidP="00A96CCA">
            <w:pPr>
              <w:spacing w:after="0"/>
              <w:rPr>
                <w:rFonts w:asciiTheme="minorHAnsi" w:hAnsiTheme="minorHAnsi" w:cstheme="minorHAnsi"/>
                <w:color w:val="000000"/>
                <w:sz w:val="22"/>
                <w:szCs w:val="22"/>
                <w:lang w:val="fr-FR"/>
              </w:rPr>
            </w:pPr>
            <w:r w:rsidRPr="00C73365">
              <w:rPr>
                <w:rFonts w:asciiTheme="minorHAnsi" w:hAnsiTheme="minorHAnsi" w:cstheme="minorHAnsi"/>
                <w:color w:val="000000"/>
                <w:sz w:val="22"/>
                <w:szCs w:val="22"/>
                <w:lang w:val="fr-FR"/>
              </w:rPr>
              <w:t> </w:t>
            </w:r>
          </w:p>
        </w:tc>
        <w:tc>
          <w:tcPr>
            <w:tcW w:w="1367" w:type="dxa"/>
            <w:tcBorders>
              <w:top w:val="single" w:sz="12"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Dépréciations au début de l</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exercice</w:t>
            </w:r>
          </w:p>
        </w:tc>
        <w:tc>
          <w:tcPr>
            <w:tcW w:w="1123" w:type="dxa"/>
            <w:tcBorders>
              <w:top w:val="single" w:sz="12"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Dotations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exercice</w:t>
            </w:r>
          </w:p>
        </w:tc>
        <w:tc>
          <w:tcPr>
            <w:tcW w:w="1103" w:type="dxa"/>
            <w:tcBorders>
              <w:top w:val="single" w:sz="12"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Reprise de l</w:t>
            </w:r>
            <w:r w:rsidR="004572A0" w:rsidRPr="00C73365">
              <w:rPr>
                <w:rFonts w:asciiTheme="minorHAnsi" w:hAnsiTheme="minorHAnsi" w:cstheme="minorHAnsi"/>
                <w:b/>
                <w:bCs/>
                <w:color w:val="000000"/>
                <w:szCs w:val="20"/>
              </w:rPr>
              <w:t>’</w:t>
            </w:r>
            <w:r w:rsidRPr="00C73365">
              <w:rPr>
                <w:rFonts w:asciiTheme="minorHAnsi" w:hAnsiTheme="minorHAnsi" w:cstheme="minorHAnsi"/>
                <w:b/>
                <w:bCs/>
                <w:color w:val="000000"/>
                <w:szCs w:val="20"/>
              </w:rPr>
              <w:t>exercice</w:t>
            </w:r>
          </w:p>
        </w:tc>
        <w:tc>
          <w:tcPr>
            <w:tcW w:w="1367" w:type="dxa"/>
            <w:tcBorders>
              <w:top w:val="single" w:sz="12"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Dépréciations à la fin de l</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exercice</w:t>
            </w:r>
          </w:p>
        </w:tc>
      </w:tr>
      <w:tr w:rsidR="005D0722" w:rsidRPr="00C73365" w:rsidTr="00246D6C">
        <w:trPr>
          <w:trHeight w:val="288"/>
        </w:trPr>
        <w:tc>
          <w:tcPr>
            <w:tcW w:w="4400" w:type="dxa"/>
            <w:tcBorders>
              <w:top w:val="nil"/>
              <w:left w:val="nil"/>
              <w:right w:val="nil"/>
            </w:tcBorders>
            <w:shd w:val="clear" w:color="auto" w:fill="auto"/>
            <w:noWrap/>
            <w:vAlign w:val="center"/>
            <w:hideMark/>
          </w:tcPr>
          <w:p w:rsidR="005D0722" w:rsidRPr="00C73365" w:rsidRDefault="005D072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Indemnités fournisseurs</w:t>
            </w:r>
          </w:p>
        </w:tc>
        <w:tc>
          <w:tcPr>
            <w:tcW w:w="1367" w:type="dxa"/>
            <w:tcBorders>
              <w:top w:val="nil"/>
              <w:left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123" w:type="dxa"/>
            <w:tcBorders>
              <w:top w:val="nil"/>
              <w:left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rPr>
            </w:pPr>
          </w:p>
        </w:tc>
        <w:tc>
          <w:tcPr>
            <w:tcW w:w="1103" w:type="dxa"/>
            <w:tcBorders>
              <w:top w:val="nil"/>
              <w:left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rPr>
            </w:pPr>
          </w:p>
        </w:tc>
        <w:tc>
          <w:tcPr>
            <w:tcW w:w="1367" w:type="dxa"/>
            <w:tcBorders>
              <w:top w:val="nil"/>
              <w:left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rPr>
            </w:pPr>
          </w:p>
        </w:tc>
      </w:tr>
      <w:tr w:rsidR="005D0722" w:rsidRPr="00C73365" w:rsidTr="00246D6C">
        <w:trPr>
          <w:trHeight w:val="288"/>
        </w:trPr>
        <w:tc>
          <w:tcPr>
            <w:tcW w:w="4400" w:type="dxa"/>
            <w:tcBorders>
              <w:top w:val="nil"/>
              <w:left w:val="nil"/>
              <w:bottom w:val="single" w:sz="4" w:space="0" w:color="7030A0"/>
              <w:right w:val="nil"/>
            </w:tcBorders>
            <w:shd w:val="clear" w:color="auto" w:fill="auto"/>
            <w:noWrap/>
            <w:vAlign w:val="center"/>
            <w:hideMark/>
          </w:tcPr>
          <w:p w:rsidR="005D0722" w:rsidRPr="00C73365" w:rsidRDefault="005D0722"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Provisions pour </w:t>
            </w:r>
            <w:r w:rsidR="006372F0" w:rsidRPr="00C73365">
              <w:rPr>
                <w:rFonts w:asciiTheme="minorHAnsi" w:hAnsiTheme="minorHAnsi" w:cstheme="minorHAnsi"/>
                <w:color w:val="000000"/>
                <w:szCs w:val="20"/>
                <w:lang w:val="fr-FR"/>
              </w:rPr>
              <w:t>risques et charges</w:t>
            </w:r>
          </w:p>
        </w:tc>
        <w:tc>
          <w:tcPr>
            <w:tcW w:w="1367" w:type="dxa"/>
            <w:tcBorders>
              <w:top w:val="nil"/>
              <w:left w:val="nil"/>
              <w:bottom w:val="single" w:sz="4"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16</w:t>
            </w:r>
          </w:p>
        </w:tc>
        <w:tc>
          <w:tcPr>
            <w:tcW w:w="1123" w:type="dxa"/>
            <w:tcBorders>
              <w:top w:val="nil"/>
              <w:left w:val="nil"/>
              <w:bottom w:val="single" w:sz="4"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11</w:t>
            </w:r>
          </w:p>
        </w:tc>
        <w:tc>
          <w:tcPr>
            <w:tcW w:w="1103" w:type="dxa"/>
            <w:tcBorders>
              <w:top w:val="nil"/>
              <w:left w:val="nil"/>
              <w:bottom w:val="single" w:sz="4"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367" w:type="dxa"/>
            <w:tcBorders>
              <w:top w:val="nil"/>
              <w:left w:val="nil"/>
              <w:bottom w:val="single" w:sz="4"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27</w:t>
            </w:r>
          </w:p>
        </w:tc>
      </w:tr>
      <w:tr w:rsidR="005D0722" w:rsidRPr="00C73365" w:rsidTr="00246D6C">
        <w:trPr>
          <w:trHeight w:val="300"/>
        </w:trPr>
        <w:tc>
          <w:tcPr>
            <w:tcW w:w="4400" w:type="dxa"/>
            <w:tcBorders>
              <w:top w:val="single" w:sz="4" w:space="0" w:color="7030A0"/>
              <w:left w:val="nil"/>
              <w:bottom w:val="single" w:sz="8" w:space="0" w:color="7030A0"/>
              <w:right w:val="nil"/>
            </w:tcBorders>
            <w:shd w:val="clear" w:color="auto" w:fill="auto"/>
            <w:noWrap/>
            <w:vAlign w:val="center"/>
            <w:hideMark/>
          </w:tcPr>
          <w:p w:rsidR="005D0722" w:rsidRPr="00C73365" w:rsidRDefault="005D0722" w:rsidP="00A96CCA">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Total Provisions pour risques et charges</w:t>
            </w:r>
          </w:p>
        </w:tc>
        <w:tc>
          <w:tcPr>
            <w:tcW w:w="1367" w:type="dxa"/>
            <w:tcBorders>
              <w:top w:val="single" w:sz="4"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16</w:t>
            </w:r>
          </w:p>
        </w:tc>
        <w:tc>
          <w:tcPr>
            <w:tcW w:w="1123" w:type="dxa"/>
            <w:tcBorders>
              <w:top w:val="single" w:sz="4"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11</w:t>
            </w:r>
          </w:p>
        </w:tc>
        <w:tc>
          <w:tcPr>
            <w:tcW w:w="1103" w:type="dxa"/>
            <w:tcBorders>
              <w:top w:val="single" w:sz="4"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0</w:t>
            </w:r>
          </w:p>
        </w:tc>
        <w:tc>
          <w:tcPr>
            <w:tcW w:w="1367" w:type="dxa"/>
            <w:tcBorders>
              <w:top w:val="single" w:sz="4" w:space="0" w:color="7030A0"/>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7030A0"/>
                <w:szCs w:val="20"/>
              </w:rPr>
            </w:pPr>
            <w:r w:rsidRPr="00C73365">
              <w:rPr>
                <w:rFonts w:asciiTheme="minorHAnsi" w:hAnsiTheme="minorHAnsi" w:cstheme="minorHAnsi"/>
                <w:color w:val="7030A0"/>
                <w:szCs w:val="20"/>
              </w:rPr>
              <w:t>27</w:t>
            </w:r>
          </w:p>
        </w:tc>
      </w:tr>
      <w:tr w:rsidR="005D0722" w:rsidRPr="00F06F79" w:rsidTr="00246D6C">
        <w:trPr>
          <w:trHeight w:val="288"/>
        </w:trPr>
        <w:tc>
          <w:tcPr>
            <w:tcW w:w="4400" w:type="dxa"/>
            <w:tcBorders>
              <w:top w:val="nil"/>
              <w:left w:val="nil"/>
              <w:bottom w:val="nil"/>
              <w:right w:val="nil"/>
            </w:tcBorders>
            <w:shd w:val="clear" w:color="auto" w:fill="auto"/>
            <w:noWrap/>
            <w:vAlign w:val="center"/>
            <w:hideMark/>
          </w:tcPr>
          <w:p w:rsidR="005D0722" w:rsidRPr="00C73365" w:rsidRDefault="005D0722" w:rsidP="00A96CCA">
            <w:pPr>
              <w:spacing w:after="0"/>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Répartition des dotations et reprises:</w:t>
            </w:r>
          </w:p>
        </w:tc>
        <w:tc>
          <w:tcPr>
            <w:tcW w:w="1367"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b/>
                <w:bCs/>
                <w:color w:val="000000"/>
                <w:szCs w:val="20"/>
                <w:lang w:val="fr-FR"/>
              </w:rPr>
            </w:pPr>
          </w:p>
        </w:tc>
        <w:tc>
          <w:tcPr>
            <w:tcW w:w="1123"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lang w:val="fr-FR"/>
              </w:rPr>
            </w:pPr>
          </w:p>
        </w:tc>
        <w:tc>
          <w:tcPr>
            <w:tcW w:w="1103"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lang w:val="fr-FR"/>
              </w:rPr>
            </w:pPr>
          </w:p>
        </w:tc>
        <w:tc>
          <w:tcPr>
            <w:tcW w:w="1367"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lang w:val="fr-FR"/>
              </w:rPr>
            </w:pPr>
          </w:p>
        </w:tc>
      </w:tr>
      <w:tr w:rsidR="005D0722" w:rsidRPr="00C73365" w:rsidTr="00246D6C">
        <w:trPr>
          <w:trHeight w:val="288"/>
        </w:trPr>
        <w:tc>
          <w:tcPr>
            <w:tcW w:w="4400" w:type="dxa"/>
            <w:tcBorders>
              <w:top w:val="nil"/>
              <w:left w:val="nil"/>
              <w:bottom w:val="nil"/>
              <w:right w:val="nil"/>
            </w:tcBorders>
            <w:shd w:val="clear" w:color="auto" w:fill="auto"/>
            <w:noWrap/>
            <w:vAlign w:val="center"/>
            <w:hideMark/>
          </w:tcPr>
          <w:p w:rsidR="005D0722" w:rsidRPr="00C73365" w:rsidRDefault="005D072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Exploitation</w:t>
            </w:r>
          </w:p>
        </w:tc>
        <w:tc>
          <w:tcPr>
            <w:tcW w:w="1367"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123"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11</w:t>
            </w:r>
          </w:p>
        </w:tc>
        <w:tc>
          <w:tcPr>
            <w:tcW w:w="1103"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367"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rPr>
            </w:pPr>
          </w:p>
        </w:tc>
      </w:tr>
      <w:tr w:rsidR="005D0722" w:rsidRPr="00C73365" w:rsidTr="00246D6C">
        <w:trPr>
          <w:trHeight w:val="288"/>
        </w:trPr>
        <w:tc>
          <w:tcPr>
            <w:tcW w:w="4400" w:type="dxa"/>
            <w:tcBorders>
              <w:top w:val="nil"/>
              <w:left w:val="nil"/>
              <w:bottom w:val="nil"/>
              <w:right w:val="nil"/>
            </w:tcBorders>
            <w:shd w:val="clear" w:color="auto" w:fill="auto"/>
            <w:vAlign w:val="center"/>
            <w:hideMark/>
          </w:tcPr>
          <w:p w:rsidR="005D0722" w:rsidRPr="00C73365" w:rsidRDefault="005D072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Financières</w:t>
            </w:r>
          </w:p>
        </w:tc>
        <w:tc>
          <w:tcPr>
            <w:tcW w:w="1367"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123"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rPr>
            </w:pPr>
          </w:p>
        </w:tc>
        <w:tc>
          <w:tcPr>
            <w:tcW w:w="1103"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rPr>
            </w:pPr>
          </w:p>
        </w:tc>
        <w:tc>
          <w:tcPr>
            <w:tcW w:w="1367" w:type="dxa"/>
            <w:tcBorders>
              <w:top w:val="nil"/>
              <w:left w:val="nil"/>
              <w:bottom w:val="nil"/>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szCs w:val="20"/>
              </w:rPr>
            </w:pPr>
          </w:p>
        </w:tc>
      </w:tr>
      <w:tr w:rsidR="005D0722" w:rsidRPr="00C73365" w:rsidTr="00246D6C">
        <w:trPr>
          <w:trHeight w:val="300"/>
        </w:trPr>
        <w:tc>
          <w:tcPr>
            <w:tcW w:w="4400" w:type="dxa"/>
            <w:tcBorders>
              <w:top w:val="nil"/>
              <w:left w:val="nil"/>
              <w:bottom w:val="single" w:sz="8" w:space="0" w:color="7030A0"/>
              <w:right w:val="nil"/>
            </w:tcBorders>
            <w:shd w:val="clear" w:color="auto" w:fill="auto"/>
            <w:noWrap/>
            <w:vAlign w:val="center"/>
            <w:hideMark/>
          </w:tcPr>
          <w:p w:rsidR="005D0722" w:rsidRPr="00C73365" w:rsidRDefault="005D0722"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Exceptionnelles</w:t>
            </w:r>
          </w:p>
        </w:tc>
        <w:tc>
          <w:tcPr>
            <w:tcW w:w="1367" w:type="dxa"/>
            <w:tcBorders>
              <w:top w:val="nil"/>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123" w:type="dxa"/>
            <w:tcBorders>
              <w:top w:val="nil"/>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103" w:type="dxa"/>
            <w:tcBorders>
              <w:top w:val="nil"/>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c>
          <w:tcPr>
            <w:tcW w:w="1367" w:type="dxa"/>
            <w:tcBorders>
              <w:top w:val="nil"/>
              <w:left w:val="nil"/>
              <w:bottom w:val="single" w:sz="8" w:space="0" w:color="7030A0"/>
              <w:right w:val="nil"/>
            </w:tcBorders>
            <w:shd w:val="clear" w:color="auto" w:fill="auto"/>
            <w:vAlign w:val="center"/>
            <w:hideMark/>
          </w:tcPr>
          <w:p w:rsidR="005D0722" w:rsidRPr="00C73365" w:rsidRDefault="005D0722" w:rsidP="00246D6C">
            <w:pPr>
              <w:spacing w:after="0"/>
              <w:jc w:val="center"/>
              <w:rPr>
                <w:rFonts w:asciiTheme="minorHAnsi" w:hAnsiTheme="minorHAnsi" w:cstheme="minorHAnsi"/>
                <w:color w:val="000000"/>
                <w:szCs w:val="20"/>
              </w:rPr>
            </w:pPr>
          </w:p>
        </w:tc>
      </w:tr>
    </w:tbl>
    <w:p w:rsidR="005D0722" w:rsidRPr="00C73365" w:rsidRDefault="005D0722" w:rsidP="00A96CCA">
      <w:pPr>
        <w:spacing w:after="0"/>
        <w:ind w:right="-2"/>
        <w:rPr>
          <w:rFonts w:asciiTheme="minorHAnsi" w:eastAsia="MS Mincho" w:hAnsiTheme="minorHAnsi" w:cstheme="minorHAnsi"/>
          <w:b/>
          <w:color w:val="7030A0"/>
          <w:szCs w:val="20"/>
          <w:highlight w:val="lightGray"/>
          <w:lang w:val="fr-FR" w:eastAsia="fr-FR"/>
        </w:r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5D0722" w:rsidRPr="00C73365" w:rsidRDefault="005D0722" w:rsidP="00A96CCA">
      <w:pPr>
        <w:spacing w:after="0"/>
        <w:ind w:right="-2"/>
        <w:rPr>
          <w:rFonts w:asciiTheme="minorHAnsi" w:eastAsia="MS Mincho" w:hAnsiTheme="minorHAnsi" w:cstheme="minorHAnsi"/>
          <w:b/>
          <w:color w:val="7030A0"/>
          <w:sz w:val="28"/>
          <w:szCs w:val="22"/>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2"/>
          <w:highlight w:val="lightGray"/>
          <w:lang w:val="fr-FR" w:eastAsia="fr-FR"/>
        </w:rPr>
      </w:pPr>
    </w:p>
    <w:p w:rsidR="00C73492" w:rsidRPr="00C73365" w:rsidRDefault="00C73492" w:rsidP="00A96CCA">
      <w:pPr>
        <w:spacing w:after="0"/>
        <w:ind w:right="-2"/>
        <w:rPr>
          <w:rFonts w:asciiTheme="minorHAnsi" w:eastAsia="MS Mincho" w:hAnsiTheme="minorHAnsi" w:cstheme="minorHAnsi"/>
          <w:b/>
          <w:color w:val="7030A0"/>
          <w:sz w:val="28"/>
          <w:szCs w:val="22"/>
          <w:highlight w:val="lightGray"/>
          <w:lang w:val="fr-FR" w:eastAsia="fr-FR"/>
        </w:rPr>
      </w:pPr>
    </w:p>
    <w:p w:rsidR="00D22228" w:rsidRPr="00C73365" w:rsidRDefault="00D22228" w:rsidP="00A96CCA">
      <w:pPr>
        <w:spacing w:after="0"/>
        <w:ind w:right="-2"/>
        <w:rPr>
          <w:rFonts w:asciiTheme="minorHAnsi" w:eastAsia="MS Mincho" w:hAnsiTheme="minorHAnsi" w:cstheme="minorHAnsi"/>
          <w:b/>
          <w:color w:val="7030A0"/>
          <w:sz w:val="28"/>
          <w:szCs w:val="22"/>
          <w:highlight w:val="lightGray"/>
          <w:lang w:val="fr-FR" w:eastAsia="fr-FR"/>
        </w:rPr>
      </w:pPr>
    </w:p>
    <w:p w:rsidR="00072C6F" w:rsidRPr="00C73365" w:rsidRDefault="00072C6F" w:rsidP="00A96CCA">
      <w:pPr>
        <w:spacing w:after="0"/>
        <w:rPr>
          <w:rFonts w:asciiTheme="minorHAnsi" w:eastAsia="MS Mincho" w:hAnsiTheme="minorHAnsi" w:cstheme="minorHAnsi"/>
          <w:b/>
          <w:color w:val="7030A0"/>
          <w:szCs w:val="20"/>
          <w:highlight w:val="yellow"/>
          <w:lang w:val="fr-FR" w:eastAsia="fr-FR"/>
        </w:rPr>
      </w:pPr>
      <w:r w:rsidRPr="00C73365">
        <w:rPr>
          <w:rFonts w:asciiTheme="minorHAnsi" w:eastAsia="MS Mincho" w:hAnsiTheme="minorHAnsi" w:cstheme="minorHAnsi"/>
          <w:b/>
          <w:color w:val="7030A0"/>
          <w:szCs w:val="20"/>
          <w:highlight w:val="yellow"/>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8 – AVANCES CONDITIONNEES ET SUBVENTIONS</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Avances remboursables accordées par des organismes publics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En conséquence de la transmission universelle du patrimoine de ses anciennes filiales Splicos et Wittycell, la Société bénéficie des aides qui leur avaient été accordées et a repris les engagements correspondants à </w:t>
      </w:r>
      <w:r w:rsidRPr="00C73365">
        <w:rPr>
          <w:rFonts w:asciiTheme="minorHAnsi" w:eastAsia="MS Mincho" w:hAnsiTheme="minorHAnsi" w:cstheme="minorHAnsi"/>
          <w:lang w:val="fr-FR" w:eastAsia="fr-FR"/>
        </w:rPr>
        <w:t xml:space="preserve">son passif, soit en Avances conditionnées lorsque le remboursement n’est pas certain, soit en Emprunts et dettes financières diverses dans le cas contraire. </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r w:rsidRPr="00C73365">
        <w:rPr>
          <w:rFonts w:asciiTheme="minorHAnsi" w:eastAsia="MS Mincho" w:hAnsiTheme="minorHAnsi" w:cstheme="minorHAnsi"/>
          <w:lang w:val="fr-FR" w:eastAsia="fr-FR"/>
        </w:rPr>
        <w:t xml:space="preserve">Les tableaux, ci-après, exprimés en milliers d’euros fournissent le détail de la variation de ces passifs entre le 31 décembre </w:t>
      </w:r>
      <w:r w:rsidR="00C73492" w:rsidRPr="00C73365">
        <w:rPr>
          <w:rFonts w:asciiTheme="minorHAnsi" w:eastAsia="MS Mincho" w:hAnsiTheme="minorHAnsi" w:cstheme="minorHAnsi"/>
          <w:lang w:val="fr-FR" w:eastAsia="fr-FR"/>
        </w:rPr>
        <w:t xml:space="preserve">2016 </w:t>
      </w:r>
      <w:r w:rsidRPr="00C73365">
        <w:rPr>
          <w:rFonts w:asciiTheme="minorHAnsi" w:eastAsia="MS Mincho" w:hAnsiTheme="minorHAnsi" w:cstheme="minorHAnsi"/>
          <w:lang w:val="fr-FR" w:eastAsia="fr-FR"/>
        </w:rPr>
        <w:t xml:space="preserve">et le 31 Décembre </w:t>
      </w:r>
      <w:r w:rsidR="00C73492" w:rsidRPr="00C73365">
        <w:rPr>
          <w:rFonts w:asciiTheme="minorHAnsi" w:eastAsia="MS Mincho" w:hAnsiTheme="minorHAnsi" w:cstheme="minorHAnsi"/>
          <w:lang w:val="fr-FR" w:eastAsia="fr-FR"/>
        </w:rPr>
        <w:t>2017</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 xml:space="preserve">Situation au 31 Décembre </w:t>
      </w:r>
      <w:r w:rsidR="00B4407F" w:rsidRPr="00C73365">
        <w:rPr>
          <w:rFonts w:asciiTheme="minorHAnsi" w:eastAsia="MS Mincho" w:hAnsiTheme="minorHAnsi" w:cstheme="minorHAnsi"/>
          <w:b/>
          <w:lang w:val="fr-FR" w:eastAsia="fr-FR"/>
        </w:rPr>
        <w:t>2017 </w:t>
      </w:r>
      <w:r w:rsidRPr="00C73365">
        <w:rPr>
          <w:rFonts w:asciiTheme="minorHAnsi" w:eastAsia="MS Mincho" w:hAnsiTheme="minorHAnsi" w:cstheme="minorHAnsi"/>
          <w:b/>
          <w:lang w:val="fr-FR" w:eastAsia="fr-FR"/>
        </w:rPr>
        <w:t>:</w:t>
      </w:r>
    </w:p>
    <w:tbl>
      <w:tblPr>
        <w:tblW w:w="8292" w:type="dxa"/>
        <w:tblLook w:val="04A0" w:firstRow="1" w:lastRow="0" w:firstColumn="1" w:lastColumn="0" w:noHBand="0" w:noVBand="1"/>
      </w:tblPr>
      <w:tblGrid>
        <w:gridCol w:w="1557"/>
        <w:gridCol w:w="1199"/>
        <w:gridCol w:w="903"/>
        <w:gridCol w:w="1305"/>
        <w:gridCol w:w="1199"/>
        <w:gridCol w:w="1415"/>
        <w:gridCol w:w="1156"/>
      </w:tblGrid>
      <w:tr w:rsidR="00B4407F" w:rsidRPr="00C73365" w:rsidTr="00BB083E">
        <w:trPr>
          <w:trHeight w:val="275"/>
        </w:trPr>
        <w:tc>
          <w:tcPr>
            <w:tcW w:w="1557" w:type="dxa"/>
            <w:vMerge w:val="restart"/>
            <w:tcBorders>
              <w:top w:val="single" w:sz="12" w:space="0" w:color="9032B8"/>
              <w:left w:val="nil"/>
              <w:bottom w:val="single" w:sz="8" w:space="0" w:color="9032B8"/>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101" w:type="dxa"/>
            <w:vMerge w:val="restart"/>
            <w:tcBorders>
              <w:top w:val="single" w:sz="12" w:space="0" w:color="9032B8"/>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Solde au 31/12/201</w:t>
            </w:r>
            <w:r w:rsidR="005C36A7">
              <w:rPr>
                <w:rFonts w:asciiTheme="minorHAnsi" w:hAnsiTheme="minorHAnsi" w:cstheme="minorHAnsi"/>
                <w:b/>
                <w:bCs/>
                <w:color w:val="000000"/>
                <w:szCs w:val="20"/>
              </w:rPr>
              <w:t>6</w:t>
            </w:r>
          </w:p>
        </w:tc>
        <w:tc>
          <w:tcPr>
            <w:tcW w:w="955" w:type="dxa"/>
            <w:vMerge w:val="restart"/>
            <w:tcBorders>
              <w:top w:val="single" w:sz="12" w:space="0" w:color="9032B8"/>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Avances reçues </w:t>
            </w:r>
          </w:p>
        </w:tc>
        <w:tc>
          <w:tcPr>
            <w:tcW w:w="1196" w:type="dxa"/>
            <w:vMerge w:val="restart"/>
            <w:tcBorders>
              <w:top w:val="single" w:sz="12" w:space="0" w:color="9032B8"/>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Avances remboursées </w:t>
            </w:r>
          </w:p>
        </w:tc>
        <w:tc>
          <w:tcPr>
            <w:tcW w:w="1101" w:type="dxa"/>
            <w:vMerge w:val="restart"/>
            <w:tcBorders>
              <w:top w:val="single" w:sz="12" w:space="0" w:color="9032B8"/>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Solde au 31/12/2017</w:t>
            </w:r>
          </w:p>
        </w:tc>
        <w:tc>
          <w:tcPr>
            <w:tcW w:w="2382" w:type="dxa"/>
            <w:gridSpan w:val="2"/>
            <w:tcBorders>
              <w:top w:val="single" w:sz="12" w:space="0" w:color="9032B8"/>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Dont</w:t>
            </w:r>
          </w:p>
        </w:tc>
      </w:tr>
      <w:tr w:rsidR="00B4407F" w:rsidRPr="00C73365" w:rsidTr="00BB083E">
        <w:trPr>
          <w:trHeight w:val="452"/>
        </w:trPr>
        <w:tc>
          <w:tcPr>
            <w:tcW w:w="1557" w:type="dxa"/>
            <w:vMerge/>
            <w:tcBorders>
              <w:top w:val="single" w:sz="12" w:space="0" w:color="9032B8"/>
              <w:left w:val="nil"/>
              <w:bottom w:val="single" w:sz="8" w:space="0" w:color="9032B8"/>
              <w:right w:val="nil"/>
            </w:tcBorders>
            <w:vAlign w:val="center"/>
            <w:hideMark/>
          </w:tcPr>
          <w:p w:rsidR="00B4407F" w:rsidRPr="00C73365" w:rsidRDefault="00B4407F" w:rsidP="00A96CCA">
            <w:pPr>
              <w:spacing w:after="0"/>
              <w:rPr>
                <w:rFonts w:asciiTheme="minorHAnsi" w:hAnsiTheme="minorHAnsi" w:cstheme="minorHAnsi"/>
                <w:color w:val="000000"/>
                <w:szCs w:val="20"/>
              </w:rPr>
            </w:pPr>
          </w:p>
        </w:tc>
        <w:tc>
          <w:tcPr>
            <w:tcW w:w="1101" w:type="dxa"/>
            <w:vMerge/>
            <w:tcBorders>
              <w:top w:val="single" w:sz="12" w:space="0" w:color="9032B8"/>
              <w:left w:val="nil"/>
              <w:bottom w:val="single" w:sz="8" w:space="0" w:color="9032B8"/>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955" w:type="dxa"/>
            <w:vMerge/>
            <w:tcBorders>
              <w:top w:val="single" w:sz="12" w:space="0" w:color="9032B8"/>
              <w:left w:val="nil"/>
              <w:bottom w:val="single" w:sz="8" w:space="0" w:color="9032B8"/>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196" w:type="dxa"/>
            <w:vMerge/>
            <w:tcBorders>
              <w:top w:val="single" w:sz="12" w:space="0" w:color="9032B8"/>
              <w:left w:val="nil"/>
              <w:bottom w:val="single" w:sz="8" w:space="0" w:color="9032B8"/>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101" w:type="dxa"/>
            <w:vMerge/>
            <w:tcBorders>
              <w:top w:val="single" w:sz="12" w:space="0" w:color="9032B8"/>
              <w:left w:val="nil"/>
              <w:bottom w:val="single" w:sz="8" w:space="0" w:color="9032B8"/>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320"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Avances Conditionnées</w:t>
            </w:r>
          </w:p>
        </w:tc>
        <w:tc>
          <w:tcPr>
            <w:tcW w:w="1062"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Dettes Financières</w:t>
            </w:r>
          </w:p>
        </w:tc>
      </w:tr>
      <w:tr w:rsidR="00B4407F" w:rsidRPr="00C73365" w:rsidTr="00BB083E">
        <w:trPr>
          <w:trHeight w:val="264"/>
        </w:trPr>
        <w:tc>
          <w:tcPr>
            <w:tcW w:w="1557"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BPI</w:t>
            </w:r>
            <w:r w:rsidRPr="00C73365">
              <w:rPr>
                <w:rFonts w:asciiTheme="minorHAnsi" w:hAnsiTheme="minorHAnsi" w:cstheme="minorHAnsi"/>
                <w:color w:val="000000"/>
                <w:szCs w:val="20"/>
              </w:rPr>
              <w:t xml:space="preserve"> – CaReNA</w:t>
            </w:r>
            <w:r w:rsidRPr="00C73365">
              <w:rPr>
                <w:rFonts w:asciiTheme="minorHAnsi" w:hAnsiTheme="minorHAnsi" w:cstheme="minorHAnsi"/>
                <w:color w:val="9032B8"/>
                <w:szCs w:val="20"/>
              </w:rPr>
              <w:t>*</w:t>
            </w:r>
          </w:p>
        </w:tc>
        <w:tc>
          <w:tcPr>
            <w:tcW w:w="1101"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2 269</w:t>
            </w:r>
          </w:p>
        </w:tc>
        <w:tc>
          <w:tcPr>
            <w:tcW w:w="955"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p>
        </w:tc>
        <w:tc>
          <w:tcPr>
            <w:tcW w:w="1196"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p>
        </w:tc>
        <w:tc>
          <w:tcPr>
            <w:tcW w:w="1101"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2 300</w:t>
            </w:r>
          </w:p>
        </w:tc>
        <w:tc>
          <w:tcPr>
            <w:tcW w:w="1320"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w:t>
            </w:r>
            <w:r w:rsidR="005F3354" w:rsidRPr="00C73365">
              <w:rPr>
                <w:rFonts w:asciiTheme="minorHAnsi" w:hAnsiTheme="minorHAnsi" w:cstheme="minorHAnsi"/>
                <w:color w:val="000000"/>
                <w:szCs w:val="20"/>
              </w:rPr>
              <w:t xml:space="preserve"> 187</w:t>
            </w:r>
          </w:p>
        </w:tc>
        <w:tc>
          <w:tcPr>
            <w:tcW w:w="1062" w:type="dxa"/>
            <w:tcBorders>
              <w:top w:val="nil"/>
              <w:left w:val="nil"/>
              <w:bottom w:val="nil"/>
              <w:right w:val="nil"/>
            </w:tcBorders>
            <w:shd w:val="clear" w:color="auto" w:fill="auto"/>
            <w:vAlign w:val="center"/>
            <w:hideMark/>
          </w:tcPr>
          <w:p w:rsidR="00B4407F" w:rsidRPr="00C73365" w:rsidRDefault="005F3354"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113</w:t>
            </w:r>
          </w:p>
        </w:tc>
      </w:tr>
      <w:tr w:rsidR="00B4407F" w:rsidRPr="00C73365" w:rsidTr="00BB083E">
        <w:trPr>
          <w:trHeight w:val="264"/>
        </w:trPr>
        <w:tc>
          <w:tcPr>
            <w:tcW w:w="1557"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BPI A1006002G</w:t>
            </w:r>
          </w:p>
        </w:tc>
        <w:tc>
          <w:tcPr>
            <w:tcW w:w="1101"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255</w:t>
            </w:r>
          </w:p>
        </w:tc>
        <w:tc>
          <w:tcPr>
            <w:tcW w:w="955"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p>
        </w:tc>
        <w:tc>
          <w:tcPr>
            <w:tcW w:w="1196"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85</w:t>
            </w:r>
          </w:p>
        </w:tc>
        <w:tc>
          <w:tcPr>
            <w:tcW w:w="1101"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1320"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p>
        </w:tc>
        <w:tc>
          <w:tcPr>
            <w:tcW w:w="1062"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r>
      <w:tr w:rsidR="00B4407F" w:rsidRPr="00C73365" w:rsidTr="00BB083E">
        <w:trPr>
          <w:trHeight w:val="264"/>
        </w:trPr>
        <w:tc>
          <w:tcPr>
            <w:tcW w:w="1557"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BPI EBOLA</w:t>
            </w:r>
          </w:p>
        </w:tc>
        <w:tc>
          <w:tcPr>
            <w:tcW w:w="1101"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p>
        </w:tc>
        <w:tc>
          <w:tcPr>
            <w:tcW w:w="955"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196"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p>
        </w:tc>
        <w:tc>
          <w:tcPr>
            <w:tcW w:w="1101"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320"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062" w:type="dxa"/>
            <w:tcBorders>
              <w:top w:val="nil"/>
              <w:left w:val="nil"/>
              <w:bottom w:val="nil"/>
              <w:right w:val="nil"/>
            </w:tcBorders>
            <w:shd w:val="clear" w:color="auto" w:fill="auto"/>
            <w:hideMark/>
          </w:tcPr>
          <w:p w:rsidR="00B4407F" w:rsidRPr="00C73365" w:rsidRDefault="00B4407F" w:rsidP="00A96CCA">
            <w:pPr>
              <w:spacing w:after="0"/>
              <w:jc w:val="right"/>
              <w:rPr>
                <w:rFonts w:asciiTheme="minorHAnsi" w:hAnsiTheme="minorHAnsi" w:cstheme="minorHAnsi"/>
                <w:color w:val="000000"/>
                <w:szCs w:val="20"/>
              </w:rPr>
            </w:pPr>
          </w:p>
        </w:tc>
      </w:tr>
      <w:tr w:rsidR="00B4407F" w:rsidRPr="00C73365" w:rsidTr="00BB083E">
        <w:trPr>
          <w:trHeight w:val="275"/>
        </w:trPr>
        <w:tc>
          <w:tcPr>
            <w:tcW w:w="1557"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BPI RNP VIR</w:t>
            </w:r>
          </w:p>
        </w:tc>
        <w:tc>
          <w:tcPr>
            <w:tcW w:w="1101"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955"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1 756</w:t>
            </w:r>
          </w:p>
        </w:tc>
        <w:tc>
          <w:tcPr>
            <w:tcW w:w="1196"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101"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1 756</w:t>
            </w:r>
          </w:p>
        </w:tc>
        <w:tc>
          <w:tcPr>
            <w:tcW w:w="1320"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1 756</w:t>
            </w:r>
          </w:p>
        </w:tc>
        <w:tc>
          <w:tcPr>
            <w:tcW w:w="1062"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B4407F" w:rsidRPr="00C73365" w:rsidTr="00BB083E">
        <w:trPr>
          <w:trHeight w:val="275"/>
        </w:trPr>
        <w:tc>
          <w:tcPr>
            <w:tcW w:w="1557" w:type="dxa"/>
            <w:tcBorders>
              <w:top w:val="nil"/>
              <w:left w:val="nil"/>
              <w:bottom w:val="single" w:sz="8" w:space="0" w:color="9032B8"/>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9032B8"/>
                <w:szCs w:val="20"/>
              </w:rPr>
            </w:pPr>
            <w:r w:rsidRPr="00C73365">
              <w:rPr>
                <w:rFonts w:asciiTheme="minorHAnsi" w:hAnsiTheme="minorHAnsi" w:cstheme="minorHAnsi"/>
                <w:color w:val="9032B8"/>
                <w:szCs w:val="20"/>
              </w:rPr>
              <w:t>Total</w:t>
            </w:r>
          </w:p>
        </w:tc>
        <w:tc>
          <w:tcPr>
            <w:tcW w:w="1101"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9032B8"/>
                <w:szCs w:val="20"/>
              </w:rPr>
            </w:pPr>
            <w:r w:rsidRPr="00C73365">
              <w:rPr>
                <w:rFonts w:asciiTheme="minorHAnsi" w:hAnsiTheme="minorHAnsi" w:cstheme="minorHAnsi"/>
                <w:color w:val="9032B8"/>
                <w:szCs w:val="20"/>
              </w:rPr>
              <w:t>2 524</w:t>
            </w:r>
          </w:p>
        </w:tc>
        <w:tc>
          <w:tcPr>
            <w:tcW w:w="955"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9032B8"/>
                <w:szCs w:val="20"/>
              </w:rPr>
            </w:pPr>
            <w:r w:rsidRPr="00C73365">
              <w:rPr>
                <w:rFonts w:asciiTheme="minorHAnsi" w:hAnsiTheme="minorHAnsi" w:cstheme="minorHAnsi"/>
                <w:color w:val="9032B8"/>
                <w:szCs w:val="20"/>
              </w:rPr>
              <w:t>2 087</w:t>
            </w:r>
          </w:p>
        </w:tc>
        <w:tc>
          <w:tcPr>
            <w:tcW w:w="1196"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9032B8"/>
                <w:szCs w:val="20"/>
              </w:rPr>
            </w:pPr>
            <w:r w:rsidRPr="00C73365">
              <w:rPr>
                <w:rFonts w:asciiTheme="minorHAnsi" w:hAnsiTheme="minorHAnsi" w:cstheme="minorHAnsi"/>
                <w:color w:val="9032B8"/>
                <w:szCs w:val="20"/>
              </w:rPr>
              <w:t>85</w:t>
            </w:r>
          </w:p>
        </w:tc>
        <w:tc>
          <w:tcPr>
            <w:tcW w:w="1101"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9032B8"/>
                <w:szCs w:val="20"/>
              </w:rPr>
            </w:pPr>
            <w:r w:rsidRPr="00C73365">
              <w:rPr>
                <w:rFonts w:asciiTheme="minorHAnsi" w:hAnsiTheme="minorHAnsi" w:cstheme="minorHAnsi"/>
                <w:color w:val="9032B8"/>
                <w:szCs w:val="20"/>
              </w:rPr>
              <w:t>4 526</w:t>
            </w:r>
          </w:p>
        </w:tc>
        <w:tc>
          <w:tcPr>
            <w:tcW w:w="1320"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9032B8"/>
                <w:szCs w:val="20"/>
              </w:rPr>
            </w:pPr>
            <w:r w:rsidRPr="00C73365">
              <w:rPr>
                <w:rFonts w:asciiTheme="minorHAnsi" w:hAnsiTheme="minorHAnsi" w:cstheme="minorHAnsi"/>
                <w:color w:val="9032B8"/>
                <w:szCs w:val="20"/>
              </w:rPr>
              <w:t>4 356</w:t>
            </w:r>
          </w:p>
        </w:tc>
        <w:tc>
          <w:tcPr>
            <w:tcW w:w="1062" w:type="dxa"/>
            <w:tcBorders>
              <w:top w:val="nil"/>
              <w:left w:val="nil"/>
              <w:bottom w:val="single" w:sz="8" w:space="0" w:color="9032B8"/>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9032B8"/>
                <w:szCs w:val="20"/>
              </w:rPr>
            </w:pPr>
            <w:r w:rsidRPr="00C73365">
              <w:rPr>
                <w:rFonts w:asciiTheme="minorHAnsi" w:hAnsiTheme="minorHAnsi" w:cstheme="minorHAnsi"/>
                <w:color w:val="9032B8"/>
                <w:szCs w:val="20"/>
              </w:rPr>
              <w:t>170</w:t>
            </w:r>
          </w:p>
        </w:tc>
      </w:tr>
    </w:tbl>
    <w:p w:rsidR="00B4407F" w:rsidRPr="00C73365" w:rsidRDefault="00B4407F" w:rsidP="00A96CCA">
      <w:pPr>
        <w:spacing w:after="0"/>
        <w:rPr>
          <w:rFonts w:asciiTheme="minorHAnsi" w:eastAsia="MS Mincho" w:hAnsiTheme="minorHAnsi" w:cstheme="minorHAnsi"/>
          <w:color w:val="7030A0"/>
          <w:sz w:val="18"/>
          <w:szCs w:val="18"/>
          <w:lang w:val="fr-FR" w:eastAsia="fr-FR"/>
        </w:rPr>
      </w:pPr>
    </w:p>
    <w:p w:rsidR="005F3354" w:rsidRPr="00C93577" w:rsidRDefault="005C36A7" w:rsidP="005C36A7">
      <w:pPr>
        <w:pStyle w:val="ListBullet"/>
        <w:numPr>
          <w:ilvl w:val="0"/>
          <w:numId w:val="0"/>
        </w:numPr>
        <w:ind w:left="360"/>
        <w:rPr>
          <w:rFonts w:asciiTheme="minorHAnsi" w:hAnsiTheme="minorHAnsi" w:cstheme="minorHAnsi"/>
          <w:lang w:val="fr-FR"/>
        </w:rPr>
      </w:pPr>
      <w:r>
        <w:rPr>
          <w:rFonts w:asciiTheme="minorHAnsi" w:hAnsiTheme="minorHAnsi" w:cstheme="minorHAnsi"/>
          <w:lang w:val="fr-FR"/>
        </w:rPr>
        <w:t>*</w:t>
      </w:r>
      <w:r w:rsidR="005F3354" w:rsidRPr="00C93577">
        <w:rPr>
          <w:rFonts w:asciiTheme="minorHAnsi" w:hAnsiTheme="minorHAnsi" w:cstheme="minorHAnsi"/>
          <w:lang w:val="fr-FR"/>
        </w:rPr>
        <w:t xml:space="preserve">En 2016 : 2269 € comprends les avances remboursables reçues par </w:t>
      </w:r>
      <w:r w:rsidR="00EF089C" w:rsidRPr="00C93577">
        <w:rPr>
          <w:rFonts w:asciiTheme="minorHAnsi" w:hAnsiTheme="minorHAnsi" w:cstheme="minorHAnsi"/>
          <w:lang w:val="fr-FR"/>
        </w:rPr>
        <w:t>ABIVAX</w:t>
      </w:r>
      <w:r w:rsidR="005F3354" w:rsidRPr="00C93577">
        <w:rPr>
          <w:rFonts w:asciiTheme="minorHAnsi" w:hAnsiTheme="minorHAnsi" w:cstheme="minorHAnsi"/>
          <w:lang w:val="fr-FR"/>
        </w:rPr>
        <w:t xml:space="preserve"> (2 187</w:t>
      </w:r>
      <w:r w:rsidR="00EF089C" w:rsidRPr="00C93577">
        <w:rPr>
          <w:rFonts w:asciiTheme="minorHAnsi" w:hAnsiTheme="minorHAnsi" w:cstheme="minorHAnsi"/>
          <w:lang w:val="fr-FR"/>
        </w:rPr>
        <w:t>K€</w:t>
      </w:r>
      <w:r w:rsidR="005F3354" w:rsidRPr="00C93577">
        <w:rPr>
          <w:rFonts w:asciiTheme="minorHAnsi" w:hAnsiTheme="minorHAnsi" w:cstheme="minorHAnsi"/>
          <w:lang w:val="fr-FR"/>
        </w:rPr>
        <w:t>) et les intérêts courus : 21</w:t>
      </w:r>
      <w:r w:rsidR="00EF089C" w:rsidRPr="00C93577">
        <w:rPr>
          <w:rFonts w:asciiTheme="minorHAnsi" w:hAnsiTheme="minorHAnsi" w:cstheme="minorHAnsi"/>
          <w:lang w:val="fr-FR"/>
        </w:rPr>
        <w:t>K€</w:t>
      </w:r>
      <w:r w:rsidR="005F3354" w:rsidRPr="00C93577">
        <w:rPr>
          <w:rFonts w:asciiTheme="minorHAnsi" w:hAnsiTheme="minorHAnsi" w:cstheme="minorHAnsi"/>
          <w:lang w:val="fr-FR"/>
        </w:rPr>
        <w:t xml:space="preserve"> d’intérêts courus comptabilisé sur le compte 167 400 et 61</w:t>
      </w:r>
      <w:r w:rsidR="00EF089C" w:rsidRPr="00C93577">
        <w:rPr>
          <w:rFonts w:asciiTheme="minorHAnsi" w:hAnsiTheme="minorHAnsi" w:cstheme="minorHAnsi"/>
          <w:lang w:val="fr-FR"/>
        </w:rPr>
        <w:t>K€</w:t>
      </w:r>
      <w:r w:rsidR="005F3354" w:rsidRPr="00C93577">
        <w:rPr>
          <w:rFonts w:asciiTheme="minorHAnsi" w:hAnsiTheme="minorHAnsi" w:cstheme="minorHAnsi"/>
          <w:lang w:val="fr-FR"/>
        </w:rPr>
        <w:t xml:space="preserve"> d’intérêts courus comptabilisés sur le compte 168 810 en 2016 (contre 92</w:t>
      </w:r>
      <w:r w:rsidR="00EF089C" w:rsidRPr="00C93577">
        <w:rPr>
          <w:rFonts w:asciiTheme="minorHAnsi" w:hAnsiTheme="minorHAnsi" w:cstheme="minorHAnsi"/>
          <w:lang w:val="fr-FR"/>
        </w:rPr>
        <w:t>K€</w:t>
      </w:r>
      <w:r w:rsidR="005F3354" w:rsidRPr="00C93577">
        <w:rPr>
          <w:rFonts w:asciiTheme="minorHAnsi" w:hAnsiTheme="minorHAnsi" w:cstheme="minorHAnsi"/>
          <w:lang w:val="fr-FR"/>
        </w:rPr>
        <w:t xml:space="preserve"> en 2017) soit 31</w:t>
      </w:r>
      <w:r w:rsidR="00EF089C" w:rsidRPr="00C93577">
        <w:rPr>
          <w:rFonts w:asciiTheme="minorHAnsi" w:hAnsiTheme="minorHAnsi" w:cstheme="minorHAnsi"/>
          <w:lang w:val="fr-FR"/>
        </w:rPr>
        <w:t>K€</w:t>
      </w:r>
      <w:r w:rsidR="005F3354" w:rsidRPr="00C93577">
        <w:rPr>
          <w:rFonts w:asciiTheme="minorHAnsi" w:hAnsiTheme="minorHAnsi" w:cstheme="minorHAnsi"/>
          <w:lang w:val="fr-FR"/>
        </w:rPr>
        <w:t xml:space="preserve"> d’intérêts courus supplémentaires en 2017, ce qui augmente le solde BPI-Carena à 2 300 € au 31/12/2017.</w:t>
      </w:r>
    </w:p>
    <w:p w:rsidR="00D22228" w:rsidRPr="00C73365" w:rsidRDefault="00D22228" w:rsidP="00A96CCA">
      <w:pPr>
        <w:spacing w:after="0"/>
        <w:rPr>
          <w:rFonts w:asciiTheme="minorHAnsi" w:eastAsia="MS Mincho" w:hAnsiTheme="minorHAnsi" w:cstheme="minorHAnsi"/>
          <w:color w:val="7030A0"/>
          <w:sz w:val="18"/>
          <w:szCs w:val="18"/>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Les montants restant à rembourser pour la société sont :</w:t>
      </w:r>
    </w:p>
    <w:tbl>
      <w:tblPr>
        <w:tblW w:w="9452" w:type="dxa"/>
        <w:tblLook w:val="04A0" w:firstRow="1" w:lastRow="0" w:firstColumn="1" w:lastColumn="0" w:noHBand="0" w:noVBand="1"/>
      </w:tblPr>
      <w:tblGrid>
        <w:gridCol w:w="2166"/>
        <w:gridCol w:w="1540"/>
        <w:gridCol w:w="1042"/>
        <w:gridCol w:w="1042"/>
        <w:gridCol w:w="1147"/>
        <w:gridCol w:w="1254"/>
        <w:gridCol w:w="1261"/>
      </w:tblGrid>
      <w:tr w:rsidR="00B4407F" w:rsidRPr="00F06F79" w:rsidTr="00B4407F">
        <w:trPr>
          <w:trHeight w:val="515"/>
        </w:trPr>
        <w:tc>
          <w:tcPr>
            <w:tcW w:w="2166" w:type="dxa"/>
            <w:tcBorders>
              <w:top w:val="single" w:sz="12" w:space="0" w:color="7030A0"/>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Au 31 décembre 2017</w:t>
            </w:r>
          </w:p>
        </w:tc>
        <w:tc>
          <w:tcPr>
            <w:tcW w:w="1540" w:type="dxa"/>
            <w:vMerge w:val="restart"/>
            <w:tcBorders>
              <w:top w:val="single" w:sz="12" w:space="0" w:color="7030A0"/>
              <w:left w:val="nil"/>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r w:rsidRPr="00C73365">
              <w:rPr>
                <w:rFonts w:asciiTheme="minorHAnsi" w:hAnsiTheme="minorHAnsi" w:cstheme="minorHAnsi"/>
                <w:b/>
                <w:bCs/>
                <w:color w:val="000000"/>
                <w:szCs w:val="20"/>
              </w:rPr>
              <w:t>Situation du contrat</w:t>
            </w:r>
          </w:p>
        </w:tc>
        <w:tc>
          <w:tcPr>
            <w:tcW w:w="1042" w:type="dxa"/>
            <w:vMerge w:val="restart"/>
            <w:tcBorders>
              <w:top w:val="single" w:sz="12" w:space="0" w:color="7030A0"/>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Montant accordé </w:t>
            </w:r>
          </w:p>
        </w:tc>
        <w:tc>
          <w:tcPr>
            <w:tcW w:w="1042" w:type="dxa"/>
            <w:vMerge w:val="restart"/>
            <w:tcBorders>
              <w:top w:val="single" w:sz="12" w:space="0" w:color="7030A0"/>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 xml:space="preserve">Montant encaissé </w:t>
            </w:r>
          </w:p>
        </w:tc>
        <w:tc>
          <w:tcPr>
            <w:tcW w:w="1147" w:type="dxa"/>
            <w:vMerge w:val="restart"/>
            <w:tcBorders>
              <w:top w:val="single" w:sz="12" w:space="0" w:color="7030A0"/>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Montant restant à percevoir</w:t>
            </w:r>
            <w:r w:rsidRPr="00C73365">
              <w:rPr>
                <w:rFonts w:asciiTheme="minorHAnsi" w:hAnsiTheme="minorHAnsi" w:cstheme="minorHAnsi"/>
                <w:color w:val="7030A0"/>
                <w:szCs w:val="20"/>
                <w:vertAlign w:val="superscript"/>
              </w:rPr>
              <w:t>(2)</w:t>
            </w:r>
          </w:p>
        </w:tc>
        <w:tc>
          <w:tcPr>
            <w:tcW w:w="1254" w:type="dxa"/>
            <w:vMerge w:val="restart"/>
            <w:tcBorders>
              <w:top w:val="single" w:sz="12" w:space="0" w:color="7030A0"/>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b/>
                <w:bCs/>
                <w:color w:val="000000"/>
                <w:szCs w:val="20"/>
              </w:rPr>
            </w:pPr>
            <w:r w:rsidRPr="00C73365">
              <w:rPr>
                <w:rFonts w:asciiTheme="minorHAnsi" w:hAnsiTheme="minorHAnsi" w:cstheme="minorHAnsi"/>
                <w:b/>
                <w:bCs/>
                <w:color w:val="000000"/>
                <w:szCs w:val="20"/>
              </w:rPr>
              <w:t>Montant remboursé</w:t>
            </w:r>
          </w:p>
        </w:tc>
        <w:tc>
          <w:tcPr>
            <w:tcW w:w="1261" w:type="dxa"/>
            <w:vMerge w:val="restart"/>
            <w:tcBorders>
              <w:top w:val="single" w:sz="12" w:space="0" w:color="7030A0"/>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Montant à rembourser sauf en cas d</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échec constaté</w:t>
            </w:r>
            <w:r w:rsidRPr="00C73365">
              <w:rPr>
                <w:rFonts w:asciiTheme="minorHAnsi" w:hAnsiTheme="minorHAnsi" w:cstheme="minorHAnsi"/>
                <w:color w:val="7030A0"/>
                <w:szCs w:val="20"/>
                <w:vertAlign w:val="superscript"/>
                <w:lang w:val="fr-FR"/>
              </w:rPr>
              <w:t>(1)</w:t>
            </w:r>
          </w:p>
        </w:tc>
      </w:tr>
      <w:tr w:rsidR="00B4407F" w:rsidRPr="00C73365" w:rsidTr="00B4407F">
        <w:trPr>
          <w:trHeight w:val="274"/>
        </w:trPr>
        <w:tc>
          <w:tcPr>
            <w:tcW w:w="2166"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540" w:type="dxa"/>
            <w:vMerge/>
            <w:tcBorders>
              <w:left w:val="nil"/>
              <w:bottom w:val="single" w:sz="8" w:space="0" w:color="7030A0"/>
              <w:right w:val="nil"/>
            </w:tcBorders>
            <w:shd w:val="clear" w:color="auto" w:fill="auto"/>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042" w:type="dxa"/>
            <w:vMerge/>
            <w:tcBorders>
              <w:top w:val="single" w:sz="12" w:space="0" w:color="7030A0"/>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042" w:type="dxa"/>
            <w:vMerge/>
            <w:tcBorders>
              <w:top w:val="single" w:sz="12" w:space="0" w:color="7030A0"/>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147" w:type="dxa"/>
            <w:vMerge/>
            <w:tcBorders>
              <w:top w:val="single" w:sz="12" w:space="0" w:color="7030A0"/>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254" w:type="dxa"/>
            <w:vMerge/>
            <w:tcBorders>
              <w:top w:val="single" w:sz="12" w:space="0" w:color="7030A0"/>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c>
          <w:tcPr>
            <w:tcW w:w="1261" w:type="dxa"/>
            <w:vMerge/>
            <w:tcBorders>
              <w:top w:val="single" w:sz="12" w:space="0" w:color="7030A0"/>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b/>
                <w:bCs/>
                <w:color w:val="000000"/>
                <w:szCs w:val="20"/>
              </w:rPr>
            </w:pPr>
          </w:p>
        </w:tc>
      </w:tr>
      <w:tr w:rsidR="00B4407F" w:rsidRPr="00C73365" w:rsidTr="00B4407F">
        <w:trPr>
          <w:trHeight w:val="504"/>
        </w:trPr>
        <w:tc>
          <w:tcPr>
            <w:tcW w:w="2166"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ISI-CaReNA (part Subventions)</w:t>
            </w:r>
          </w:p>
        </w:tc>
        <w:tc>
          <w:tcPr>
            <w:tcW w:w="1540"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En cours d’exécution</w:t>
            </w:r>
          </w:p>
        </w:tc>
        <w:tc>
          <w:tcPr>
            <w:tcW w:w="1042"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1 397</w:t>
            </w:r>
          </w:p>
        </w:tc>
        <w:tc>
          <w:tcPr>
            <w:tcW w:w="1042" w:type="dxa"/>
            <w:tcBorders>
              <w:top w:val="nil"/>
              <w:left w:val="nil"/>
              <w:bottom w:val="nil"/>
              <w:right w:val="nil"/>
            </w:tcBorders>
            <w:shd w:val="clear" w:color="auto" w:fill="auto"/>
            <w:vAlign w:val="center"/>
            <w:hideMark/>
          </w:tcPr>
          <w:p w:rsidR="00B4407F" w:rsidRPr="00C73365" w:rsidRDefault="0056443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1 187</w:t>
            </w:r>
          </w:p>
        </w:tc>
        <w:tc>
          <w:tcPr>
            <w:tcW w:w="1147"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210</w:t>
            </w:r>
          </w:p>
        </w:tc>
        <w:tc>
          <w:tcPr>
            <w:tcW w:w="1254"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p>
        </w:tc>
        <w:tc>
          <w:tcPr>
            <w:tcW w:w="1261"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szCs w:val="20"/>
              </w:rPr>
            </w:pPr>
          </w:p>
        </w:tc>
      </w:tr>
      <w:tr w:rsidR="00B4407F" w:rsidRPr="00C73365" w:rsidTr="00B4407F">
        <w:trPr>
          <w:trHeight w:val="515"/>
        </w:trPr>
        <w:tc>
          <w:tcPr>
            <w:tcW w:w="2166"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ISI-CaReNA (part Avances Remboursables)</w:t>
            </w:r>
          </w:p>
        </w:tc>
        <w:tc>
          <w:tcPr>
            <w:tcW w:w="1540"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En cours d’exécution</w:t>
            </w:r>
          </w:p>
        </w:tc>
        <w:tc>
          <w:tcPr>
            <w:tcW w:w="1042"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3 830</w:t>
            </w:r>
          </w:p>
        </w:tc>
        <w:tc>
          <w:tcPr>
            <w:tcW w:w="1042"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2 187</w:t>
            </w:r>
          </w:p>
        </w:tc>
        <w:tc>
          <w:tcPr>
            <w:tcW w:w="1147"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1 643</w:t>
            </w:r>
          </w:p>
        </w:tc>
        <w:tc>
          <w:tcPr>
            <w:tcW w:w="1254"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61"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4 397</w:t>
            </w:r>
          </w:p>
        </w:tc>
      </w:tr>
      <w:tr w:rsidR="00B4407F" w:rsidRPr="00C73365" w:rsidTr="00B4407F">
        <w:trPr>
          <w:trHeight w:val="504"/>
        </w:trPr>
        <w:tc>
          <w:tcPr>
            <w:tcW w:w="2166"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Aide conjointe </w:t>
            </w:r>
            <w:r w:rsidR="001479F8">
              <w:rPr>
                <w:rFonts w:asciiTheme="minorHAnsi" w:hAnsiTheme="minorHAnsi" w:cstheme="minorHAnsi"/>
                <w:color w:val="000000"/>
                <w:szCs w:val="20"/>
                <w:lang w:val="fr-FR"/>
              </w:rPr>
              <w:t>Bpifrance</w:t>
            </w:r>
            <w:r w:rsidRPr="00C73365">
              <w:rPr>
                <w:rFonts w:asciiTheme="minorHAnsi" w:hAnsiTheme="minorHAnsi" w:cstheme="minorHAnsi"/>
                <w:color w:val="000000"/>
                <w:szCs w:val="20"/>
                <w:lang w:val="fr-FR"/>
              </w:rPr>
              <w:t xml:space="preserve"> et Feder</w:t>
            </w:r>
          </w:p>
        </w:tc>
        <w:tc>
          <w:tcPr>
            <w:tcW w:w="1540" w:type="dxa"/>
            <w:vMerge w:val="restart"/>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En cours de remboursement</w:t>
            </w:r>
          </w:p>
        </w:tc>
        <w:tc>
          <w:tcPr>
            <w:tcW w:w="1042" w:type="dxa"/>
            <w:vMerge w:val="restart"/>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800</w:t>
            </w:r>
          </w:p>
        </w:tc>
        <w:tc>
          <w:tcPr>
            <w:tcW w:w="1042" w:type="dxa"/>
            <w:vMerge w:val="restart"/>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800</w:t>
            </w:r>
          </w:p>
        </w:tc>
        <w:tc>
          <w:tcPr>
            <w:tcW w:w="1147" w:type="dxa"/>
            <w:vMerge w:val="restart"/>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0</w:t>
            </w:r>
          </w:p>
        </w:tc>
        <w:tc>
          <w:tcPr>
            <w:tcW w:w="1254" w:type="dxa"/>
            <w:vMerge w:val="restart"/>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630</w:t>
            </w:r>
          </w:p>
        </w:tc>
        <w:tc>
          <w:tcPr>
            <w:tcW w:w="1261"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170</w:t>
            </w:r>
            <w:r w:rsidR="008F2F8F" w:rsidRPr="00C73365">
              <w:rPr>
                <w:rFonts w:asciiTheme="minorHAnsi" w:hAnsiTheme="minorHAnsi" w:cstheme="minorHAnsi"/>
                <w:color w:val="000000"/>
                <w:szCs w:val="20"/>
              </w:rPr>
              <w:t>*</w:t>
            </w:r>
          </w:p>
        </w:tc>
      </w:tr>
      <w:tr w:rsidR="00B4407F" w:rsidRPr="00C73365" w:rsidTr="00B4407F">
        <w:trPr>
          <w:trHeight w:val="767"/>
        </w:trPr>
        <w:tc>
          <w:tcPr>
            <w:tcW w:w="2166"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 10 06 002G)</w:t>
            </w:r>
          </w:p>
        </w:tc>
        <w:tc>
          <w:tcPr>
            <w:tcW w:w="1540" w:type="dxa"/>
            <w:vMerge/>
            <w:tcBorders>
              <w:top w:val="nil"/>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color w:val="000000"/>
                <w:szCs w:val="20"/>
              </w:rPr>
            </w:pPr>
          </w:p>
        </w:tc>
        <w:tc>
          <w:tcPr>
            <w:tcW w:w="1042" w:type="dxa"/>
            <w:vMerge/>
            <w:tcBorders>
              <w:top w:val="nil"/>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color w:val="000000"/>
                <w:szCs w:val="20"/>
              </w:rPr>
            </w:pPr>
          </w:p>
        </w:tc>
        <w:tc>
          <w:tcPr>
            <w:tcW w:w="1042" w:type="dxa"/>
            <w:vMerge/>
            <w:tcBorders>
              <w:top w:val="nil"/>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color w:val="000000"/>
                <w:szCs w:val="20"/>
              </w:rPr>
            </w:pPr>
          </w:p>
        </w:tc>
        <w:tc>
          <w:tcPr>
            <w:tcW w:w="1147" w:type="dxa"/>
            <w:vMerge/>
            <w:tcBorders>
              <w:top w:val="nil"/>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color w:val="000000"/>
                <w:szCs w:val="20"/>
              </w:rPr>
            </w:pPr>
          </w:p>
        </w:tc>
        <w:tc>
          <w:tcPr>
            <w:tcW w:w="1254" w:type="dxa"/>
            <w:vMerge/>
            <w:tcBorders>
              <w:top w:val="nil"/>
              <w:left w:val="nil"/>
              <w:bottom w:val="single" w:sz="8" w:space="0" w:color="7030A0"/>
              <w:right w:val="nil"/>
            </w:tcBorders>
            <w:vAlign w:val="center"/>
            <w:hideMark/>
          </w:tcPr>
          <w:p w:rsidR="00B4407F" w:rsidRPr="00C73365" w:rsidRDefault="00B4407F" w:rsidP="00A96CCA">
            <w:pPr>
              <w:spacing w:after="0"/>
              <w:rPr>
                <w:rFonts w:asciiTheme="minorHAnsi" w:hAnsiTheme="minorHAnsi" w:cstheme="minorHAnsi"/>
                <w:color w:val="000000"/>
                <w:szCs w:val="20"/>
              </w:rPr>
            </w:pPr>
          </w:p>
        </w:tc>
        <w:tc>
          <w:tcPr>
            <w:tcW w:w="1261"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(non conditionné au succès)</w:t>
            </w:r>
          </w:p>
        </w:tc>
      </w:tr>
      <w:tr w:rsidR="00B4407F" w:rsidRPr="00C73365" w:rsidTr="00B4407F">
        <w:trPr>
          <w:trHeight w:val="504"/>
        </w:trPr>
        <w:tc>
          <w:tcPr>
            <w:tcW w:w="2166"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Projet RNP-VIR (Subventions)</w:t>
            </w:r>
          </w:p>
        </w:tc>
        <w:tc>
          <w:tcPr>
            <w:tcW w:w="1540" w:type="dxa"/>
            <w:tcBorders>
              <w:top w:val="nil"/>
              <w:left w:val="nil"/>
              <w:bottom w:val="nil"/>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En cours d’exécution</w:t>
            </w:r>
          </w:p>
        </w:tc>
        <w:tc>
          <w:tcPr>
            <w:tcW w:w="1042"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2 112</w:t>
            </w:r>
          </w:p>
        </w:tc>
        <w:tc>
          <w:tcPr>
            <w:tcW w:w="1042"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347</w:t>
            </w:r>
          </w:p>
        </w:tc>
        <w:tc>
          <w:tcPr>
            <w:tcW w:w="1147"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1 765</w:t>
            </w:r>
          </w:p>
        </w:tc>
        <w:tc>
          <w:tcPr>
            <w:tcW w:w="1254"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61" w:type="dxa"/>
            <w:tcBorders>
              <w:top w:val="nil"/>
              <w:left w:val="nil"/>
              <w:bottom w:val="nil"/>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B4407F" w:rsidRPr="00C73365" w:rsidTr="00B4407F">
        <w:trPr>
          <w:trHeight w:val="515"/>
        </w:trPr>
        <w:tc>
          <w:tcPr>
            <w:tcW w:w="2166"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Projet RNP-VIR (Avances Remboursables)</w:t>
            </w:r>
          </w:p>
        </w:tc>
        <w:tc>
          <w:tcPr>
            <w:tcW w:w="1540"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En cours d’exécution</w:t>
            </w:r>
          </w:p>
        </w:tc>
        <w:tc>
          <w:tcPr>
            <w:tcW w:w="1042"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6 298</w:t>
            </w:r>
          </w:p>
        </w:tc>
        <w:tc>
          <w:tcPr>
            <w:tcW w:w="1042"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1756</w:t>
            </w:r>
          </w:p>
        </w:tc>
        <w:tc>
          <w:tcPr>
            <w:tcW w:w="1147"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4 542</w:t>
            </w:r>
          </w:p>
        </w:tc>
        <w:tc>
          <w:tcPr>
            <w:tcW w:w="1254"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61"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6 576</w:t>
            </w:r>
          </w:p>
        </w:tc>
      </w:tr>
      <w:tr w:rsidR="00B4407F" w:rsidRPr="00C73365" w:rsidTr="00B4407F">
        <w:trPr>
          <w:trHeight w:val="767"/>
        </w:trPr>
        <w:tc>
          <w:tcPr>
            <w:tcW w:w="2166"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Aide conjointe </w:t>
            </w:r>
            <w:r w:rsidR="001479F8">
              <w:rPr>
                <w:rFonts w:asciiTheme="minorHAnsi" w:hAnsiTheme="minorHAnsi" w:cstheme="minorHAnsi"/>
                <w:color w:val="000000"/>
                <w:szCs w:val="20"/>
                <w:lang w:val="fr-FR"/>
              </w:rPr>
              <w:t>Bpifrance</w:t>
            </w:r>
            <w:r w:rsidRPr="00C73365">
              <w:rPr>
                <w:rFonts w:asciiTheme="minorHAnsi" w:hAnsiTheme="minorHAnsi" w:cstheme="minorHAnsi"/>
                <w:color w:val="000000"/>
                <w:szCs w:val="20"/>
                <w:lang w:val="fr-FR"/>
              </w:rPr>
              <w:t xml:space="preserve"> et Région Occitanie (part Avances Remboursables)</w:t>
            </w:r>
          </w:p>
        </w:tc>
        <w:tc>
          <w:tcPr>
            <w:tcW w:w="1540"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En cours d’exécution</w:t>
            </w:r>
          </w:p>
        </w:tc>
        <w:tc>
          <w:tcPr>
            <w:tcW w:w="1042"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390</w:t>
            </w:r>
          </w:p>
        </w:tc>
        <w:tc>
          <w:tcPr>
            <w:tcW w:w="1042" w:type="dxa"/>
            <w:tcBorders>
              <w:top w:val="nil"/>
              <w:left w:val="nil"/>
              <w:bottom w:val="single" w:sz="8" w:space="0" w:color="7030A0"/>
              <w:right w:val="nil"/>
            </w:tcBorders>
            <w:shd w:val="clear" w:color="auto" w:fill="auto"/>
            <w:vAlign w:val="center"/>
            <w:hideMark/>
          </w:tcPr>
          <w:p w:rsidR="00B4407F" w:rsidRPr="00C73365" w:rsidRDefault="00C0081E"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300</w:t>
            </w:r>
          </w:p>
        </w:tc>
        <w:tc>
          <w:tcPr>
            <w:tcW w:w="1147"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90</w:t>
            </w:r>
          </w:p>
        </w:tc>
        <w:tc>
          <w:tcPr>
            <w:tcW w:w="1254"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61" w:type="dxa"/>
            <w:tcBorders>
              <w:top w:val="nil"/>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color w:val="000000"/>
                <w:szCs w:val="20"/>
              </w:rPr>
            </w:pPr>
            <w:r w:rsidRPr="00C73365">
              <w:rPr>
                <w:rFonts w:asciiTheme="minorHAnsi" w:hAnsiTheme="minorHAnsi" w:cstheme="minorHAnsi"/>
                <w:color w:val="000000"/>
                <w:szCs w:val="20"/>
              </w:rPr>
              <w:t xml:space="preserve">390 </w:t>
            </w:r>
            <w:r w:rsidRPr="00C73365">
              <w:rPr>
                <w:rFonts w:asciiTheme="minorHAnsi" w:hAnsiTheme="minorHAnsi" w:cstheme="minorHAnsi"/>
                <w:color w:val="000000"/>
                <w:szCs w:val="20"/>
              </w:rPr>
              <w:br/>
              <w:t>(conditionné au succès)</w:t>
            </w:r>
          </w:p>
        </w:tc>
      </w:tr>
    </w:tbl>
    <w:p w:rsidR="00B4407F" w:rsidRPr="00C73365" w:rsidRDefault="00B4407F" w:rsidP="00A96CCA">
      <w:pPr>
        <w:spacing w:after="0"/>
        <w:ind w:right="-2"/>
        <w:rPr>
          <w:rFonts w:asciiTheme="minorHAnsi" w:eastAsia="MS Mincho" w:hAnsiTheme="minorHAnsi" w:cstheme="minorHAnsi"/>
          <w:szCs w:val="20"/>
          <w:lang w:val="fr-FR" w:eastAsia="fr-FR"/>
        </w:rPr>
      </w:pPr>
    </w:p>
    <w:p w:rsidR="00B4407F" w:rsidRPr="00C73365" w:rsidRDefault="00B4407F" w:rsidP="004572A0">
      <w:pPr>
        <w:pStyle w:val="BodyText"/>
        <w:rPr>
          <w:rFonts w:asciiTheme="minorHAnsi" w:eastAsia="MS Mincho" w:hAnsiTheme="minorHAnsi" w:cstheme="minorHAnsi"/>
          <w:lang w:val="fr-FR" w:eastAsia="fr-FR"/>
        </w:rPr>
        <w:sectPr w:rsidR="00B4407F" w:rsidRPr="00C73365" w:rsidSect="007C607C">
          <w:type w:val="continuous"/>
          <w:pgSz w:w="11906" w:h="16838"/>
          <w:pgMar w:top="1134" w:right="1134" w:bottom="1134" w:left="1134" w:header="709" w:footer="709" w:gutter="0"/>
          <w:cols w:space="708"/>
          <w:docGrid w:linePitch="360"/>
        </w:sectPr>
      </w:pPr>
    </w:p>
    <w:p w:rsidR="00B4407F" w:rsidRDefault="009E7962" w:rsidP="001479F8">
      <w:pPr>
        <w:pStyle w:val="List"/>
        <w:rPr>
          <w:rFonts w:asciiTheme="minorHAnsi" w:hAnsiTheme="minorHAnsi" w:cstheme="minorHAnsi"/>
          <w:lang w:val="fr-FR"/>
        </w:rPr>
      </w:pPr>
      <w:r w:rsidRPr="00C73365">
        <w:rPr>
          <w:rFonts w:asciiTheme="minorHAnsi" w:hAnsiTheme="minorHAnsi" w:cstheme="minorHAnsi"/>
          <w:vertAlign w:val="superscript"/>
          <w:lang w:val="fr-FR"/>
        </w:rPr>
        <w:t>(1)</w:t>
      </w:r>
      <w:r w:rsidR="004572A0" w:rsidRPr="00C73365">
        <w:rPr>
          <w:rFonts w:asciiTheme="minorHAnsi" w:hAnsiTheme="minorHAnsi" w:cstheme="minorHAnsi"/>
          <w:lang w:val="fr-FR"/>
        </w:rPr>
        <w:tab/>
      </w:r>
      <w:r w:rsidRPr="00C73365">
        <w:rPr>
          <w:rFonts w:asciiTheme="minorHAnsi" w:hAnsiTheme="minorHAnsi" w:cstheme="minorHAnsi"/>
          <w:lang w:val="fr-FR"/>
        </w:rPr>
        <w:t>Se référer au paragraphe 4.6.1, au paragraphe 10.3.2 et au chapitre 22 du présent document de référence pour le détail des échéanciers des sommes restant à percevoir et des sommes à rembourser</w:t>
      </w:r>
      <w:r w:rsidRPr="00C73365">
        <w:rPr>
          <w:rFonts w:asciiTheme="minorHAnsi" w:hAnsiTheme="minorHAnsi" w:cstheme="minorHAnsi"/>
          <w:vertAlign w:val="superscript"/>
          <w:lang w:val="fr-FR"/>
        </w:rPr>
        <w:t xml:space="preserve"> (2)</w:t>
      </w:r>
      <w:r w:rsidRPr="00C73365">
        <w:rPr>
          <w:rFonts w:asciiTheme="minorHAnsi" w:hAnsiTheme="minorHAnsi" w:cstheme="minorHAnsi"/>
          <w:lang w:val="fr-FR"/>
        </w:rPr>
        <w:t xml:space="preserve"> Versements maximaux</w:t>
      </w:r>
      <w:r w:rsidR="008F2F8F" w:rsidRPr="00C73365">
        <w:rPr>
          <w:rFonts w:asciiTheme="minorHAnsi" w:hAnsiTheme="minorHAnsi" w:cstheme="minorHAnsi"/>
          <w:lang w:val="fr-FR"/>
        </w:rPr>
        <w:t xml:space="preserve"> * à date d’enregistrement d</w:t>
      </w:r>
      <w:r w:rsidR="005C36A7">
        <w:rPr>
          <w:rFonts w:asciiTheme="minorHAnsi" w:hAnsiTheme="minorHAnsi" w:cstheme="minorHAnsi"/>
          <w:lang w:val="fr-FR"/>
        </w:rPr>
        <w:t>e ce document</w:t>
      </w:r>
      <w:r w:rsidR="008F2F8F" w:rsidRPr="00C73365">
        <w:rPr>
          <w:rFonts w:asciiTheme="minorHAnsi" w:hAnsiTheme="minorHAnsi" w:cstheme="minorHAnsi"/>
          <w:lang w:val="fr-FR"/>
        </w:rPr>
        <w:t xml:space="preserve">, l’aide conjointe </w:t>
      </w:r>
      <w:r w:rsidR="001479F8">
        <w:rPr>
          <w:rFonts w:asciiTheme="minorHAnsi" w:hAnsiTheme="minorHAnsi" w:cstheme="minorHAnsi"/>
          <w:lang w:val="fr-FR"/>
        </w:rPr>
        <w:t>Bpifrance</w:t>
      </w:r>
      <w:r w:rsidR="008F2F8F" w:rsidRPr="00C73365">
        <w:rPr>
          <w:rFonts w:asciiTheme="minorHAnsi" w:hAnsiTheme="minorHAnsi" w:cstheme="minorHAnsi"/>
          <w:lang w:val="fr-FR"/>
        </w:rPr>
        <w:t xml:space="preserve"> et Feder est intégralement remboursée</w:t>
      </w:r>
    </w:p>
    <w:p w:rsidR="001479F8" w:rsidRPr="001479F8" w:rsidRDefault="001479F8" w:rsidP="001479F8">
      <w:pPr>
        <w:pStyle w:val="List"/>
        <w:ind w:left="0" w:firstLine="0"/>
        <w:rPr>
          <w:rFonts w:asciiTheme="minorHAnsi" w:hAnsiTheme="minorHAnsi" w:cstheme="minorHAnsi"/>
          <w:lang w:val="fr-FR"/>
        </w:rPr>
        <w:sectPr w:rsidR="001479F8" w:rsidRPr="001479F8" w:rsidSect="00981866">
          <w:type w:val="continuous"/>
          <w:pgSz w:w="11906" w:h="16838"/>
          <w:pgMar w:top="1134" w:right="1134" w:bottom="1134" w:left="1134" w:header="709" w:footer="709" w:gutter="0"/>
          <w:cols w:space="397"/>
          <w:docGrid w:linePitch="360"/>
        </w:sectPr>
      </w:pPr>
    </w:p>
    <w:p w:rsidR="008F2F8F" w:rsidRPr="00C73365" w:rsidRDefault="008F2F8F" w:rsidP="00A96CCA">
      <w:pPr>
        <w:widowControl w:val="0"/>
        <w:spacing w:after="0"/>
        <w:ind w:right="-2"/>
        <w:rPr>
          <w:rFonts w:asciiTheme="minorHAnsi" w:eastAsia="MS Mincho" w:hAnsiTheme="minorHAnsi" w:cstheme="minorHAnsi"/>
          <w:b/>
          <w:color w:val="7030A0"/>
          <w:szCs w:val="20"/>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BPI – CaReNA</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Contrat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pour financer le projet d’Innovation Stratégique Industrielle dénommé « CaReNA » signé avec la société Splicos en 2013.</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prévoit une avance remboursable de 3 830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un taux d’Avance Remboursable de 50% des dépenses totales programmées.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Au 31 Décembre </w:t>
      </w:r>
      <w:r w:rsidR="00B4407F" w:rsidRPr="00C73365">
        <w:rPr>
          <w:rFonts w:asciiTheme="minorHAnsi" w:eastAsia="MS Mincho" w:hAnsiTheme="minorHAnsi" w:cstheme="minorHAnsi"/>
          <w:lang w:val="fr-FR" w:eastAsia="fr-FR"/>
        </w:rPr>
        <w:t>2017</w:t>
      </w:r>
      <w:r w:rsidRPr="00C73365">
        <w:rPr>
          <w:rFonts w:asciiTheme="minorHAnsi" w:eastAsia="MS Mincho" w:hAnsiTheme="minorHAnsi" w:cstheme="minorHAnsi"/>
          <w:lang w:val="fr-FR" w:eastAsia="fr-FR"/>
        </w:rPr>
        <w:t xml:space="preserve">, le montant perçu par la société s’élève à 2 </w:t>
      </w:r>
      <w:r w:rsidR="00D22228" w:rsidRPr="00C73365">
        <w:rPr>
          <w:rFonts w:asciiTheme="minorHAnsi" w:eastAsia="MS Mincho" w:hAnsiTheme="minorHAnsi" w:cstheme="minorHAnsi"/>
          <w:lang w:val="fr-FR" w:eastAsia="fr-FR"/>
        </w:rPr>
        <w:t xml:space="preserve">187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dont 1 150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perçus en décembre 2013, 1 008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perçus en </w:t>
      </w:r>
      <w:r w:rsidR="00E73A7C">
        <w:rPr>
          <w:rFonts w:asciiTheme="minorHAnsi" w:eastAsia="MS Mincho" w:hAnsiTheme="minorHAnsi" w:cstheme="minorHAnsi"/>
          <w:lang w:val="fr-FR" w:eastAsia="fr-FR"/>
        </w:rPr>
        <w:t>septembre</w:t>
      </w:r>
      <w:r w:rsidRPr="00C73365">
        <w:rPr>
          <w:rFonts w:asciiTheme="minorHAnsi" w:eastAsia="MS Mincho" w:hAnsiTheme="minorHAnsi" w:cstheme="minorHAnsi"/>
          <w:lang w:val="fr-FR" w:eastAsia="fr-FR"/>
        </w:rPr>
        <w:t xml:space="preserve"> 2014 et 29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en Juin 2016.</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retours financiers s’effectueront au moyen de versements déterminés, en fonction des prévisions de chiffre d’affaires généré par l’exploitation directe ou indirecte, des produits ou services issus du projet.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montant des échéances de remboursements tient compte d’une actualisation au taux annuel de 1,66% calculée selon les modalités contractuelles.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L’échéancier forfaitaire de remboursement</w:t>
      </w:r>
      <w:r w:rsidR="0056443F" w:rsidRPr="00C73365">
        <w:rPr>
          <w:rFonts w:asciiTheme="minorHAnsi" w:eastAsia="MS Mincho" w:hAnsiTheme="minorHAnsi" w:cstheme="minorHAnsi"/>
          <w:lang w:val="fr-FR" w:eastAsia="fr-FR"/>
        </w:rPr>
        <w:t xml:space="preserve"> initial</w:t>
      </w:r>
      <w:r w:rsidRPr="00C73365">
        <w:rPr>
          <w:rFonts w:asciiTheme="minorHAnsi" w:eastAsia="MS Mincho" w:hAnsiTheme="minorHAnsi" w:cstheme="minorHAnsi"/>
          <w:lang w:val="fr-FR" w:eastAsia="fr-FR"/>
        </w:rPr>
        <w:t>, lié à la réussite du projet, est le suivant :</w:t>
      </w:r>
    </w:p>
    <w:tbl>
      <w:tblPr>
        <w:tblW w:w="4481" w:type="dxa"/>
        <w:tblCellMar>
          <w:left w:w="70" w:type="dxa"/>
          <w:right w:w="70" w:type="dxa"/>
        </w:tblCellMar>
        <w:tblLook w:val="04A0" w:firstRow="1" w:lastRow="0" w:firstColumn="1" w:lastColumn="0" w:noHBand="0" w:noVBand="1"/>
      </w:tblPr>
      <w:tblGrid>
        <w:gridCol w:w="2998"/>
        <w:gridCol w:w="156"/>
        <w:gridCol w:w="1327"/>
      </w:tblGrid>
      <w:tr w:rsidR="00F46C7B" w:rsidRPr="00F06F79" w:rsidTr="007C607C">
        <w:trPr>
          <w:trHeight w:val="458"/>
        </w:trPr>
        <w:tc>
          <w:tcPr>
            <w:tcW w:w="2998"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6"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27"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r>
      <w:tr w:rsidR="00F46C7B" w:rsidRPr="00C73365" w:rsidTr="007C607C">
        <w:trPr>
          <w:trHeight w:val="202"/>
        </w:trPr>
        <w:tc>
          <w:tcPr>
            <w:tcW w:w="2998"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2020</w:t>
            </w:r>
          </w:p>
        </w:tc>
        <w:tc>
          <w:tcPr>
            <w:tcW w:w="156"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300 </w:t>
            </w:r>
            <w:r w:rsidR="00EF089C" w:rsidRPr="00C73365">
              <w:rPr>
                <w:rFonts w:asciiTheme="minorHAnsi" w:hAnsiTheme="minorHAnsi" w:cstheme="minorHAnsi"/>
                <w:color w:val="000000"/>
                <w:szCs w:val="20"/>
                <w:lang w:val="fr-FR" w:eastAsia="fr-FR"/>
              </w:rPr>
              <w:t>K€</w:t>
            </w:r>
          </w:p>
        </w:tc>
      </w:tr>
      <w:tr w:rsidR="00F46C7B" w:rsidRPr="00C73365" w:rsidTr="007C607C">
        <w:trPr>
          <w:trHeight w:val="202"/>
        </w:trPr>
        <w:tc>
          <w:tcPr>
            <w:tcW w:w="2998"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2021</w:t>
            </w:r>
          </w:p>
        </w:tc>
        <w:tc>
          <w:tcPr>
            <w:tcW w:w="156"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500 </w:t>
            </w:r>
            <w:r w:rsidR="00EF089C" w:rsidRPr="00C73365">
              <w:rPr>
                <w:rFonts w:asciiTheme="minorHAnsi" w:hAnsiTheme="minorHAnsi" w:cstheme="minorHAnsi"/>
                <w:color w:val="000000"/>
                <w:szCs w:val="20"/>
                <w:lang w:val="fr-FR" w:eastAsia="fr-FR"/>
              </w:rPr>
              <w:t>K€</w:t>
            </w:r>
          </w:p>
        </w:tc>
      </w:tr>
      <w:tr w:rsidR="00F46C7B" w:rsidRPr="00C73365" w:rsidTr="007C607C">
        <w:trPr>
          <w:trHeight w:val="202"/>
        </w:trPr>
        <w:tc>
          <w:tcPr>
            <w:tcW w:w="2998"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2022</w:t>
            </w:r>
          </w:p>
        </w:tc>
        <w:tc>
          <w:tcPr>
            <w:tcW w:w="156"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750 </w:t>
            </w:r>
            <w:r w:rsidR="00EF089C" w:rsidRPr="00C73365">
              <w:rPr>
                <w:rFonts w:asciiTheme="minorHAnsi" w:hAnsiTheme="minorHAnsi" w:cstheme="minorHAnsi"/>
                <w:color w:val="000000"/>
                <w:szCs w:val="20"/>
                <w:lang w:val="fr-FR" w:eastAsia="fr-FR"/>
              </w:rPr>
              <w:t>K€</w:t>
            </w:r>
          </w:p>
        </w:tc>
      </w:tr>
      <w:tr w:rsidR="00F46C7B" w:rsidRPr="00C73365" w:rsidTr="007C607C">
        <w:trPr>
          <w:trHeight w:val="202"/>
        </w:trPr>
        <w:tc>
          <w:tcPr>
            <w:tcW w:w="2998"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2023</w:t>
            </w:r>
          </w:p>
        </w:tc>
        <w:tc>
          <w:tcPr>
            <w:tcW w:w="156"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1 100 </w:t>
            </w:r>
            <w:r w:rsidR="00EF089C" w:rsidRPr="00C73365">
              <w:rPr>
                <w:rFonts w:asciiTheme="minorHAnsi" w:hAnsiTheme="minorHAnsi" w:cstheme="minorHAnsi"/>
                <w:color w:val="000000"/>
                <w:szCs w:val="20"/>
                <w:lang w:val="fr-FR" w:eastAsia="fr-FR"/>
              </w:rPr>
              <w:t>K€</w:t>
            </w:r>
          </w:p>
        </w:tc>
      </w:tr>
      <w:tr w:rsidR="00F46C7B" w:rsidRPr="00C73365" w:rsidTr="007C607C">
        <w:trPr>
          <w:trHeight w:val="202"/>
        </w:trPr>
        <w:tc>
          <w:tcPr>
            <w:tcW w:w="2998"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2024</w:t>
            </w:r>
          </w:p>
        </w:tc>
        <w:tc>
          <w:tcPr>
            <w:tcW w:w="156"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1 747 </w:t>
            </w:r>
            <w:r w:rsidR="00EF089C" w:rsidRPr="00C73365">
              <w:rPr>
                <w:rFonts w:asciiTheme="minorHAnsi" w:hAnsiTheme="minorHAnsi" w:cstheme="minorHAnsi"/>
                <w:color w:val="000000"/>
                <w:szCs w:val="20"/>
                <w:lang w:val="fr-FR" w:eastAsia="fr-FR"/>
              </w:rPr>
              <w:t>K€</w:t>
            </w:r>
          </w:p>
        </w:tc>
      </w:tr>
      <w:tr w:rsidR="00F46C7B" w:rsidRPr="00C73365" w:rsidTr="007C607C">
        <w:trPr>
          <w:trHeight w:val="267"/>
        </w:trPr>
        <w:tc>
          <w:tcPr>
            <w:tcW w:w="2998"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Total</w:t>
            </w:r>
          </w:p>
        </w:tc>
        <w:tc>
          <w:tcPr>
            <w:tcW w:w="156"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b/>
                <w:color w:val="7030A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 xml:space="preserve">4 397 </w:t>
            </w:r>
            <w:r w:rsidR="00EF089C" w:rsidRPr="00C73365">
              <w:rPr>
                <w:rFonts w:asciiTheme="minorHAnsi" w:hAnsiTheme="minorHAnsi" w:cstheme="minorHAnsi"/>
                <w:b/>
                <w:color w:val="7030A0"/>
                <w:szCs w:val="20"/>
                <w:lang w:val="fr-FR" w:eastAsia="fr-FR"/>
              </w:rPr>
              <w:t>K€</w:t>
            </w:r>
          </w:p>
        </w:tc>
      </w:tr>
    </w:tbl>
    <w:p w:rsidR="00F46C7B" w:rsidRPr="00C73365" w:rsidRDefault="00F46C7B" w:rsidP="00A96CCA">
      <w:pPr>
        <w:spacing w:after="0"/>
        <w:ind w:right="-11"/>
        <w:rPr>
          <w:rFonts w:asciiTheme="minorHAnsi" w:eastAsia="MS Mincho" w:hAnsiTheme="minorHAnsi" w:cstheme="minorHAnsi"/>
          <w:color w:val="000000"/>
          <w:szCs w:val="20"/>
          <w:lang w:val="fr-FR" w:eastAsia="fr-FR"/>
        </w:rPr>
      </w:pPr>
    </w:p>
    <w:p w:rsidR="0056443F" w:rsidRPr="00C73365" w:rsidRDefault="0056443F"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 montant correspond au montant maximum d’avances remboursables prévus initialement par le contrat. Dans le cas où le montant total des avances remboursables effectivement versé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serait inférieur à la somme convenue initialement, les remboursements indiqués ci-dessus seront réduits au prorata des sommes versées.  </w:t>
      </w:r>
    </w:p>
    <w:p w:rsidR="0056443F" w:rsidRPr="00C73365" w:rsidRDefault="0056443F" w:rsidP="004572A0">
      <w:pPr>
        <w:pStyle w:val="BodyText"/>
        <w:rPr>
          <w:rFonts w:asciiTheme="minorHAnsi" w:eastAsia="MS Mincho" w:hAnsiTheme="minorHAnsi" w:cstheme="minorHAnsi"/>
          <w:color w:val="000000"/>
          <w:lang w:val="fr-FR" w:eastAsia="fr-FR"/>
        </w:rPr>
      </w:pPr>
      <w:r w:rsidRPr="00C73365">
        <w:rPr>
          <w:rFonts w:asciiTheme="minorHAnsi" w:hAnsiTheme="minorHAnsi" w:cstheme="minorHAnsi"/>
          <w:lang w:val="fr-FR"/>
        </w:rPr>
        <w:t xml:space="preserve">Les avances remboursables effectivement reçues et estimées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fonction de ses dépenses et de l’avancement du projet sont effectivement différentes de celles estimées initialement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cas échéant, la société devra aussi verser une annuité de 50% du produit généré par la cession des titres de propriété intellectuelle issus du projet, ainsi que de la cession des prototypes, préséries et maquettes réalisées dans le cadre du projet.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Si le remboursement de l’avance est effectué dans les conditions présentées ci-dessus, la société versera à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pendant </w:t>
      </w:r>
      <w:r w:rsidR="002369F8" w:rsidRPr="00C73365">
        <w:rPr>
          <w:rFonts w:asciiTheme="minorHAnsi" w:eastAsia="MS Mincho" w:hAnsiTheme="minorHAnsi" w:cstheme="minorHAnsi"/>
          <w:lang w:val="fr-FR" w:eastAsia="fr-FR"/>
        </w:rPr>
        <w:t>une durée de 5 année consécutive</w:t>
      </w:r>
      <w:r w:rsidRPr="00C73365">
        <w:rPr>
          <w:rFonts w:asciiTheme="minorHAnsi" w:eastAsia="MS Mincho" w:hAnsiTheme="minorHAnsi" w:cstheme="minorHAnsi"/>
          <w:lang w:val="fr-FR" w:eastAsia="fr-FR"/>
        </w:rPr>
        <w:t xml:space="preserve"> après la date de terminaison de l’échéancier et dès lors qu’elle aura atteint un montant cumulé de chiffre d’affaires hors taxes égal ou supérieur à 50 000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1,20% du chiffre d’affaires annuel généré par l’exploitation des produits issus du projet.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montant des versements complémentaires est plafonné à la somme de 6 800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période totale incluant les remboursements forfaitaires et le versement de l’intéressement est limitée à 15 ans.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BPI A106002G</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Contrat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pour financer un projet de développement de nouveaux adjuvants vaccinaux et évaluation clinique, en continuité avec le dossier A0805001G signé avec la société Wittycell en 2010.</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prévoit une avance remboursable de 800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correspondant à un taux d’Avance Remboursable de 31,95% des dépenses totales programmées.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Au 31 Décembre </w:t>
      </w:r>
      <w:r w:rsidR="00B4407F" w:rsidRPr="00C73365">
        <w:rPr>
          <w:rFonts w:asciiTheme="minorHAnsi" w:eastAsia="MS Mincho" w:hAnsiTheme="minorHAnsi" w:cstheme="minorHAnsi"/>
          <w:lang w:val="fr-FR" w:eastAsia="fr-FR"/>
        </w:rPr>
        <w:t>2017</w:t>
      </w:r>
      <w:r w:rsidRPr="00C73365">
        <w:rPr>
          <w:rFonts w:asciiTheme="minorHAnsi" w:eastAsia="MS Mincho" w:hAnsiTheme="minorHAnsi" w:cstheme="minorHAnsi"/>
          <w:lang w:val="fr-FR" w:eastAsia="fr-FR"/>
        </w:rPr>
        <w:t xml:space="preserve">, le montant perçu par la société s’élève à 800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et des remboursements ont déjà été effectués pour un total de </w:t>
      </w:r>
      <w:r w:rsidR="00B4407F" w:rsidRPr="00C73365">
        <w:rPr>
          <w:rFonts w:asciiTheme="minorHAnsi" w:eastAsia="MS Mincho" w:hAnsiTheme="minorHAnsi" w:cstheme="minorHAnsi"/>
          <w:lang w:val="fr-FR" w:eastAsia="fr-FR"/>
        </w:rPr>
        <w:t xml:space="preserve">630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L’échéancier forfaitaire de remboursement, indépendant de la réussite du projet, est le suivant: </w:t>
      </w:r>
    </w:p>
    <w:tbl>
      <w:tblPr>
        <w:tblW w:w="4588" w:type="dxa"/>
        <w:tblCellMar>
          <w:left w:w="70" w:type="dxa"/>
          <w:right w:w="70" w:type="dxa"/>
        </w:tblCellMar>
        <w:tblLook w:val="04A0" w:firstRow="1" w:lastRow="0" w:firstColumn="1" w:lastColumn="0" w:noHBand="0" w:noVBand="1"/>
      </w:tblPr>
      <w:tblGrid>
        <w:gridCol w:w="3069"/>
        <w:gridCol w:w="160"/>
        <w:gridCol w:w="1359"/>
      </w:tblGrid>
      <w:tr w:rsidR="00F46C7B" w:rsidRPr="00F06F79" w:rsidTr="007C607C">
        <w:trPr>
          <w:trHeight w:val="332"/>
        </w:trPr>
        <w:tc>
          <w:tcPr>
            <w:tcW w:w="3069"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60"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59"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r>
      <w:tr w:rsidR="00F46C7B" w:rsidRPr="00C73365" w:rsidTr="007C607C">
        <w:trPr>
          <w:trHeight w:val="287"/>
        </w:trPr>
        <w:tc>
          <w:tcPr>
            <w:tcW w:w="3069"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31 décembre 2017</w:t>
            </w:r>
          </w:p>
        </w:tc>
        <w:tc>
          <w:tcPr>
            <w:tcW w:w="160"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59" w:type="dxa"/>
            <w:tcBorders>
              <w:top w:val="nil"/>
              <w:left w:val="nil"/>
              <w:bottom w:val="single" w:sz="8" w:space="0" w:color="7030A0"/>
              <w:right w:val="nil"/>
            </w:tcBorders>
            <w:shd w:val="clear" w:color="auto" w:fill="auto"/>
            <w:noWrap/>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85 </w:t>
            </w:r>
            <w:r w:rsidR="00EF089C" w:rsidRPr="00C73365">
              <w:rPr>
                <w:rFonts w:asciiTheme="minorHAnsi" w:hAnsiTheme="minorHAnsi" w:cstheme="minorHAnsi"/>
                <w:color w:val="000000"/>
                <w:szCs w:val="20"/>
                <w:lang w:val="fr-FR" w:eastAsia="fr-FR"/>
              </w:rPr>
              <w:t>K€</w:t>
            </w:r>
          </w:p>
        </w:tc>
      </w:tr>
      <w:tr w:rsidR="00F46C7B" w:rsidRPr="00C73365" w:rsidTr="007C607C">
        <w:trPr>
          <w:trHeight w:val="146"/>
        </w:trPr>
        <w:tc>
          <w:tcPr>
            <w:tcW w:w="3069"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31 mars 2018</w:t>
            </w:r>
          </w:p>
        </w:tc>
        <w:tc>
          <w:tcPr>
            <w:tcW w:w="160" w:type="dxa"/>
            <w:tcBorders>
              <w:top w:val="nil"/>
              <w:left w:val="nil"/>
              <w:bottom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359"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85 </w:t>
            </w:r>
            <w:r w:rsidR="00EF089C" w:rsidRPr="00C73365">
              <w:rPr>
                <w:rFonts w:asciiTheme="minorHAnsi" w:hAnsiTheme="minorHAnsi" w:cstheme="minorHAnsi"/>
                <w:color w:val="000000"/>
                <w:szCs w:val="20"/>
                <w:lang w:val="fr-FR" w:eastAsia="fr-FR"/>
              </w:rPr>
              <w:t>K€</w:t>
            </w:r>
          </w:p>
        </w:tc>
      </w:tr>
      <w:tr w:rsidR="00F46C7B" w:rsidRPr="00C73365" w:rsidTr="007C607C">
        <w:trPr>
          <w:trHeight w:val="194"/>
        </w:trPr>
        <w:tc>
          <w:tcPr>
            <w:tcW w:w="3069"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60"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p>
        </w:tc>
        <w:tc>
          <w:tcPr>
            <w:tcW w:w="1359" w:type="dxa"/>
            <w:tcBorders>
              <w:top w:val="nil"/>
              <w:left w:val="nil"/>
              <w:bottom w:val="single" w:sz="8" w:space="0" w:color="7030A0"/>
              <w:right w:val="nil"/>
            </w:tcBorders>
            <w:shd w:val="clear" w:color="auto" w:fill="auto"/>
            <w:vAlign w:val="center"/>
            <w:hideMark/>
          </w:tcPr>
          <w:p w:rsidR="00F46C7B" w:rsidRPr="00C73365" w:rsidRDefault="00B4407F"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170 </w:t>
            </w:r>
            <w:r w:rsidR="00EF089C" w:rsidRPr="00C73365">
              <w:rPr>
                <w:rFonts w:asciiTheme="minorHAnsi" w:hAnsiTheme="minorHAnsi" w:cstheme="minorHAnsi"/>
                <w:b/>
                <w:bCs/>
                <w:color w:val="7030A0"/>
                <w:szCs w:val="20"/>
                <w:lang w:val="fr-FR" w:eastAsia="fr-FR"/>
              </w:rPr>
              <w:t>K€</w:t>
            </w:r>
          </w:p>
        </w:tc>
      </w:tr>
    </w:tbl>
    <w:p w:rsidR="00F46C7B" w:rsidRPr="00C73365" w:rsidRDefault="00F46C7B" w:rsidP="00A96CCA">
      <w:pPr>
        <w:spacing w:after="0"/>
        <w:ind w:right="-11"/>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L’entreprise est libérée de tout remboursement en cas de constat d’échec accepté par la BPI.</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cas échéant, la société devra aussi verser une annuité de 31,95% du produit généré par : </w:t>
      </w:r>
    </w:p>
    <w:p w:rsidR="00F46C7B" w:rsidRPr="00C93577" w:rsidRDefault="00F46C7B" w:rsidP="004572A0">
      <w:pPr>
        <w:pStyle w:val="ListBullet2"/>
        <w:numPr>
          <w:ilvl w:val="0"/>
          <w:numId w:val="42"/>
        </w:numPr>
        <w:rPr>
          <w:rFonts w:asciiTheme="minorHAnsi" w:hAnsiTheme="minorHAnsi" w:cstheme="minorHAnsi"/>
          <w:lang w:val="fr-FR"/>
        </w:rPr>
      </w:pPr>
      <w:r w:rsidRPr="00C93577">
        <w:rPr>
          <w:rFonts w:asciiTheme="minorHAnsi" w:hAnsiTheme="minorHAnsi" w:cstheme="minorHAnsi"/>
          <w:lang w:val="fr-FR"/>
        </w:rPr>
        <w:t>Le produit, hors taxes, des cessions ou concessions de licences - de brevets ou de savoir-faire – perçu au cours de l’année calendaire précédente lorsque lesdites cessions ou concessions portent sur tout ou partie des résultats du programme aidé.</w:t>
      </w:r>
    </w:p>
    <w:p w:rsidR="00F46C7B" w:rsidRPr="00C93577" w:rsidRDefault="00F46C7B" w:rsidP="004572A0">
      <w:pPr>
        <w:pStyle w:val="ListBullet2"/>
        <w:numPr>
          <w:ilvl w:val="0"/>
          <w:numId w:val="42"/>
        </w:numPr>
        <w:rPr>
          <w:rFonts w:asciiTheme="minorHAnsi" w:hAnsiTheme="minorHAnsi" w:cstheme="minorHAnsi"/>
          <w:lang w:val="fr-FR"/>
        </w:rPr>
      </w:pPr>
      <w:r w:rsidRPr="00C93577">
        <w:rPr>
          <w:rFonts w:asciiTheme="minorHAnsi" w:hAnsiTheme="minorHAnsi" w:cstheme="minorHAnsi"/>
          <w:lang w:val="fr-FR"/>
        </w:rPr>
        <w:t>Le produit, hors taxes, généré par la commercialisation et notamment la vente à un tiers ou l’utilisation par la société pour ses besoins propres des prototypes, pré-séries, maquettes, réalisés dans le cadre du projet.</w:t>
      </w:r>
    </w:p>
    <w:p w:rsidR="00F46C7B" w:rsidRPr="00C73365" w:rsidRDefault="00F46C7B" w:rsidP="00A96CCA">
      <w:pPr>
        <w:spacing w:after="0"/>
        <w:ind w:right="-11"/>
        <w:rPr>
          <w:rFonts w:asciiTheme="minorHAnsi" w:eastAsia="MS Mincho" w:hAnsiTheme="minorHAnsi" w:cstheme="minorHAnsi"/>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lastRenderedPageBreak/>
        <w:t xml:space="preserve">L’application de la clause de versements complémentaires ci-dessus ne saurait amener la société à rembourser à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une somme supérieure en principal au montant de l’aide qu’elle a perçue.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Ces remboursements n’étant pas conditionnels, le passif correspondant à cette avance remboursable est présenté au poste du bilan Emprunts et Dettes financières diverses.</w:t>
      </w:r>
    </w:p>
    <w:p w:rsidR="00B4407F" w:rsidRPr="00C73365" w:rsidRDefault="00B4407F"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BPI EBOLA</w:t>
      </w:r>
    </w:p>
    <w:p w:rsidR="00B4407F" w:rsidRPr="00C73365" w:rsidRDefault="00B4407F"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Contrat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et Région Occitanie pour financer un projet de développement d’un traitement contre le virus EBOLA.</w:t>
      </w:r>
    </w:p>
    <w:p w:rsidR="00B4407F" w:rsidRPr="00C73365" w:rsidRDefault="00B4407F" w:rsidP="00A96CCA">
      <w:pPr>
        <w:widowControl w:val="0"/>
        <w:spacing w:after="0"/>
        <w:rPr>
          <w:rFonts w:asciiTheme="minorHAnsi" w:eastAsia="MS Mincho" w:hAnsiTheme="minorHAnsi" w:cstheme="minorHAnsi"/>
          <w:color w:val="000000"/>
          <w:szCs w:val="20"/>
          <w:lang w:val="fr-FR" w:eastAsia="fr-FR"/>
        </w:rPr>
      </w:pPr>
    </w:p>
    <w:p w:rsidR="00B4407F" w:rsidRPr="00C73365" w:rsidRDefault="00B4407F"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prévoit une avance remboursable de 130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 Région Occitanie pour un taux d’Avance Remboursable de 10,2% des dépenses totales programmées.</w:t>
      </w:r>
    </w:p>
    <w:p w:rsidR="00B4407F" w:rsidRPr="00C73365" w:rsidRDefault="00B4407F"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prévoit une avance remboursable de 260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 BPI pour un taux d’Avance Remboursable de 20,4% des dépenses totales programmées.</w:t>
      </w:r>
    </w:p>
    <w:p w:rsidR="00B4407F" w:rsidRPr="00C73365" w:rsidRDefault="00B4407F"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Au 31 décembre 2017, le montant perçu par la société s’élève à 300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perçus en août 2017, dont 100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 Région Occitanie et 200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 BPI.</w:t>
      </w:r>
    </w:p>
    <w:p w:rsidR="00B4407F" w:rsidRPr="00C73365" w:rsidRDefault="00B4407F"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L’échéancier forfaitaire de remboursement, lié à la réussite du projet, est le suivant :</w:t>
      </w:r>
    </w:p>
    <w:tbl>
      <w:tblPr>
        <w:tblW w:w="4481" w:type="dxa"/>
        <w:tblCellMar>
          <w:left w:w="70" w:type="dxa"/>
          <w:right w:w="70" w:type="dxa"/>
        </w:tblCellMar>
        <w:tblLook w:val="04A0" w:firstRow="1" w:lastRow="0" w:firstColumn="1" w:lastColumn="0" w:noHBand="0" w:noVBand="1"/>
      </w:tblPr>
      <w:tblGrid>
        <w:gridCol w:w="2998"/>
        <w:gridCol w:w="156"/>
        <w:gridCol w:w="1327"/>
      </w:tblGrid>
      <w:tr w:rsidR="00B4407F" w:rsidRPr="00F06F79" w:rsidTr="00BB083E">
        <w:trPr>
          <w:trHeight w:val="458"/>
        </w:trPr>
        <w:tc>
          <w:tcPr>
            <w:tcW w:w="2998" w:type="dxa"/>
            <w:tcBorders>
              <w:top w:val="single" w:sz="12" w:space="0" w:color="7030A0"/>
              <w:left w:val="nil"/>
              <w:bottom w:val="single" w:sz="8" w:space="0" w:color="7030A0"/>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6" w:type="dxa"/>
            <w:tcBorders>
              <w:top w:val="nil"/>
              <w:left w:val="nil"/>
              <w:bottom w:val="nil"/>
              <w:right w:val="nil"/>
            </w:tcBorders>
            <w:shd w:val="clear" w:color="auto" w:fill="auto"/>
            <w:vAlign w:val="center"/>
            <w:hideMark/>
          </w:tcPr>
          <w:p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single" w:sz="12" w:space="0" w:color="7030A0"/>
              <w:left w:val="nil"/>
              <w:bottom w:val="single" w:sz="8" w:space="0" w:color="7030A0"/>
              <w:right w:val="nil"/>
            </w:tcBorders>
            <w:shd w:val="clear" w:color="auto" w:fill="auto"/>
            <w:vAlign w:val="center"/>
            <w:hideMark/>
          </w:tcPr>
          <w:p w:rsidR="00B4407F" w:rsidRPr="00C73365" w:rsidRDefault="00B4407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r>
      <w:tr w:rsidR="00B4407F"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2020</w:t>
            </w:r>
          </w:p>
        </w:tc>
        <w:tc>
          <w:tcPr>
            <w:tcW w:w="156" w:type="dxa"/>
            <w:tcBorders>
              <w:top w:val="nil"/>
              <w:left w:val="nil"/>
              <w:bottom w:val="nil"/>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40 </w:t>
            </w:r>
            <w:r w:rsidR="00EF089C" w:rsidRPr="00C73365">
              <w:rPr>
                <w:rFonts w:asciiTheme="minorHAnsi" w:hAnsiTheme="minorHAnsi" w:cstheme="minorHAnsi"/>
                <w:color w:val="000000"/>
                <w:szCs w:val="20"/>
                <w:lang w:val="fr-FR" w:eastAsia="fr-FR"/>
              </w:rPr>
              <w:t>K€</w:t>
            </w:r>
          </w:p>
        </w:tc>
      </w:tr>
      <w:tr w:rsidR="00B4407F"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2021</w:t>
            </w:r>
          </w:p>
        </w:tc>
        <w:tc>
          <w:tcPr>
            <w:tcW w:w="156" w:type="dxa"/>
            <w:tcBorders>
              <w:top w:val="nil"/>
              <w:left w:val="nil"/>
              <w:bottom w:val="nil"/>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60 </w:t>
            </w:r>
            <w:r w:rsidR="00EF089C" w:rsidRPr="00C73365">
              <w:rPr>
                <w:rFonts w:asciiTheme="minorHAnsi" w:hAnsiTheme="minorHAnsi" w:cstheme="minorHAnsi"/>
                <w:color w:val="000000"/>
                <w:szCs w:val="20"/>
                <w:lang w:val="fr-FR" w:eastAsia="fr-FR"/>
              </w:rPr>
              <w:t>K€</w:t>
            </w:r>
          </w:p>
        </w:tc>
      </w:tr>
      <w:tr w:rsidR="00B4407F"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2022</w:t>
            </w:r>
          </w:p>
        </w:tc>
        <w:tc>
          <w:tcPr>
            <w:tcW w:w="156" w:type="dxa"/>
            <w:tcBorders>
              <w:top w:val="nil"/>
              <w:left w:val="nil"/>
              <w:bottom w:val="nil"/>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80 </w:t>
            </w:r>
            <w:r w:rsidR="00EF089C" w:rsidRPr="00C73365">
              <w:rPr>
                <w:rFonts w:asciiTheme="minorHAnsi" w:hAnsiTheme="minorHAnsi" w:cstheme="minorHAnsi"/>
                <w:color w:val="000000"/>
                <w:szCs w:val="20"/>
                <w:lang w:val="fr-FR" w:eastAsia="fr-FR"/>
              </w:rPr>
              <w:t>K€</w:t>
            </w:r>
          </w:p>
        </w:tc>
      </w:tr>
      <w:tr w:rsidR="00B4407F"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2023</w:t>
            </w:r>
          </w:p>
        </w:tc>
        <w:tc>
          <w:tcPr>
            <w:tcW w:w="156" w:type="dxa"/>
            <w:tcBorders>
              <w:top w:val="nil"/>
              <w:left w:val="nil"/>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B4407F" w:rsidRPr="00C73365" w:rsidRDefault="00B4407F"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100 </w:t>
            </w:r>
            <w:r w:rsidR="00EF089C" w:rsidRPr="00C73365">
              <w:rPr>
                <w:rFonts w:asciiTheme="minorHAnsi" w:hAnsiTheme="minorHAnsi" w:cstheme="minorHAnsi"/>
                <w:color w:val="000000"/>
                <w:szCs w:val="20"/>
                <w:lang w:val="fr-FR" w:eastAsia="fr-FR"/>
              </w:rPr>
              <w:t>K€</w:t>
            </w:r>
          </w:p>
        </w:tc>
      </w:tr>
      <w:tr w:rsidR="00B4407F" w:rsidRPr="00C73365" w:rsidTr="00BB083E">
        <w:trPr>
          <w:trHeight w:val="202"/>
        </w:trPr>
        <w:tc>
          <w:tcPr>
            <w:tcW w:w="2998" w:type="dxa"/>
            <w:tcBorders>
              <w:top w:val="nil"/>
              <w:left w:val="nil"/>
              <w:bottom w:val="single" w:sz="4" w:space="0" w:color="7030A0"/>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30 Juin 2024</w:t>
            </w:r>
          </w:p>
        </w:tc>
        <w:tc>
          <w:tcPr>
            <w:tcW w:w="156" w:type="dxa"/>
            <w:tcBorders>
              <w:top w:val="nil"/>
              <w:left w:val="nil"/>
              <w:right w:val="nil"/>
            </w:tcBorders>
            <w:shd w:val="clear" w:color="auto" w:fill="auto"/>
            <w:noWrap/>
            <w:vAlign w:val="center"/>
            <w:hideMark/>
          </w:tcPr>
          <w:p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4" w:space="0" w:color="7030A0"/>
              <w:right w:val="nil"/>
            </w:tcBorders>
            <w:shd w:val="clear" w:color="auto" w:fill="auto"/>
            <w:noWrap/>
            <w:vAlign w:val="center"/>
            <w:hideMark/>
          </w:tcPr>
          <w:p w:rsidR="00B4407F" w:rsidRPr="00C73365" w:rsidRDefault="00B4407F"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110 </w:t>
            </w:r>
            <w:r w:rsidR="00EF089C" w:rsidRPr="00C73365">
              <w:rPr>
                <w:rFonts w:asciiTheme="minorHAnsi" w:hAnsiTheme="minorHAnsi" w:cstheme="minorHAnsi"/>
                <w:color w:val="000000"/>
                <w:szCs w:val="20"/>
                <w:lang w:val="fr-FR" w:eastAsia="fr-FR"/>
              </w:rPr>
              <w:t>K€</w:t>
            </w:r>
          </w:p>
        </w:tc>
      </w:tr>
      <w:tr w:rsidR="00B4407F" w:rsidRPr="00C73365" w:rsidTr="00BB083E">
        <w:trPr>
          <w:trHeight w:val="202"/>
        </w:trPr>
        <w:tc>
          <w:tcPr>
            <w:tcW w:w="2998" w:type="dxa"/>
            <w:tcBorders>
              <w:top w:val="single" w:sz="4" w:space="0" w:color="7030A0"/>
              <w:left w:val="nil"/>
              <w:bottom w:val="single" w:sz="4" w:space="0" w:color="7030A0"/>
              <w:right w:val="nil"/>
            </w:tcBorders>
            <w:shd w:val="clear" w:color="auto" w:fill="auto"/>
            <w:noWrap/>
            <w:vAlign w:val="center"/>
          </w:tcPr>
          <w:p w:rsidR="00B4407F" w:rsidRPr="00C73365" w:rsidRDefault="00B4407F"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color w:val="7030A0"/>
                <w:szCs w:val="20"/>
                <w:lang w:val="fr-FR" w:eastAsia="fr-FR"/>
              </w:rPr>
              <w:t>Total</w:t>
            </w:r>
          </w:p>
        </w:tc>
        <w:tc>
          <w:tcPr>
            <w:tcW w:w="156" w:type="dxa"/>
            <w:tcBorders>
              <w:left w:val="nil"/>
              <w:right w:val="nil"/>
            </w:tcBorders>
            <w:shd w:val="clear" w:color="auto" w:fill="auto"/>
            <w:noWrap/>
            <w:vAlign w:val="center"/>
          </w:tcPr>
          <w:p w:rsidR="00B4407F" w:rsidRPr="00C73365" w:rsidRDefault="00B4407F" w:rsidP="00A96CCA">
            <w:pPr>
              <w:spacing w:after="0"/>
              <w:rPr>
                <w:rFonts w:asciiTheme="minorHAnsi" w:hAnsiTheme="minorHAnsi" w:cstheme="minorHAnsi"/>
                <w:color w:val="000000"/>
                <w:szCs w:val="20"/>
                <w:lang w:val="fr-FR" w:eastAsia="fr-FR"/>
              </w:rPr>
            </w:pPr>
          </w:p>
        </w:tc>
        <w:tc>
          <w:tcPr>
            <w:tcW w:w="1327" w:type="dxa"/>
            <w:tcBorders>
              <w:top w:val="single" w:sz="4" w:space="0" w:color="7030A0"/>
              <w:left w:val="nil"/>
              <w:bottom w:val="single" w:sz="4" w:space="0" w:color="7030A0"/>
              <w:right w:val="nil"/>
            </w:tcBorders>
            <w:shd w:val="clear" w:color="auto" w:fill="auto"/>
            <w:noWrap/>
            <w:vAlign w:val="center"/>
          </w:tcPr>
          <w:p w:rsidR="00B4407F" w:rsidRPr="00C73365" w:rsidRDefault="00B4407F"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b/>
                <w:color w:val="7030A0"/>
                <w:szCs w:val="20"/>
                <w:lang w:val="fr-FR" w:eastAsia="fr-FR"/>
              </w:rPr>
              <w:t xml:space="preserve">390 </w:t>
            </w:r>
            <w:r w:rsidR="00EF089C" w:rsidRPr="00C73365">
              <w:rPr>
                <w:rFonts w:asciiTheme="minorHAnsi" w:hAnsiTheme="minorHAnsi" w:cstheme="minorHAnsi"/>
                <w:b/>
                <w:color w:val="7030A0"/>
                <w:szCs w:val="20"/>
                <w:lang w:val="fr-FR" w:eastAsia="fr-FR"/>
              </w:rPr>
              <w:t>K€</w:t>
            </w:r>
          </w:p>
        </w:tc>
      </w:tr>
    </w:tbl>
    <w:p w:rsidR="00B4407F" w:rsidRPr="00C73365" w:rsidRDefault="00B4407F" w:rsidP="00A96CCA">
      <w:pPr>
        <w:spacing w:after="0"/>
        <w:ind w:right="-11"/>
        <w:rPr>
          <w:rFonts w:asciiTheme="minorHAnsi" w:eastAsia="MS Mincho" w:hAnsiTheme="minorHAnsi" w:cstheme="minorHAnsi"/>
          <w:b/>
          <w:color w:val="7030A0"/>
          <w:szCs w:val="20"/>
          <w:lang w:val="fr-FR" w:eastAsia="fr-FR"/>
        </w:rPr>
      </w:pPr>
    </w:p>
    <w:p w:rsidR="0071713F" w:rsidRPr="00C73365" w:rsidRDefault="0071713F"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BPI RNP VIR</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Contrat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pour financer le projet Structurant de R&amp;D Pour la Compétitivité dénommé « RNP-VIR ». Ce financement a été accordé dans le cadre des Investissements d’Avenir.</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prévoit une avance remboursable de 6 298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un taux d’Avance Remboursable de 50% des dépenses totales programmées.</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Au 31 décembre 2017, le montant perçu par la société s’élève à 1 756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perçus en </w:t>
      </w:r>
      <w:r w:rsidR="00E73A7C">
        <w:rPr>
          <w:rFonts w:asciiTheme="minorHAnsi" w:eastAsia="MS Mincho" w:hAnsiTheme="minorHAnsi" w:cstheme="minorHAnsi"/>
          <w:lang w:val="fr-FR" w:eastAsia="fr-FR"/>
        </w:rPr>
        <w:t>septembre</w:t>
      </w:r>
      <w:r w:rsidRPr="00C73365">
        <w:rPr>
          <w:rFonts w:asciiTheme="minorHAnsi" w:eastAsia="MS Mincho" w:hAnsiTheme="minorHAnsi" w:cstheme="minorHAnsi"/>
          <w:lang w:val="fr-FR" w:eastAsia="fr-FR"/>
        </w:rPr>
        <w:t xml:space="preserve"> 2017.</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retours financiers s’effectueront au moyen de versements déterminés, en fonction des prévisions de </w:t>
      </w:r>
      <w:r w:rsidRPr="00C73365">
        <w:rPr>
          <w:rFonts w:asciiTheme="minorHAnsi" w:eastAsia="MS Mincho" w:hAnsiTheme="minorHAnsi" w:cstheme="minorHAnsi"/>
          <w:lang w:val="fr-FR" w:eastAsia="fr-FR"/>
        </w:rPr>
        <w:t>chiffre d’affaires généré par l’exploitation directe ou indirecte, des produits ou services issus du projet.</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montant des échéances de remboursements tient compte d’une actualisation au taux annuel de 0,95% calculée selon les modalités contractuelles.</w:t>
      </w:r>
    </w:p>
    <w:p w:rsidR="0071713F"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L’échéancier forfaitaire de remboursement, lié à la réussite du projet, est le suivant :</w:t>
      </w:r>
    </w:p>
    <w:tbl>
      <w:tblPr>
        <w:tblW w:w="4481" w:type="dxa"/>
        <w:tblCellMar>
          <w:left w:w="70" w:type="dxa"/>
          <w:right w:w="70" w:type="dxa"/>
        </w:tblCellMar>
        <w:tblLook w:val="04A0" w:firstRow="1" w:lastRow="0" w:firstColumn="1" w:lastColumn="0" w:noHBand="0" w:noVBand="1"/>
      </w:tblPr>
      <w:tblGrid>
        <w:gridCol w:w="2998"/>
        <w:gridCol w:w="156"/>
        <w:gridCol w:w="1327"/>
      </w:tblGrid>
      <w:tr w:rsidR="002868BA" w:rsidRPr="00F06F79" w:rsidTr="00BB083E">
        <w:trPr>
          <w:trHeight w:val="458"/>
        </w:trPr>
        <w:tc>
          <w:tcPr>
            <w:tcW w:w="2998" w:type="dxa"/>
            <w:tcBorders>
              <w:top w:val="single" w:sz="12" w:space="0" w:color="7030A0"/>
              <w:left w:val="nil"/>
              <w:bottom w:val="single" w:sz="8" w:space="0" w:color="7030A0"/>
              <w:right w:val="nil"/>
            </w:tcBorders>
            <w:shd w:val="clear" w:color="auto" w:fill="auto"/>
            <w:vAlign w:val="center"/>
            <w:hideMark/>
          </w:tcPr>
          <w:p w:rsidR="002868BA" w:rsidRPr="00C73365" w:rsidRDefault="002868B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6" w:type="dxa"/>
            <w:tcBorders>
              <w:top w:val="nil"/>
              <w:left w:val="nil"/>
              <w:bottom w:val="nil"/>
              <w:right w:val="nil"/>
            </w:tcBorders>
            <w:shd w:val="clear" w:color="auto" w:fill="auto"/>
            <w:vAlign w:val="center"/>
            <w:hideMark/>
          </w:tcPr>
          <w:p w:rsidR="002868BA" w:rsidRPr="00C73365" w:rsidRDefault="002868BA" w:rsidP="00A96CCA">
            <w:pPr>
              <w:spacing w:after="0"/>
              <w:rPr>
                <w:rFonts w:asciiTheme="minorHAnsi" w:hAnsiTheme="minorHAnsi" w:cstheme="minorHAnsi"/>
                <w:color w:val="000000"/>
                <w:szCs w:val="20"/>
                <w:lang w:val="fr-FR" w:eastAsia="fr-FR"/>
              </w:rPr>
            </w:pPr>
          </w:p>
        </w:tc>
        <w:tc>
          <w:tcPr>
            <w:tcW w:w="1327" w:type="dxa"/>
            <w:tcBorders>
              <w:top w:val="single" w:sz="12" w:space="0" w:color="7030A0"/>
              <w:left w:val="nil"/>
              <w:bottom w:val="single" w:sz="8" w:space="0" w:color="7030A0"/>
              <w:right w:val="nil"/>
            </w:tcBorders>
            <w:shd w:val="clear" w:color="auto" w:fill="auto"/>
            <w:vAlign w:val="center"/>
            <w:hideMark/>
          </w:tcPr>
          <w:p w:rsidR="002868BA" w:rsidRPr="00C73365" w:rsidRDefault="002868BA"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r>
      <w:tr w:rsidR="002868BA"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31 Décembre 2022</w:t>
            </w:r>
          </w:p>
        </w:tc>
        <w:tc>
          <w:tcPr>
            <w:tcW w:w="156" w:type="dxa"/>
            <w:tcBorders>
              <w:top w:val="nil"/>
              <w:left w:val="nil"/>
              <w:bottom w:val="nil"/>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1 644 </w:t>
            </w:r>
            <w:r w:rsidR="00EF089C" w:rsidRPr="00C73365">
              <w:rPr>
                <w:rFonts w:asciiTheme="minorHAnsi" w:hAnsiTheme="minorHAnsi" w:cstheme="minorHAnsi"/>
                <w:color w:val="000000"/>
                <w:szCs w:val="20"/>
                <w:lang w:val="fr-FR" w:eastAsia="fr-FR"/>
              </w:rPr>
              <w:t>K€</w:t>
            </w:r>
          </w:p>
        </w:tc>
      </w:tr>
      <w:tr w:rsidR="002868BA"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31 Décembre 2023</w:t>
            </w:r>
          </w:p>
        </w:tc>
        <w:tc>
          <w:tcPr>
            <w:tcW w:w="156" w:type="dxa"/>
            <w:tcBorders>
              <w:top w:val="nil"/>
              <w:left w:val="nil"/>
              <w:bottom w:val="nil"/>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1 644 </w:t>
            </w:r>
            <w:r w:rsidR="00EF089C" w:rsidRPr="00C73365">
              <w:rPr>
                <w:rFonts w:asciiTheme="minorHAnsi" w:hAnsiTheme="minorHAnsi" w:cstheme="minorHAnsi"/>
                <w:color w:val="000000"/>
                <w:szCs w:val="20"/>
                <w:lang w:val="fr-FR" w:eastAsia="fr-FR"/>
              </w:rPr>
              <w:t>K€</w:t>
            </w:r>
          </w:p>
        </w:tc>
      </w:tr>
      <w:tr w:rsidR="002868BA"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31 Décembre 2024</w:t>
            </w:r>
          </w:p>
        </w:tc>
        <w:tc>
          <w:tcPr>
            <w:tcW w:w="156" w:type="dxa"/>
            <w:tcBorders>
              <w:top w:val="nil"/>
              <w:left w:val="nil"/>
              <w:bottom w:val="nil"/>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1 644 </w:t>
            </w:r>
            <w:r w:rsidR="00EF089C" w:rsidRPr="00C73365">
              <w:rPr>
                <w:rFonts w:asciiTheme="minorHAnsi" w:hAnsiTheme="minorHAnsi" w:cstheme="minorHAnsi"/>
                <w:color w:val="000000"/>
                <w:szCs w:val="20"/>
                <w:lang w:val="fr-FR" w:eastAsia="fr-FR"/>
              </w:rPr>
              <w:t>K€</w:t>
            </w:r>
          </w:p>
        </w:tc>
      </w:tr>
      <w:tr w:rsidR="002868BA" w:rsidRPr="00C73365" w:rsidTr="00BB083E">
        <w:trPr>
          <w:trHeight w:val="202"/>
        </w:trPr>
        <w:tc>
          <w:tcPr>
            <w:tcW w:w="2998"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 plus tard le 31 Décembre 2025</w:t>
            </w:r>
          </w:p>
        </w:tc>
        <w:tc>
          <w:tcPr>
            <w:tcW w:w="156" w:type="dxa"/>
            <w:tcBorders>
              <w:top w:val="nil"/>
              <w:left w:val="nil"/>
              <w:right w:val="nil"/>
            </w:tcBorders>
            <w:shd w:val="clear" w:color="auto" w:fill="auto"/>
            <w:noWrap/>
            <w:vAlign w:val="center"/>
            <w:hideMark/>
          </w:tcPr>
          <w:p w:rsidR="002868BA" w:rsidRPr="00C73365" w:rsidRDefault="002868BA" w:rsidP="00A96CCA">
            <w:pPr>
              <w:spacing w:after="0"/>
              <w:rPr>
                <w:rFonts w:asciiTheme="minorHAnsi" w:hAnsiTheme="minorHAnsi" w:cstheme="minorHAnsi"/>
                <w:color w:val="000000"/>
                <w:szCs w:val="20"/>
                <w:lang w:val="fr-FR" w:eastAsia="fr-FR"/>
              </w:rPr>
            </w:pPr>
          </w:p>
        </w:tc>
        <w:tc>
          <w:tcPr>
            <w:tcW w:w="1327" w:type="dxa"/>
            <w:tcBorders>
              <w:top w:val="nil"/>
              <w:left w:val="nil"/>
              <w:bottom w:val="single" w:sz="8" w:space="0" w:color="7030A0"/>
              <w:right w:val="nil"/>
            </w:tcBorders>
            <w:shd w:val="clear" w:color="auto" w:fill="auto"/>
            <w:noWrap/>
            <w:vAlign w:val="center"/>
            <w:hideMark/>
          </w:tcPr>
          <w:p w:rsidR="002868BA" w:rsidRPr="00C73365" w:rsidRDefault="002868B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1 644 </w:t>
            </w:r>
            <w:r w:rsidR="00EF089C" w:rsidRPr="00C73365">
              <w:rPr>
                <w:rFonts w:asciiTheme="minorHAnsi" w:hAnsiTheme="minorHAnsi" w:cstheme="minorHAnsi"/>
                <w:color w:val="000000"/>
                <w:szCs w:val="20"/>
                <w:lang w:val="fr-FR" w:eastAsia="fr-FR"/>
              </w:rPr>
              <w:t>K€</w:t>
            </w:r>
          </w:p>
        </w:tc>
      </w:tr>
      <w:tr w:rsidR="002868BA" w:rsidRPr="00C73365" w:rsidTr="00BB083E">
        <w:trPr>
          <w:trHeight w:val="202"/>
        </w:trPr>
        <w:tc>
          <w:tcPr>
            <w:tcW w:w="2998" w:type="dxa"/>
            <w:tcBorders>
              <w:top w:val="single" w:sz="4" w:space="0" w:color="7030A0"/>
              <w:left w:val="nil"/>
              <w:bottom w:val="single" w:sz="4" w:space="0" w:color="7030A0"/>
              <w:right w:val="nil"/>
            </w:tcBorders>
            <w:shd w:val="clear" w:color="auto" w:fill="auto"/>
            <w:noWrap/>
            <w:vAlign w:val="center"/>
          </w:tcPr>
          <w:p w:rsidR="002868BA" w:rsidRPr="00C73365" w:rsidRDefault="002868B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b/>
                <w:color w:val="7030A0"/>
                <w:szCs w:val="20"/>
                <w:lang w:val="fr-FR" w:eastAsia="fr-FR"/>
              </w:rPr>
              <w:t>Total</w:t>
            </w:r>
          </w:p>
        </w:tc>
        <w:tc>
          <w:tcPr>
            <w:tcW w:w="156" w:type="dxa"/>
            <w:tcBorders>
              <w:left w:val="nil"/>
              <w:right w:val="nil"/>
            </w:tcBorders>
            <w:shd w:val="clear" w:color="auto" w:fill="auto"/>
            <w:noWrap/>
            <w:vAlign w:val="center"/>
          </w:tcPr>
          <w:p w:rsidR="002868BA" w:rsidRPr="00C73365" w:rsidRDefault="002868BA" w:rsidP="00A96CCA">
            <w:pPr>
              <w:spacing w:after="0"/>
              <w:rPr>
                <w:rFonts w:asciiTheme="minorHAnsi" w:hAnsiTheme="minorHAnsi" w:cstheme="minorHAnsi"/>
                <w:color w:val="000000"/>
                <w:szCs w:val="20"/>
                <w:lang w:val="fr-FR" w:eastAsia="fr-FR"/>
              </w:rPr>
            </w:pPr>
          </w:p>
        </w:tc>
        <w:tc>
          <w:tcPr>
            <w:tcW w:w="1327" w:type="dxa"/>
            <w:tcBorders>
              <w:top w:val="single" w:sz="4" w:space="0" w:color="7030A0"/>
              <w:left w:val="nil"/>
              <w:bottom w:val="single" w:sz="4" w:space="0" w:color="7030A0"/>
              <w:right w:val="nil"/>
            </w:tcBorders>
            <w:shd w:val="clear" w:color="auto" w:fill="auto"/>
            <w:noWrap/>
            <w:vAlign w:val="center"/>
          </w:tcPr>
          <w:p w:rsidR="002868BA" w:rsidRPr="00C73365" w:rsidRDefault="002868B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b/>
                <w:color w:val="7030A0"/>
                <w:szCs w:val="20"/>
                <w:lang w:val="fr-FR" w:eastAsia="fr-FR"/>
              </w:rPr>
              <w:t xml:space="preserve">6 576 </w:t>
            </w:r>
            <w:r w:rsidR="00EF089C" w:rsidRPr="00C73365">
              <w:rPr>
                <w:rFonts w:asciiTheme="minorHAnsi" w:hAnsiTheme="minorHAnsi" w:cstheme="minorHAnsi"/>
                <w:b/>
                <w:color w:val="7030A0"/>
                <w:szCs w:val="20"/>
                <w:lang w:val="fr-FR" w:eastAsia="fr-FR"/>
              </w:rPr>
              <w:t>K€</w:t>
            </w:r>
          </w:p>
        </w:tc>
      </w:tr>
    </w:tbl>
    <w:p w:rsidR="002868BA" w:rsidRPr="00C73365" w:rsidRDefault="002868BA" w:rsidP="00A96CCA">
      <w:pPr>
        <w:spacing w:after="0"/>
        <w:ind w:right="-11"/>
        <w:rPr>
          <w:rFonts w:asciiTheme="minorHAnsi" w:eastAsia="MS Mincho" w:hAnsiTheme="minorHAnsi" w:cstheme="minorHAnsi"/>
          <w:b/>
          <w:color w:val="7030A0"/>
          <w:szCs w:val="20"/>
          <w:lang w:val="fr-FR" w:eastAsia="fr-FR"/>
        </w:rPr>
      </w:pPr>
    </w:p>
    <w:p w:rsidR="0056443F" w:rsidRPr="00C73365" w:rsidRDefault="0056443F" w:rsidP="004572A0">
      <w:pPr>
        <w:pStyle w:val="BodyText"/>
        <w:rPr>
          <w:rFonts w:asciiTheme="minorHAnsi" w:hAnsiTheme="minorHAnsi" w:cstheme="minorHAnsi"/>
          <w:lang w:val="fr-FR"/>
        </w:rPr>
      </w:pPr>
      <w:bookmarkStart w:id="1451" w:name="_Hlk510111077"/>
      <w:r w:rsidRPr="00C73365">
        <w:rPr>
          <w:rFonts w:asciiTheme="minorHAnsi" w:hAnsiTheme="minorHAnsi" w:cstheme="minorHAnsi"/>
          <w:lang w:val="fr-FR"/>
        </w:rPr>
        <w:t xml:space="preserve">Ce montant correspond au montant maximum d’avances remboursables prévus initialement par le contrat. Dans le cas où le montant total des avances remboursables effectivement versé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serait inférieur à la somme convenue initialement, les remboursements indiqués ci-dessus seront réduits au prorata des sommes versées.  </w:t>
      </w:r>
    </w:p>
    <w:bookmarkEnd w:id="1451"/>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cas échéant, la société devra aussi verser une annuité de 50% du produit généré par la cession des titres de propriété intellectuelle issus du projet, ainsi que de la cession des prototypes, préséries et maquettes réalisées dans le cadre du projet.</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Si le remboursement de l’avance est effectué dans les conditions présentées ci-dessus, la société versera à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pendant une durée de 5 années consécutives après la date de terminaison de l’échéancier et dès lors qu’elle aura atteint un montant cumulé de chiffre d’affaires hors taxes égal ou supérieur à 25 000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3% du chiffre d’affaires annuel généré par l’exploitation des produits issus du projet.</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montant des versements complémentaires est plafonné à la somme de 5 500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2868BA" w:rsidRPr="00C73365" w:rsidRDefault="002868BA"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période totale incluant les remboursements forfaitaires et le versement de l’intéressement est limitée à 15 ans.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Subventions accordées par des organismes publics:</w:t>
      </w:r>
    </w:p>
    <w:p w:rsidR="00F46C7B" w:rsidRPr="00C73365" w:rsidRDefault="00F46C7B" w:rsidP="004572A0">
      <w:pPr>
        <w:pStyle w:val="List2"/>
        <w:numPr>
          <w:ilvl w:val="0"/>
          <w:numId w:val="41"/>
        </w:numPr>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Projet CaReNA</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avec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prévoyait un versement maximum de 1 396,5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soit un taux de subvention de 45%. </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Au 31 Décembre 201</w:t>
      </w:r>
      <w:r w:rsidR="00354B11" w:rsidRPr="00C73365">
        <w:rPr>
          <w:rFonts w:asciiTheme="minorHAnsi" w:eastAsia="MS Mincho" w:hAnsiTheme="minorHAnsi" w:cstheme="minorHAnsi"/>
          <w:lang w:val="fr-FR" w:eastAsia="fr-FR"/>
        </w:rPr>
        <w:t>7</w:t>
      </w:r>
      <w:r w:rsidRPr="00C73365">
        <w:rPr>
          <w:rFonts w:asciiTheme="minorHAnsi" w:eastAsia="MS Mincho" w:hAnsiTheme="minorHAnsi" w:cstheme="minorHAnsi"/>
          <w:lang w:val="fr-FR" w:eastAsia="fr-FR"/>
        </w:rPr>
        <w:t xml:space="preserve">, la société a déjà perçu un montant total de 1 187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lastRenderedPageBreak/>
        <w:t xml:space="preserve">Le total des dépenses réalisées depuis le démarrage du projet en 2013 s’élève à </w:t>
      </w:r>
      <w:r w:rsidR="00354B11" w:rsidRPr="00C73365">
        <w:rPr>
          <w:rFonts w:asciiTheme="minorHAnsi" w:eastAsia="MS Mincho" w:hAnsiTheme="minorHAnsi" w:cstheme="minorHAnsi"/>
          <w:lang w:val="fr-FR" w:eastAsia="fr-FR"/>
        </w:rPr>
        <w:t>8 657</w:t>
      </w:r>
      <w:r w:rsidRPr="00C73365">
        <w:rPr>
          <w:rFonts w:asciiTheme="minorHAnsi" w:eastAsia="MS Mincho" w:hAnsiTheme="minorHAnsi" w:cstheme="minorHAnsi"/>
          <w:lang w:val="fr-FR" w:eastAsia="fr-FR"/>
        </w:rPr>
        <w:t xml:space="preserve">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dont </w:t>
      </w:r>
      <w:r w:rsidR="00354B11" w:rsidRPr="00C73365">
        <w:rPr>
          <w:rFonts w:asciiTheme="minorHAnsi" w:eastAsia="MS Mincho" w:hAnsiTheme="minorHAnsi" w:cstheme="minorHAnsi"/>
          <w:lang w:val="fr-FR" w:eastAsia="fr-FR"/>
        </w:rPr>
        <w:t xml:space="preserve">3 055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réalisées </w:t>
      </w:r>
      <w:r w:rsidR="00354B11" w:rsidRPr="00C73365">
        <w:rPr>
          <w:rFonts w:asciiTheme="minorHAnsi" w:eastAsia="MS Mincho" w:hAnsiTheme="minorHAnsi" w:cstheme="minorHAnsi"/>
          <w:lang w:val="fr-FR" w:eastAsia="fr-FR"/>
        </w:rPr>
        <w:t>en 2017.</w:t>
      </w:r>
      <w:r w:rsidRPr="00C73365">
        <w:rPr>
          <w:rFonts w:asciiTheme="minorHAnsi" w:eastAsia="MS Mincho" w:hAnsiTheme="minorHAnsi" w:cstheme="minorHAnsi"/>
          <w:lang w:val="fr-FR" w:eastAsia="fr-FR"/>
        </w:rPr>
        <w:t xml:space="preserve"> Les dépenses du premier semestre 2016 correspondent à l’étape-clé n°3 du contrat et ne donneront pas lieu au versement d’une subvention.</w:t>
      </w:r>
    </w:p>
    <w:p w:rsidR="00F46C7B" w:rsidRPr="00C73365" w:rsidRDefault="00F46C7B" w:rsidP="004572A0">
      <w:pPr>
        <w:pStyle w:val="List2"/>
        <w:numPr>
          <w:ilvl w:val="0"/>
          <w:numId w:val="41"/>
        </w:numPr>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Projet RNP</w:t>
      </w:r>
      <w:r w:rsidR="00121755" w:rsidRPr="00C73365">
        <w:rPr>
          <w:rFonts w:asciiTheme="minorHAnsi" w:eastAsia="MS Mincho" w:hAnsiTheme="minorHAnsi" w:cstheme="minorHAnsi"/>
          <w:lang w:val="fr-FR" w:eastAsia="fr-FR"/>
        </w:rPr>
        <w:t xml:space="preserve"> Vir</w:t>
      </w:r>
    </w:p>
    <w:p w:rsidR="00354B11" w:rsidRPr="00C73365" w:rsidRDefault="00354B11"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contrat avec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prévoit un versement maximum de 2 111,7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soit un taux de subvention de 50%. </w:t>
      </w:r>
    </w:p>
    <w:p w:rsidR="00354B11" w:rsidRPr="00C73365" w:rsidRDefault="00354B11"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Au 31 décembre 2017, la société a déjà perçu un montant de 347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354B11" w:rsidRPr="00C73365" w:rsidRDefault="00354B11"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total des dépenses réalisées depuis le démarrage du projet en 2017 s’élève à 1 576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354B11" w:rsidRPr="00C73365" w:rsidRDefault="00354B11"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Aucun produit à recevoir n’a été comptabilisé au titre de cette subvention.</w:t>
      </w:r>
    </w:p>
    <w:p w:rsidR="005F6736" w:rsidRPr="00C73365" w:rsidRDefault="005F6736" w:rsidP="00A96CCA">
      <w:pPr>
        <w:pStyle w:val="ListParagraph"/>
        <w:widowControl w:val="0"/>
        <w:spacing w:after="0"/>
        <w:ind w:left="720" w:right="568"/>
        <w:rPr>
          <w:rFonts w:asciiTheme="minorHAnsi" w:eastAsia="MS Mincho" w:hAnsiTheme="minorHAnsi" w:cstheme="minorHAnsi"/>
          <w:szCs w:val="20"/>
          <w:lang w:val="fr-FR" w:eastAsia="fr-FR"/>
        </w:rPr>
      </w:pPr>
    </w:p>
    <w:p w:rsidR="00F46C7B" w:rsidRPr="00C73365" w:rsidRDefault="00F46C7B" w:rsidP="00A96CCA">
      <w:pPr>
        <w:spacing w:after="0"/>
        <w:ind w:right="-9"/>
        <w:rPr>
          <w:rFonts w:asciiTheme="minorHAnsi" w:eastAsia="MS Mincho" w:hAnsiTheme="minorHAnsi" w:cstheme="minorHAnsi"/>
          <w:szCs w:val="20"/>
          <w:highlight w:val="lightGray"/>
          <w:lang w:val="fr-FR" w:eastAsia="fr-FR"/>
        </w:rPr>
      </w:pPr>
      <w:r w:rsidRPr="00C73365">
        <w:rPr>
          <w:rFonts w:asciiTheme="minorHAnsi" w:eastAsia="MS Mincho" w:hAnsiTheme="minorHAnsi" w:cstheme="minorHAnsi"/>
          <w:szCs w:val="20"/>
          <w:highlight w:val="lightGray"/>
          <w:lang w:val="fr-FR" w:eastAsia="fr-FR"/>
        </w:rPr>
        <w:br w:type="page"/>
      </w:r>
    </w:p>
    <w:p w:rsidR="00F46C7B" w:rsidRPr="00C73365" w:rsidRDefault="00F46C7B" w:rsidP="004572A0">
      <w:pPr>
        <w:pStyle w:val="BodyText"/>
        <w:rPr>
          <w:rFonts w:asciiTheme="minorHAnsi" w:eastAsia="MS Mincho" w:hAnsiTheme="minorHAnsi" w:cstheme="minorHAnsi"/>
          <w:highlight w:val="lightGray"/>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9 – DETTES</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total des dettes à la clôture de l’exercice s’élève à </w:t>
      </w:r>
      <w:r w:rsidR="00676ACD" w:rsidRPr="00C73365">
        <w:rPr>
          <w:rFonts w:asciiTheme="minorHAnsi" w:eastAsia="MS Mincho" w:hAnsiTheme="minorHAnsi" w:cstheme="minorHAnsi"/>
          <w:lang w:val="fr-FR" w:eastAsia="fr-FR"/>
        </w:rPr>
        <w:t>5 513</w:t>
      </w:r>
      <w:r w:rsidRPr="00C73365">
        <w:rPr>
          <w:rFonts w:asciiTheme="minorHAnsi" w:eastAsia="MS Mincho" w:hAnsiTheme="minorHAnsi" w:cstheme="minorHAnsi"/>
          <w:lang w:val="fr-FR" w:eastAsia="fr-FR"/>
        </w:rPr>
        <w:t xml:space="preserve">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et le classement détaillé par échéance s’établit comme suit :</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tbl>
      <w:tblPr>
        <w:tblW w:w="8600" w:type="dxa"/>
        <w:tblLook w:val="04A0" w:firstRow="1" w:lastRow="0" w:firstColumn="1" w:lastColumn="0" w:noHBand="0" w:noVBand="1"/>
      </w:tblPr>
      <w:tblGrid>
        <w:gridCol w:w="3640"/>
        <w:gridCol w:w="1240"/>
        <w:gridCol w:w="1240"/>
        <w:gridCol w:w="1240"/>
        <w:gridCol w:w="1240"/>
      </w:tblGrid>
      <w:tr w:rsidR="00676ACD" w:rsidRPr="00F06F79" w:rsidTr="00676ACD">
        <w:trPr>
          <w:trHeight w:val="852"/>
        </w:trPr>
        <w:tc>
          <w:tcPr>
            <w:tcW w:w="3640" w:type="dxa"/>
            <w:tcBorders>
              <w:top w:val="single" w:sz="12" w:space="0" w:color="7030A0"/>
              <w:left w:val="nil"/>
              <w:bottom w:val="single" w:sz="8" w:space="0" w:color="7030A0"/>
              <w:right w:val="nil"/>
            </w:tcBorders>
            <w:shd w:val="clear" w:color="auto" w:fill="auto"/>
            <w:vAlign w:val="center"/>
            <w:hideMark/>
          </w:tcPr>
          <w:p w:rsidR="00676ACD" w:rsidRPr="00C73365" w:rsidRDefault="00676ACD"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40" w:type="dxa"/>
            <w:tcBorders>
              <w:top w:val="single" w:sz="12" w:space="0" w:color="7030A0"/>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Montant brut</w:t>
            </w:r>
          </w:p>
        </w:tc>
        <w:tc>
          <w:tcPr>
            <w:tcW w:w="1240" w:type="dxa"/>
            <w:tcBorders>
              <w:top w:val="single" w:sz="12" w:space="0" w:color="7030A0"/>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Échéances à moins d</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un an</w:t>
            </w:r>
          </w:p>
        </w:tc>
        <w:tc>
          <w:tcPr>
            <w:tcW w:w="1240" w:type="dxa"/>
            <w:tcBorders>
              <w:top w:val="single" w:sz="12" w:space="0" w:color="7030A0"/>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Échéances à plus d</w:t>
            </w:r>
            <w:r w:rsidR="004572A0" w:rsidRPr="00C73365">
              <w:rPr>
                <w:rFonts w:asciiTheme="minorHAnsi" w:hAnsiTheme="minorHAnsi" w:cstheme="minorHAnsi"/>
                <w:b/>
                <w:bCs/>
                <w:color w:val="000000"/>
                <w:szCs w:val="20"/>
                <w:lang w:val="fr-FR"/>
              </w:rPr>
              <w:t>’</w:t>
            </w:r>
            <w:r w:rsidRPr="00C73365">
              <w:rPr>
                <w:rFonts w:asciiTheme="minorHAnsi" w:hAnsiTheme="minorHAnsi" w:cstheme="minorHAnsi"/>
                <w:b/>
                <w:bCs/>
                <w:color w:val="000000"/>
                <w:szCs w:val="20"/>
                <w:lang w:val="fr-FR"/>
              </w:rPr>
              <w:t>un an</w:t>
            </w:r>
          </w:p>
        </w:tc>
        <w:tc>
          <w:tcPr>
            <w:tcW w:w="1240" w:type="dxa"/>
            <w:tcBorders>
              <w:top w:val="single" w:sz="12" w:space="0" w:color="7030A0"/>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b/>
                <w:bCs/>
                <w:color w:val="000000"/>
                <w:szCs w:val="20"/>
                <w:lang w:val="fr-FR"/>
              </w:rPr>
            </w:pPr>
            <w:r w:rsidRPr="00C73365">
              <w:rPr>
                <w:rFonts w:asciiTheme="minorHAnsi" w:hAnsiTheme="minorHAnsi" w:cstheme="minorHAnsi"/>
                <w:b/>
                <w:bCs/>
                <w:color w:val="000000"/>
                <w:szCs w:val="20"/>
                <w:lang w:val="fr-FR"/>
              </w:rPr>
              <w:t>Échéances à plus de 5 ans</w:t>
            </w:r>
          </w:p>
        </w:tc>
      </w:tr>
      <w:tr w:rsidR="00676ACD" w:rsidRPr="00C73365" w:rsidTr="00676ACD">
        <w:trPr>
          <w:trHeight w:val="552"/>
        </w:trPr>
        <w:tc>
          <w:tcPr>
            <w:tcW w:w="36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xml:space="preserve">Emprunts et dettes financières divers </w:t>
            </w:r>
            <w:r w:rsidRPr="00C73365">
              <w:rPr>
                <w:rFonts w:asciiTheme="minorHAnsi" w:hAnsiTheme="minorHAnsi" w:cstheme="minorHAnsi"/>
                <w:color w:val="7030A0"/>
                <w:szCs w:val="20"/>
                <w:lang w:val="fr-FR"/>
              </w:rPr>
              <w:t>(*)</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170</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szCs w:val="20"/>
              </w:rPr>
            </w:pPr>
          </w:p>
        </w:tc>
      </w:tr>
      <w:tr w:rsidR="00676ACD" w:rsidRPr="00C73365" w:rsidTr="00676ACD">
        <w:trPr>
          <w:trHeight w:val="552"/>
        </w:trPr>
        <w:tc>
          <w:tcPr>
            <w:tcW w:w="36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Dettes fournisseurs et comptes rattachés</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4 219</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4 219</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szCs w:val="20"/>
              </w:rPr>
            </w:pPr>
          </w:p>
        </w:tc>
      </w:tr>
      <w:tr w:rsidR="00676ACD" w:rsidRPr="00C73365" w:rsidTr="00676ACD">
        <w:trPr>
          <w:trHeight w:val="288"/>
        </w:trPr>
        <w:tc>
          <w:tcPr>
            <w:tcW w:w="36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Dettes fiscales et sociales</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1 102</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1 102</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szCs w:val="20"/>
              </w:rPr>
            </w:pPr>
          </w:p>
        </w:tc>
      </w:tr>
      <w:tr w:rsidR="00676ACD" w:rsidRPr="00C73365" w:rsidTr="00676ACD">
        <w:trPr>
          <w:trHeight w:val="300"/>
        </w:trPr>
        <w:tc>
          <w:tcPr>
            <w:tcW w:w="36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Autres dettes </w:t>
            </w:r>
            <w:r w:rsidRPr="00C73365">
              <w:rPr>
                <w:rFonts w:asciiTheme="minorHAnsi" w:hAnsiTheme="minorHAnsi" w:cstheme="minorHAnsi"/>
                <w:color w:val="7030A0"/>
                <w:szCs w:val="20"/>
              </w:rPr>
              <w:t>(**)</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22</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22</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 </w:t>
            </w:r>
          </w:p>
        </w:tc>
      </w:tr>
      <w:tr w:rsidR="00676ACD" w:rsidRPr="00C73365" w:rsidTr="00676ACD">
        <w:trPr>
          <w:trHeight w:val="300"/>
        </w:trPr>
        <w:tc>
          <w:tcPr>
            <w:tcW w:w="36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5 513</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5 513</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0</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0</w:t>
            </w:r>
          </w:p>
        </w:tc>
      </w:tr>
      <w:tr w:rsidR="00676ACD" w:rsidRPr="00F06F79" w:rsidTr="00676ACD">
        <w:trPr>
          <w:trHeight w:val="288"/>
        </w:trPr>
        <w:tc>
          <w:tcPr>
            <w:tcW w:w="3640" w:type="dxa"/>
            <w:tcBorders>
              <w:top w:val="nil"/>
              <w:left w:val="nil"/>
              <w:bottom w:val="nil"/>
              <w:right w:val="nil"/>
            </w:tcBorders>
            <w:shd w:val="clear" w:color="auto" w:fill="auto"/>
            <w:noWrap/>
            <w:vAlign w:val="center"/>
            <w:hideMark/>
          </w:tcPr>
          <w:p w:rsidR="00676ACD" w:rsidRPr="00C73365" w:rsidRDefault="00676ACD" w:rsidP="00A96CCA">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w:t>
            </w:r>
            <w:r w:rsidRPr="00C73365">
              <w:rPr>
                <w:rFonts w:asciiTheme="minorHAnsi" w:hAnsiTheme="minorHAnsi" w:cstheme="minorHAnsi"/>
                <w:color w:val="000000"/>
                <w:szCs w:val="20"/>
                <w:lang w:val="fr-FR"/>
              </w:rPr>
              <w:t xml:space="preserve"> Emprunts souscrits en cours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exercice</w:t>
            </w:r>
          </w:p>
        </w:tc>
        <w:tc>
          <w:tcPr>
            <w:tcW w:w="1240" w:type="dxa"/>
            <w:tcBorders>
              <w:top w:val="nil"/>
              <w:left w:val="nil"/>
              <w:bottom w:val="nil"/>
              <w:right w:val="nil"/>
            </w:tcBorders>
            <w:shd w:val="clear" w:color="auto" w:fill="auto"/>
            <w:noWrap/>
            <w:vAlign w:val="bottom"/>
            <w:hideMark/>
          </w:tcPr>
          <w:p w:rsidR="00676ACD" w:rsidRPr="00C73365" w:rsidRDefault="00676ACD" w:rsidP="00A96CCA">
            <w:pPr>
              <w:spacing w:after="0"/>
              <w:rPr>
                <w:rFonts w:asciiTheme="minorHAnsi" w:hAnsiTheme="minorHAnsi" w:cstheme="minorHAnsi"/>
                <w:color w:val="7030A0"/>
                <w:szCs w:val="20"/>
                <w:lang w:val="fr-FR"/>
              </w:rPr>
            </w:pPr>
          </w:p>
        </w:tc>
        <w:tc>
          <w:tcPr>
            <w:tcW w:w="1240" w:type="dxa"/>
            <w:tcBorders>
              <w:top w:val="nil"/>
              <w:left w:val="nil"/>
              <w:bottom w:val="nil"/>
              <w:right w:val="nil"/>
            </w:tcBorders>
            <w:shd w:val="clear" w:color="auto" w:fill="auto"/>
            <w:noWrap/>
            <w:vAlign w:val="bottom"/>
            <w:hideMark/>
          </w:tcPr>
          <w:p w:rsidR="00676ACD" w:rsidRPr="00C73365" w:rsidRDefault="00676ACD" w:rsidP="00A96CCA">
            <w:pPr>
              <w:spacing w:after="0"/>
              <w:rPr>
                <w:rFonts w:asciiTheme="minorHAnsi" w:hAnsiTheme="minorHAnsi" w:cstheme="minorHAnsi"/>
                <w:szCs w:val="20"/>
                <w:lang w:val="fr-FR"/>
              </w:rPr>
            </w:pPr>
          </w:p>
        </w:tc>
        <w:tc>
          <w:tcPr>
            <w:tcW w:w="1240" w:type="dxa"/>
            <w:tcBorders>
              <w:top w:val="nil"/>
              <w:left w:val="nil"/>
              <w:bottom w:val="nil"/>
              <w:right w:val="nil"/>
            </w:tcBorders>
            <w:shd w:val="clear" w:color="auto" w:fill="auto"/>
            <w:noWrap/>
            <w:vAlign w:val="bottom"/>
            <w:hideMark/>
          </w:tcPr>
          <w:p w:rsidR="00676ACD" w:rsidRPr="00C73365" w:rsidRDefault="00676ACD" w:rsidP="00A96CCA">
            <w:pPr>
              <w:spacing w:after="0"/>
              <w:rPr>
                <w:rFonts w:asciiTheme="minorHAnsi" w:hAnsiTheme="minorHAnsi" w:cstheme="minorHAnsi"/>
                <w:szCs w:val="20"/>
                <w:lang w:val="fr-FR"/>
              </w:rPr>
            </w:pPr>
          </w:p>
        </w:tc>
        <w:tc>
          <w:tcPr>
            <w:tcW w:w="1240" w:type="dxa"/>
            <w:tcBorders>
              <w:top w:val="nil"/>
              <w:left w:val="nil"/>
              <w:bottom w:val="nil"/>
              <w:right w:val="nil"/>
            </w:tcBorders>
            <w:shd w:val="clear" w:color="auto" w:fill="auto"/>
            <w:noWrap/>
            <w:vAlign w:val="bottom"/>
            <w:hideMark/>
          </w:tcPr>
          <w:p w:rsidR="00676ACD" w:rsidRPr="00C73365" w:rsidRDefault="00676ACD" w:rsidP="00A96CCA">
            <w:pPr>
              <w:spacing w:after="0"/>
              <w:rPr>
                <w:rFonts w:asciiTheme="minorHAnsi" w:hAnsiTheme="minorHAnsi" w:cstheme="minorHAnsi"/>
                <w:szCs w:val="20"/>
                <w:lang w:val="fr-FR"/>
              </w:rPr>
            </w:pPr>
          </w:p>
        </w:tc>
      </w:tr>
      <w:tr w:rsidR="00676ACD" w:rsidRPr="00C73365" w:rsidTr="00676ACD">
        <w:trPr>
          <w:trHeight w:val="288"/>
        </w:trPr>
        <w:tc>
          <w:tcPr>
            <w:tcW w:w="36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w:t>
            </w:r>
            <w:r w:rsidRPr="00C73365">
              <w:rPr>
                <w:rFonts w:asciiTheme="minorHAnsi" w:hAnsiTheme="minorHAnsi" w:cstheme="minorHAnsi"/>
                <w:color w:val="000000"/>
                <w:szCs w:val="20"/>
              </w:rPr>
              <w:t xml:space="preserve"> Emprunts remboursés sur l</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exercice</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85</w:t>
            </w: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szCs w:val="20"/>
              </w:rPr>
            </w:pPr>
          </w:p>
        </w:tc>
        <w:tc>
          <w:tcPr>
            <w:tcW w:w="1240" w:type="dxa"/>
            <w:tcBorders>
              <w:top w:val="nil"/>
              <w:left w:val="nil"/>
              <w:bottom w:val="nil"/>
              <w:right w:val="nil"/>
            </w:tcBorders>
            <w:shd w:val="clear" w:color="auto" w:fill="auto"/>
            <w:vAlign w:val="center"/>
            <w:hideMark/>
          </w:tcPr>
          <w:p w:rsidR="00676ACD" w:rsidRPr="00C73365" w:rsidRDefault="00676ACD" w:rsidP="00A96CCA">
            <w:pPr>
              <w:spacing w:after="0"/>
              <w:rPr>
                <w:rFonts w:asciiTheme="minorHAnsi" w:hAnsiTheme="minorHAnsi" w:cstheme="minorHAnsi"/>
                <w:szCs w:val="20"/>
              </w:rPr>
            </w:pPr>
          </w:p>
        </w:tc>
      </w:tr>
      <w:tr w:rsidR="00676ACD" w:rsidRPr="00F06F79" w:rsidTr="00676ACD">
        <w:trPr>
          <w:trHeight w:val="300"/>
        </w:trPr>
        <w:tc>
          <w:tcPr>
            <w:tcW w:w="36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w:t>
            </w:r>
            <w:r w:rsidRPr="00C73365">
              <w:rPr>
                <w:rFonts w:asciiTheme="minorHAnsi" w:hAnsiTheme="minorHAnsi" w:cstheme="minorHAnsi"/>
                <w:color w:val="000000"/>
                <w:szCs w:val="20"/>
                <w:lang w:val="fr-FR"/>
              </w:rPr>
              <w:t xml:space="preserve"> Dont envers les groupes et associés</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24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r>
    </w:tbl>
    <w:p w:rsidR="00F46C7B" w:rsidRPr="00C73365" w:rsidRDefault="00F46C7B" w:rsidP="00A96CCA">
      <w:pPr>
        <w:spacing w:after="0"/>
        <w:ind w:right="-2"/>
        <w:rPr>
          <w:rFonts w:asciiTheme="minorHAnsi" w:eastAsia="MS Mincho" w:hAnsiTheme="minorHAnsi" w:cstheme="minorHAnsi"/>
          <w:szCs w:val="20"/>
          <w:lang w:val="fr-FR" w:eastAsia="fr-FR"/>
        </w:rPr>
      </w:pPr>
    </w:p>
    <w:p w:rsidR="00F46C7B" w:rsidRPr="00FE4BF9" w:rsidRDefault="00F46C7B" w:rsidP="004572A0">
      <w:pPr>
        <w:pStyle w:val="BodyText"/>
        <w:rPr>
          <w:rFonts w:asciiTheme="minorHAnsi" w:eastAsia="MS Mincho" w:hAnsiTheme="minorHAnsi" w:cstheme="minorHAnsi"/>
          <w:b/>
          <w:lang w:val="fr-FR" w:eastAsia="fr-FR"/>
        </w:rPr>
      </w:pPr>
      <w:r w:rsidRPr="00FE4BF9">
        <w:rPr>
          <w:rFonts w:asciiTheme="minorHAnsi" w:eastAsia="MS Mincho" w:hAnsiTheme="minorHAnsi" w:cstheme="minorHAnsi"/>
          <w:b/>
          <w:lang w:val="fr-FR" w:eastAsia="fr-FR"/>
        </w:rPr>
        <w:t>Charges à payer</w:t>
      </w:r>
    </w:p>
    <w:tbl>
      <w:tblPr>
        <w:tblW w:w="4340" w:type="dxa"/>
        <w:tblCellMar>
          <w:left w:w="70" w:type="dxa"/>
          <w:right w:w="70" w:type="dxa"/>
        </w:tblCellMar>
        <w:tblLook w:val="04A0" w:firstRow="1" w:lastRow="0" w:firstColumn="1" w:lastColumn="0" w:noHBand="0" w:noVBand="1"/>
      </w:tblPr>
      <w:tblGrid>
        <w:gridCol w:w="3240"/>
        <w:gridCol w:w="1100"/>
      </w:tblGrid>
      <w:tr w:rsidR="00F46C7B" w:rsidRPr="00FE4BF9" w:rsidTr="007C607C">
        <w:trPr>
          <w:trHeight w:val="312"/>
        </w:trPr>
        <w:tc>
          <w:tcPr>
            <w:tcW w:w="3240" w:type="dxa"/>
            <w:tcBorders>
              <w:top w:val="single" w:sz="12" w:space="0" w:color="7030A0"/>
              <w:left w:val="nil"/>
              <w:bottom w:val="single" w:sz="8" w:space="0" w:color="7030A0"/>
              <w:right w:val="nil"/>
            </w:tcBorders>
            <w:shd w:val="clear" w:color="auto" w:fill="auto"/>
            <w:vAlign w:val="center"/>
            <w:hideMark/>
          </w:tcPr>
          <w:p w:rsidR="00F46C7B" w:rsidRPr="00FE4BF9" w:rsidRDefault="00F46C7B"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en milliers d</w:t>
            </w:r>
            <w:r w:rsidR="004572A0" w:rsidRPr="00FE4BF9">
              <w:rPr>
                <w:rFonts w:asciiTheme="minorHAnsi" w:hAnsiTheme="minorHAnsi" w:cstheme="minorHAnsi"/>
                <w:color w:val="000000"/>
                <w:szCs w:val="20"/>
                <w:lang w:val="fr-FR" w:eastAsia="fr-FR"/>
              </w:rPr>
              <w:t>’</w:t>
            </w:r>
            <w:r w:rsidRPr="00FE4BF9">
              <w:rPr>
                <w:rFonts w:asciiTheme="minorHAnsi" w:hAnsiTheme="minorHAnsi" w:cstheme="minorHAnsi"/>
                <w:color w:val="000000"/>
                <w:szCs w:val="20"/>
                <w:lang w:val="fr-FR" w:eastAsia="fr-FR"/>
              </w:rPr>
              <w:t>euros</w:t>
            </w:r>
          </w:p>
        </w:tc>
        <w:tc>
          <w:tcPr>
            <w:tcW w:w="1100" w:type="dxa"/>
            <w:tcBorders>
              <w:top w:val="single" w:sz="12" w:space="0" w:color="7030A0"/>
              <w:left w:val="nil"/>
              <w:bottom w:val="single" w:sz="8" w:space="0" w:color="7030A0"/>
              <w:right w:val="nil"/>
            </w:tcBorders>
            <w:shd w:val="clear" w:color="auto" w:fill="auto"/>
            <w:vAlign w:val="center"/>
            <w:hideMark/>
          </w:tcPr>
          <w:p w:rsidR="00F46C7B" w:rsidRPr="00FE4BF9" w:rsidRDefault="00F46C7B" w:rsidP="00A96CCA">
            <w:pPr>
              <w:spacing w:after="0"/>
              <w:jc w:val="right"/>
              <w:rPr>
                <w:rFonts w:asciiTheme="minorHAnsi" w:hAnsiTheme="minorHAnsi" w:cstheme="minorHAnsi"/>
                <w:b/>
                <w:bCs/>
                <w:color w:val="000000"/>
                <w:szCs w:val="20"/>
                <w:lang w:val="fr-FR" w:eastAsia="fr-FR"/>
              </w:rPr>
            </w:pPr>
            <w:r w:rsidRPr="00FE4BF9">
              <w:rPr>
                <w:rFonts w:asciiTheme="minorHAnsi" w:hAnsiTheme="minorHAnsi" w:cstheme="minorHAnsi"/>
                <w:b/>
                <w:bCs/>
                <w:color w:val="000000"/>
                <w:szCs w:val="20"/>
                <w:lang w:val="fr-FR" w:eastAsia="fr-FR"/>
              </w:rPr>
              <w:t>Montant</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Fournisseurs - Fact. Non Parvenues</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662</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Prov P/Congés Payés</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115</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Personnel - Charges à payer</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462</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Prov Chg Soc/Cp</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52</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Autres Chg Soc à payer</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208</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Etat - Autres charges à payer</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57</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Taxe Apprentissage à payer</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22</w:t>
            </w:r>
          </w:p>
        </w:tc>
      </w:tr>
      <w:tr w:rsidR="00676ACD" w:rsidRPr="00FE4BF9" w:rsidTr="007C607C">
        <w:trPr>
          <w:trHeight w:val="288"/>
        </w:trPr>
        <w:tc>
          <w:tcPr>
            <w:tcW w:w="3240" w:type="dxa"/>
            <w:tcBorders>
              <w:top w:val="nil"/>
              <w:left w:val="nil"/>
              <w:bottom w:val="nil"/>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Formation Continue à payer</w:t>
            </w:r>
          </w:p>
        </w:tc>
        <w:tc>
          <w:tcPr>
            <w:tcW w:w="1100" w:type="dxa"/>
            <w:tcBorders>
              <w:top w:val="nil"/>
              <w:left w:val="nil"/>
              <w:bottom w:val="nil"/>
              <w:right w:val="nil"/>
            </w:tcBorders>
            <w:shd w:val="clear" w:color="auto" w:fill="auto"/>
            <w:noWrap/>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19</w:t>
            </w:r>
          </w:p>
        </w:tc>
      </w:tr>
      <w:tr w:rsidR="00676ACD" w:rsidRPr="00FE4BF9" w:rsidTr="007C607C">
        <w:trPr>
          <w:trHeight w:val="300"/>
        </w:trPr>
        <w:tc>
          <w:tcPr>
            <w:tcW w:w="3240" w:type="dxa"/>
            <w:tcBorders>
              <w:top w:val="nil"/>
              <w:left w:val="nil"/>
              <w:bottom w:val="single" w:sz="8" w:space="0" w:color="7030A0"/>
              <w:right w:val="nil"/>
            </w:tcBorders>
            <w:shd w:val="clear" w:color="auto" w:fill="auto"/>
            <w:vAlign w:val="center"/>
            <w:hideMark/>
          </w:tcPr>
          <w:p w:rsidR="00676ACD" w:rsidRPr="00FE4BF9" w:rsidRDefault="00676ACD" w:rsidP="00A96CCA">
            <w:pPr>
              <w:spacing w:after="0"/>
              <w:rPr>
                <w:rFonts w:asciiTheme="minorHAnsi" w:hAnsiTheme="minorHAnsi" w:cstheme="minorHAnsi"/>
                <w:color w:val="000000"/>
                <w:szCs w:val="20"/>
                <w:lang w:val="fr-FR" w:eastAsia="fr-FR"/>
              </w:rPr>
            </w:pPr>
            <w:r w:rsidRPr="00FE4BF9">
              <w:rPr>
                <w:rFonts w:asciiTheme="minorHAnsi" w:hAnsiTheme="minorHAnsi" w:cstheme="minorHAnsi"/>
                <w:color w:val="000000"/>
                <w:szCs w:val="20"/>
                <w:lang w:val="fr-FR" w:eastAsia="fr-FR"/>
              </w:rPr>
              <w:t>Taxe effort construction</w:t>
            </w:r>
          </w:p>
        </w:tc>
        <w:tc>
          <w:tcPr>
            <w:tcW w:w="1100" w:type="dxa"/>
            <w:tcBorders>
              <w:top w:val="nil"/>
              <w:left w:val="nil"/>
              <w:bottom w:val="single" w:sz="8" w:space="0" w:color="7030A0"/>
              <w:right w:val="nil"/>
            </w:tcBorders>
            <w:shd w:val="clear" w:color="auto" w:fill="auto"/>
            <w:vAlign w:val="center"/>
            <w:hideMark/>
          </w:tcPr>
          <w:p w:rsidR="00676ACD" w:rsidRPr="00FE4BF9" w:rsidRDefault="00676ACD" w:rsidP="00A96CCA">
            <w:pPr>
              <w:spacing w:after="0"/>
              <w:jc w:val="right"/>
              <w:rPr>
                <w:rFonts w:asciiTheme="minorHAnsi" w:hAnsiTheme="minorHAnsi" w:cstheme="minorHAnsi"/>
                <w:color w:val="000000"/>
                <w:szCs w:val="20"/>
                <w:lang w:val="fr-FR" w:eastAsia="fr-FR"/>
              </w:rPr>
            </w:pPr>
            <w:r w:rsidRPr="00FE4BF9">
              <w:rPr>
                <w:rFonts w:asciiTheme="minorHAnsi" w:hAnsiTheme="minorHAnsi" w:cstheme="minorHAnsi"/>
                <w:color w:val="000000"/>
                <w:szCs w:val="20"/>
              </w:rPr>
              <w:t>41</w:t>
            </w:r>
          </w:p>
        </w:tc>
      </w:tr>
      <w:tr w:rsidR="00676ACD" w:rsidRPr="00C73365" w:rsidTr="007C607C">
        <w:trPr>
          <w:trHeight w:val="300"/>
        </w:trPr>
        <w:tc>
          <w:tcPr>
            <w:tcW w:w="3240" w:type="dxa"/>
            <w:tcBorders>
              <w:top w:val="nil"/>
              <w:left w:val="nil"/>
              <w:bottom w:val="single" w:sz="8" w:space="0" w:color="7030A0"/>
              <w:right w:val="nil"/>
            </w:tcBorders>
            <w:shd w:val="clear" w:color="auto" w:fill="auto"/>
            <w:vAlign w:val="center"/>
            <w:hideMark/>
          </w:tcPr>
          <w:p w:rsidR="00676ACD" w:rsidRPr="00FE4BF9" w:rsidRDefault="00676ACD" w:rsidP="00A96CCA">
            <w:pPr>
              <w:spacing w:after="0"/>
              <w:rPr>
                <w:rFonts w:asciiTheme="minorHAnsi" w:hAnsiTheme="minorHAnsi" w:cstheme="minorHAnsi"/>
                <w:color w:val="7030A0"/>
                <w:szCs w:val="20"/>
                <w:lang w:val="fr-FR" w:eastAsia="fr-FR"/>
              </w:rPr>
            </w:pPr>
            <w:r w:rsidRPr="00FE4BF9">
              <w:rPr>
                <w:rFonts w:asciiTheme="minorHAnsi" w:hAnsiTheme="minorHAnsi" w:cstheme="minorHAnsi"/>
                <w:color w:val="7030A0"/>
                <w:szCs w:val="20"/>
                <w:lang w:val="fr-FR" w:eastAsia="fr-FR"/>
              </w:rPr>
              <w:t>Total</w:t>
            </w:r>
          </w:p>
        </w:tc>
        <w:tc>
          <w:tcPr>
            <w:tcW w:w="1100" w:type="dxa"/>
            <w:tcBorders>
              <w:top w:val="nil"/>
              <w:left w:val="nil"/>
              <w:bottom w:val="single" w:sz="8" w:space="0" w:color="7030A0"/>
              <w:right w:val="nil"/>
            </w:tcBorders>
            <w:shd w:val="clear" w:color="auto" w:fill="auto"/>
            <w:vAlign w:val="center"/>
            <w:hideMark/>
          </w:tcPr>
          <w:p w:rsidR="00676ACD" w:rsidRPr="00C73365" w:rsidRDefault="00676ACD" w:rsidP="00A96CCA">
            <w:pPr>
              <w:spacing w:after="0"/>
              <w:jc w:val="right"/>
              <w:rPr>
                <w:rFonts w:asciiTheme="minorHAnsi" w:hAnsiTheme="minorHAnsi" w:cstheme="minorHAnsi"/>
                <w:color w:val="7030A0"/>
                <w:szCs w:val="20"/>
                <w:lang w:val="fr-FR" w:eastAsia="fr-FR"/>
              </w:rPr>
            </w:pPr>
            <w:r w:rsidRPr="00FE4BF9">
              <w:rPr>
                <w:rFonts w:asciiTheme="minorHAnsi" w:hAnsiTheme="minorHAnsi" w:cstheme="minorHAnsi"/>
                <w:color w:val="7030A0"/>
                <w:szCs w:val="20"/>
              </w:rPr>
              <w:t>1 637</w:t>
            </w:r>
          </w:p>
        </w:tc>
      </w:tr>
    </w:tbl>
    <w:p w:rsidR="00F46C7B" w:rsidRPr="00C73365" w:rsidRDefault="00F46C7B" w:rsidP="00A96CCA">
      <w:pPr>
        <w:spacing w:after="0"/>
        <w:ind w:right="-2"/>
        <w:rPr>
          <w:rFonts w:asciiTheme="minorHAnsi" w:eastAsia="MS Mincho" w:hAnsiTheme="minorHAnsi" w:cstheme="minorHAnsi"/>
          <w:b/>
          <w:szCs w:val="20"/>
          <w:lang w:val="fr-FR" w:eastAsia="fr-FR"/>
        </w:rPr>
      </w:pPr>
    </w:p>
    <w:p w:rsidR="00F46C7B" w:rsidRPr="00C73365" w:rsidRDefault="00F46C7B" w:rsidP="00A96CCA">
      <w:pPr>
        <w:spacing w:after="0"/>
        <w:rPr>
          <w:rFonts w:asciiTheme="minorHAnsi" w:eastAsia="MS Mincho" w:hAnsiTheme="minorHAnsi" w:cstheme="minorHAnsi"/>
          <w:b/>
          <w:szCs w:val="20"/>
          <w:lang w:val="fr-FR" w:eastAsia="fr-FR"/>
        </w:rPr>
      </w:pPr>
      <w:r w:rsidRPr="00C73365">
        <w:rPr>
          <w:rFonts w:asciiTheme="minorHAnsi" w:eastAsia="MS Mincho" w:hAnsiTheme="minorHAnsi" w:cstheme="minorHAnsi"/>
          <w:b/>
          <w:szCs w:val="20"/>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10 – FRAIS DE RECHERCHE ET DEVELOPPEMENT</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D22228" w:rsidRPr="00C73365" w:rsidRDefault="00D22228"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Comme mentionné dans les règles et méthodes comptables, la société a comptabilisé en charges de l’exercice ses frais de recherche et développement.</w:t>
      </w:r>
    </w:p>
    <w:p w:rsidR="00D22228" w:rsidRPr="00C73365" w:rsidRDefault="00D22228"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montant total de ces dépenses s’est élevé à </w:t>
      </w:r>
      <w:r w:rsidR="00676ACD" w:rsidRPr="00C73365">
        <w:rPr>
          <w:rFonts w:asciiTheme="minorHAnsi" w:eastAsia="MS Mincho" w:hAnsiTheme="minorHAnsi" w:cstheme="minorHAnsi"/>
          <w:lang w:val="fr-FR" w:eastAsia="fr-FR"/>
        </w:rPr>
        <w:t>10 846</w:t>
      </w:r>
      <w:r w:rsidRPr="00C73365">
        <w:rPr>
          <w:rFonts w:asciiTheme="minorHAnsi" w:eastAsia="MS Mincho" w:hAnsiTheme="minorHAnsi" w:cstheme="minorHAnsi"/>
          <w:lang w:val="fr-FR" w:eastAsia="fr-FR"/>
        </w:rPr>
        <w:t xml:space="preserve">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l’année </w:t>
      </w:r>
      <w:r w:rsidR="00676ACD" w:rsidRPr="00C73365">
        <w:rPr>
          <w:rFonts w:asciiTheme="minorHAnsi" w:eastAsia="MS Mincho" w:hAnsiTheme="minorHAnsi" w:cstheme="minorHAnsi"/>
          <w:lang w:val="fr-FR" w:eastAsia="fr-FR"/>
        </w:rPr>
        <w:t xml:space="preserve">2017 </w:t>
      </w:r>
      <w:r w:rsidRPr="00C73365">
        <w:rPr>
          <w:rFonts w:asciiTheme="minorHAnsi" w:eastAsia="MS Mincho" w:hAnsiTheme="minorHAnsi" w:cstheme="minorHAnsi"/>
          <w:lang w:val="fr-FR" w:eastAsia="fr-FR"/>
        </w:rPr>
        <w:t xml:space="preserve">contre 15 </w:t>
      </w:r>
      <w:r w:rsidR="00676ACD" w:rsidRPr="00C73365">
        <w:rPr>
          <w:rFonts w:asciiTheme="minorHAnsi" w:eastAsia="MS Mincho" w:hAnsiTheme="minorHAnsi" w:cstheme="minorHAnsi"/>
          <w:lang w:val="fr-FR" w:eastAsia="fr-FR"/>
        </w:rPr>
        <w:t xml:space="preserve">459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l’année </w:t>
      </w:r>
      <w:r w:rsidR="00676ACD" w:rsidRPr="00C73365">
        <w:rPr>
          <w:rFonts w:asciiTheme="minorHAnsi" w:eastAsia="MS Mincho" w:hAnsiTheme="minorHAnsi" w:cstheme="minorHAnsi"/>
          <w:lang w:val="fr-FR" w:eastAsia="fr-FR"/>
        </w:rPr>
        <w:t>2016</w:t>
      </w:r>
      <w:r w:rsidRPr="00C73365">
        <w:rPr>
          <w:rFonts w:asciiTheme="minorHAnsi" w:eastAsia="MS Mincho" w:hAnsiTheme="minorHAnsi" w:cstheme="minorHAnsi"/>
          <w:lang w:val="fr-FR" w:eastAsia="fr-FR"/>
        </w:rPr>
        <w:t>.</w:t>
      </w:r>
    </w:p>
    <w:p w:rsidR="00D22228" w:rsidRPr="00C73365" w:rsidRDefault="00D22228"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Parmi ces frais de recherche et développement, une partie a été sous-traitée à des partenaires. </w:t>
      </w:r>
    </w:p>
    <w:p w:rsidR="00D22228" w:rsidRPr="00C73365" w:rsidRDefault="00D22228"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montant de ces frais sous-traités est de </w:t>
      </w:r>
      <w:r w:rsidR="00676ACD" w:rsidRPr="00C73365">
        <w:rPr>
          <w:rFonts w:asciiTheme="minorHAnsi" w:eastAsia="MS Mincho" w:hAnsiTheme="minorHAnsi" w:cstheme="minorHAnsi"/>
          <w:lang w:val="fr-FR" w:eastAsia="fr-FR"/>
        </w:rPr>
        <w:t>6 318</w:t>
      </w:r>
      <w:r w:rsidRPr="00C73365">
        <w:rPr>
          <w:rFonts w:asciiTheme="minorHAnsi" w:eastAsia="MS Mincho" w:hAnsiTheme="minorHAnsi" w:cstheme="minorHAnsi"/>
          <w:lang w:val="fr-FR" w:eastAsia="fr-FR"/>
        </w:rPr>
        <w:t xml:space="preserve">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l’année </w:t>
      </w:r>
      <w:r w:rsidR="00676ACD" w:rsidRPr="00C73365">
        <w:rPr>
          <w:rFonts w:asciiTheme="minorHAnsi" w:eastAsia="MS Mincho" w:hAnsiTheme="minorHAnsi" w:cstheme="minorHAnsi"/>
          <w:lang w:val="fr-FR" w:eastAsia="fr-FR"/>
        </w:rPr>
        <w:t xml:space="preserve">2017 </w:t>
      </w:r>
      <w:r w:rsidRPr="00C73365">
        <w:rPr>
          <w:rFonts w:asciiTheme="minorHAnsi" w:eastAsia="MS Mincho" w:hAnsiTheme="minorHAnsi" w:cstheme="minorHAnsi"/>
          <w:lang w:val="fr-FR" w:eastAsia="fr-FR"/>
        </w:rPr>
        <w:t xml:space="preserve">contre 10 </w:t>
      </w:r>
      <w:r w:rsidR="00676ACD" w:rsidRPr="00C73365">
        <w:rPr>
          <w:rFonts w:asciiTheme="minorHAnsi" w:eastAsia="MS Mincho" w:hAnsiTheme="minorHAnsi" w:cstheme="minorHAnsi"/>
          <w:lang w:val="fr-FR" w:eastAsia="fr-FR"/>
        </w:rPr>
        <w:t xml:space="preserve">556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pour l’année </w:t>
      </w:r>
      <w:r w:rsidR="00676ACD" w:rsidRPr="00C73365">
        <w:rPr>
          <w:rFonts w:asciiTheme="minorHAnsi" w:eastAsia="MS Mincho" w:hAnsiTheme="minorHAnsi" w:cstheme="minorHAnsi"/>
          <w:lang w:val="fr-FR" w:eastAsia="fr-FR"/>
        </w:rPr>
        <w:t>2016</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A96CCA">
      <w:pPr>
        <w:spacing w:after="0"/>
        <w:ind w:right="-2"/>
        <w:rPr>
          <w:rFonts w:asciiTheme="minorHAnsi" w:eastAsia="MS Mincho" w:hAnsiTheme="minorHAnsi" w:cstheme="minorHAnsi"/>
          <w:b/>
          <w:color w:val="7030A0"/>
          <w:sz w:val="28"/>
          <w:szCs w:val="20"/>
          <w:highlight w:val="lightGray"/>
          <w:lang w:val="fr-FR" w:eastAsia="fr-FR"/>
        </w:rPr>
      </w:pPr>
    </w:p>
    <w:p w:rsidR="00F46C7B" w:rsidRPr="00C73365" w:rsidRDefault="00F46C7B" w:rsidP="00A96CCA">
      <w:pPr>
        <w:spacing w:after="0"/>
        <w:ind w:right="-2"/>
        <w:rPr>
          <w:rFonts w:asciiTheme="minorHAnsi" w:eastAsia="MS Mincho" w:hAnsiTheme="minorHAnsi" w:cstheme="minorHAnsi"/>
          <w:b/>
          <w:color w:val="7030A0"/>
          <w:sz w:val="28"/>
          <w:szCs w:val="20"/>
          <w:highlight w:val="lightGray"/>
          <w:lang w:val="fr-FR" w:eastAsia="fr-FR"/>
        </w:rPr>
      </w:pPr>
      <w:r w:rsidRPr="00C73365">
        <w:rPr>
          <w:rFonts w:asciiTheme="minorHAnsi" w:eastAsia="MS Mincho" w:hAnsiTheme="minorHAnsi" w:cstheme="minorHAnsi"/>
          <w:b/>
          <w:color w:val="7030A0"/>
          <w:sz w:val="28"/>
          <w:szCs w:val="20"/>
          <w:highlight w:val="lightGray"/>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11 – IMPOTS SUR LES SOCIETES</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Crédit d’impôt recherche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société ayant une activité de recherche et développement, elle bénéficie du crédit d’impôt recherche.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CIR 2014, d’un montant de 1 595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a été mobilisé au cours du premier semestre 2015. La société étant considérée comme une PME au sens communautaire du terme, elle en a demandé le remboursement lors du dépôt de sa liasse fiscale et de la déclaration de Crédit d’Impôt Recherche.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En 2015, la société avait fait préfinancer son CIR 2014. Du fait des garanties du préfinanceur, il existe encore des montants à recouvrer qui seront restitués si il n’y a pas de contestation pour un montant total de 122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w:t>
      </w:r>
    </w:p>
    <w:p w:rsidR="00F46C7B"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Ces opérations n’ont pas d’impact sur les comptes annuels 2017.</w:t>
      </w:r>
    </w:p>
    <w:p w:rsidR="00AE00E9"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montant du Crédit d’impôt recherche pour l’année 2016 était de 3 519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Son remboursement a été obtenu au cours du second semestre 2017.</w:t>
      </w:r>
    </w:p>
    <w:p w:rsidR="00AE00E9"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L’activité de recherche et développement de la société au cours de l’année civile 2017 a permis de calculer un crédit d’impôt recherche de 2 632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w:t>
      </w:r>
    </w:p>
    <w:p w:rsidR="00AE00E9"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crédit d’impôt compétitivité emploi correspondant aux rémunérations éligibles de l’année civile 2016 a été constaté en autres créances pour un montant de 15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Conformément à la recommandation de l’Autorité des </w:t>
      </w:r>
      <w:r w:rsidRPr="00C73365">
        <w:rPr>
          <w:rFonts w:asciiTheme="minorHAnsi" w:eastAsia="MS Mincho" w:hAnsiTheme="minorHAnsi" w:cstheme="minorHAnsi"/>
          <w:lang w:val="fr-FR" w:eastAsia="fr-FR"/>
        </w:rPr>
        <w:t>Normes Comptables, le produit correspondant a été porté au crédit des charges sociales dans le compte de résultat et son remboursement a été obtenu au second semestre 2017.</w:t>
      </w:r>
    </w:p>
    <w:p w:rsidR="00AE00E9"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crédit d’impôt compétitivité emploi pour l’année civile 2017 est de 12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et a été constaté en autres créances et au crédit des charges sociales sur la période.</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Impôts sur les sociétés</w:t>
      </w:r>
    </w:p>
    <w:p w:rsidR="00AE00E9"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société étant déficitaire, elle ne supporte pas de charge d’impôt. Le montant comptabilisé en résultat sur la ligne « impôts sur les bénéfices » correspond au produit du crédit impôt recherche.</w:t>
      </w:r>
    </w:p>
    <w:p w:rsidR="00755C0C"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déficits fiscaux et amortissements reportables dont dispose la société s’établissent à </w:t>
      </w:r>
      <w:r w:rsidR="00755C0C" w:rsidRPr="00C73365">
        <w:rPr>
          <w:rFonts w:asciiTheme="minorHAnsi" w:hAnsiTheme="minorHAnsi" w:cstheme="minorHAnsi"/>
          <w:szCs w:val="22"/>
          <w:lang w:val="fr-FR"/>
        </w:rPr>
        <w:t xml:space="preserve">87 289 </w:t>
      </w:r>
      <w:r w:rsidR="00EF089C" w:rsidRPr="00C73365">
        <w:rPr>
          <w:rFonts w:asciiTheme="minorHAnsi" w:hAnsiTheme="minorHAnsi" w:cstheme="minorHAnsi"/>
          <w:szCs w:val="22"/>
          <w:lang w:val="fr-FR"/>
        </w:rPr>
        <w:t>K€</w:t>
      </w:r>
      <w:r w:rsidR="00755C0C" w:rsidRPr="00C73365">
        <w:rPr>
          <w:rFonts w:asciiTheme="minorHAnsi" w:hAnsiTheme="minorHAnsi" w:cstheme="minorHAnsi"/>
          <w:szCs w:val="22"/>
          <w:lang w:val="fr-FR"/>
        </w:rPr>
        <w:t xml:space="preserve"> </w:t>
      </w:r>
      <w:r w:rsidRPr="00C73365">
        <w:rPr>
          <w:rFonts w:asciiTheme="minorHAnsi" w:eastAsia="MS Mincho" w:hAnsiTheme="minorHAnsi" w:cstheme="minorHAnsi"/>
          <w:lang w:val="fr-FR" w:eastAsia="fr-FR"/>
        </w:rPr>
        <w:t>au 31 décembre 2017.</w:t>
      </w:r>
    </w:p>
    <w:p w:rsidR="00AE00E9" w:rsidRPr="00C73365" w:rsidRDefault="00AE00E9"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déficits existants chez les trois sociétés confondues (SPLICOS, WITTYCELL et ZOPHIS), qui s’élevaient à 26 021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à la date de réalisation des opérations de dissolutions-confusions ont fait l’objet de demandes d’agrément auprès de l’administration fiscale post-opérations.  Le total des agréments obtenus s’élève à 22 531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F46C7B" w:rsidRPr="00C73365" w:rsidRDefault="00AE00E9" w:rsidP="004572A0">
      <w:pPr>
        <w:pStyle w:val="BodyText"/>
        <w:rPr>
          <w:rFonts w:asciiTheme="minorHAnsi" w:eastAsia="MS Mincho" w:hAnsiTheme="minorHAnsi" w:cstheme="minorHAnsi"/>
          <w:highlight w:val="lightGray"/>
          <w:lang w:val="fr-FR" w:eastAsia="fr-FR"/>
        </w:rPr>
      </w:pPr>
      <w:r w:rsidRPr="00C73365">
        <w:rPr>
          <w:rFonts w:asciiTheme="minorHAnsi" w:eastAsia="MS Mincho" w:hAnsiTheme="minorHAnsi" w:cstheme="minorHAnsi"/>
          <w:lang w:val="fr-FR" w:eastAsia="fr-FR"/>
        </w:rPr>
        <w:t>L’imputation de ces déficits est plafonnée à 50% du bénéfice imposable de l’exercice, cette limitation est applicable à la fraction des bénéfices qui excède 1 million d’euros. Le solde non utilisé du déficit reste reportable sur les exercices suivants, et est imputable dans les mêmes conditions sans limitation dans le temps.</w:t>
      </w:r>
      <w:r w:rsidR="00F46C7B" w:rsidRPr="00C73365">
        <w:rPr>
          <w:rFonts w:asciiTheme="minorHAnsi" w:eastAsia="MS Mincho" w:hAnsiTheme="minorHAnsi" w:cstheme="minorHAnsi"/>
          <w:highlight w:val="lightGray"/>
          <w:lang w:val="fr-FR" w:eastAsia="fr-FR"/>
        </w:rPr>
        <w:br w:type="page"/>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12 – ELEMENTS CONCERNANT LES PARTIES LIEES</w:t>
      </w:r>
    </w:p>
    <w:p w:rsidR="00F46C7B" w:rsidRPr="00C73365" w:rsidRDefault="00F46C7B" w:rsidP="004572A0">
      <w:pPr>
        <w:pStyle w:val="BodyText"/>
        <w:rPr>
          <w:rFonts w:asciiTheme="minorHAnsi" w:eastAsia="MS Mincho" w:hAnsiTheme="minorHAnsi" w:cstheme="minorHAnsi"/>
          <w:highlight w:val="lightGray"/>
          <w:lang w:val="fr-FR" w:eastAsia="fr-FR"/>
        </w:rPr>
        <w:sectPr w:rsidR="00F46C7B" w:rsidRPr="00C73365" w:rsidSect="007C607C">
          <w:type w:val="continuous"/>
          <w:pgSz w:w="11906" w:h="16838"/>
          <w:pgMar w:top="1134" w:right="1134" w:bottom="1134" w:left="1134" w:header="709" w:footer="709" w:gutter="0"/>
          <w:cols w:space="397"/>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Eléments du bilan</w:t>
      </w:r>
    </w:p>
    <w:tbl>
      <w:tblPr>
        <w:tblW w:w="4573" w:type="dxa"/>
        <w:tblCellMar>
          <w:left w:w="70" w:type="dxa"/>
          <w:right w:w="70" w:type="dxa"/>
        </w:tblCellMar>
        <w:tblLook w:val="04A0" w:firstRow="1" w:lastRow="0" w:firstColumn="1" w:lastColumn="0" w:noHBand="0" w:noVBand="1"/>
      </w:tblPr>
      <w:tblGrid>
        <w:gridCol w:w="1906"/>
        <w:gridCol w:w="148"/>
        <w:gridCol w:w="1163"/>
        <w:gridCol w:w="148"/>
        <w:gridCol w:w="12"/>
        <w:gridCol w:w="1196"/>
      </w:tblGrid>
      <w:tr w:rsidR="00F46C7B" w:rsidRPr="00F06F79" w:rsidTr="007C607C">
        <w:trPr>
          <w:trHeight w:val="554"/>
        </w:trPr>
        <w:tc>
          <w:tcPr>
            <w:tcW w:w="1906"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en milliers d</w:t>
            </w:r>
            <w:r w:rsidR="004572A0" w:rsidRPr="00C73365">
              <w:rPr>
                <w:rFonts w:asciiTheme="minorHAnsi" w:hAnsiTheme="minorHAnsi" w:cstheme="minorHAnsi"/>
                <w:color w:val="000000"/>
                <w:szCs w:val="20"/>
                <w:lang w:val="fr-FR" w:eastAsia="fr-FR"/>
              </w:rPr>
              <w:t>’</w:t>
            </w:r>
            <w:r w:rsidRPr="00C73365">
              <w:rPr>
                <w:rFonts w:asciiTheme="minorHAnsi" w:hAnsiTheme="minorHAnsi" w:cstheme="minorHAnsi"/>
                <w:color w:val="000000"/>
                <w:szCs w:val="20"/>
                <w:lang w:val="fr-FR" w:eastAsia="fr-FR"/>
              </w:rPr>
              <w:t>euros</w:t>
            </w:r>
          </w:p>
        </w:tc>
        <w:tc>
          <w:tcPr>
            <w:tcW w:w="148"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163"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Entreprises liées</w:t>
            </w:r>
          </w:p>
        </w:tc>
        <w:tc>
          <w:tcPr>
            <w:tcW w:w="148" w:type="dxa"/>
            <w:tcBorders>
              <w:top w:val="nil"/>
              <w:left w:val="nil"/>
              <w:bottom w:val="nil"/>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208" w:type="dxa"/>
            <w:gridSpan w:val="2"/>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Entreprises avec un lien de participation</w:t>
            </w:r>
          </w:p>
        </w:tc>
      </w:tr>
      <w:tr w:rsidR="00F46C7B" w:rsidRPr="00C73365" w:rsidTr="007C607C">
        <w:trPr>
          <w:trHeight w:val="244"/>
        </w:trPr>
        <w:tc>
          <w:tcPr>
            <w:tcW w:w="190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Total Immobilisations</w:t>
            </w:r>
          </w:p>
        </w:tc>
        <w:tc>
          <w:tcPr>
            <w:tcW w:w="148"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7030A0"/>
                <w:szCs w:val="20"/>
                <w:lang w:val="fr-FR" w:eastAsia="fr-FR"/>
              </w:rPr>
            </w:pPr>
          </w:p>
        </w:tc>
        <w:tc>
          <w:tcPr>
            <w:tcW w:w="116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385623" w:themeColor="accent6" w:themeShade="80"/>
              </w:rPr>
              <w:t> </w:t>
            </w:r>
          </w:p>
        </w:tc>
        <w:tc>
          <w:tcPr>
            <w:tcW w:w="160" w:type="dxa"/>
            <w:gridSpan w:val="2"/>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p>
        </w:tc>
        <w:tc>
          <w:tcPr>
            <w:tcW w:w="119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ind w:left="-447" w:firstLine="447"/>
              <w:jc w:val="right"/>
              <w:rPr>
                <w:rFonts w:asciiTheme="minorHAnsi" w:hAnsiTheme="minorHAnsi" w:cstheme="minorHAnsi"/>
                <w:color w:val="7030A0"/>
                <w:szCs w:val="20"/>
                <w:lang w:val="fr-FR" w:eastAsia="fr-FR"/>
              </w:rPr>
            </w:pPr>
            <w:r w:rsidRPr="00C73365">
              <w:rPr>
                <w:rFonts w:asciiTheme="minorHAnsi" w:hAnsiTheme="minorHAnsi" w:cstheme="minorHAnsi"/>
                <w:color w:val="385623" w:themeColor="accent6" w:themeShade="80"/>
              </w:rPr>
              <w:t> </w:t>
            </w:r>
          </w:p>
        </w:tc>
      </w:tr>
      <w:tr w:rsidR="00F46C7B" w:rsidRPr="00C73365" w:rsidTr="007C607C">
        <w:trPr>
          <w:trHeight w:val="244"/>
        </w:trPr>
        <w:tc>
          <w:tcPr>
            <w:tcW w:w="190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000000"/>
                <w:szCs w:val="20"/>
                <w:lang w:val="fr-FR"/>
              </w:rPr>
              <w:t>Avances et acomptes versés sur commandes</w:t>
            </w:r>
          </w:p>
        </w:tc>
        <w:tc>
          <w:tcPr>
            <w:tcW w:w="148"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7030A0"/>
                <w:szCs w:val="20"/>
                <w:lang w:val="fr-FR" w:eastAsia="fr-FR"/>
              </w:rPr>
            </w:pPr>
          </w:p>
        </w:tc>
        <w:tc>
          <w:tcPr>
            <w:tcW w:w="116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000000"/>
              </w:rPr>
              <w:t>0</w:t>
            </w:r>
          </w:p>
        </w:tc>
        <w:tc>
          <w:tcPr>
            <w:tcW w:w="160" w:type="dxa"/>
            <w:gridSpan w:val="2"/>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p>
        </w:tc>
        <w:tc>
          <w:tcPr>
            <w:tcW w:w="119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ind w:left="-447" w:firstLine="447"/>
              <w:jc w:val="right"/>
              <w:rPr>
                <w:rFonts w:asciiTheme="minorHAnsi" w:hAnsiTheme="minorHAnsi" w:cstheme="minorHAnsi"/>
                <w:color w:val="7030A0"/>
                <w:szCs w:val="20"/>
                <w:lang w:val="fr-FR" w:eastAsia="fr-FR"/>
              </w:rPr>
            </w:pPr>
            <w:r w:rsidRPr="00C73365">
              <w:rPr>
                <w:rFonts w:asciiTheme="minorHAnsi" w:hAnsiTheme="minorHAnsi" w:cstheme="minorHAnsi"/>
                <w:color w:val="000000"/>
              </w:rPr>
              <w:t> </w:t>
            </w:r>
          </w:p>
        </w:tc>
      </w:tr>
      <w:tr w:rsidR="00F46C7B" w:rsidRPr="00C73365" w:rsidTr="007C607C">
        <w:trPr>
          <w:trHeight w:val="244"/>
        </w:trPr>
        <w:tc>
          <w:tcPr>
            <w:tcW w:w="1906" w:type="dxa"/>
            <w:tcBorders>
              <w:top w:val="nil"/>
              <w:left w:val="nil"/>
              <w:bottom w:val="single" w:sz="8" w:space="0" w:color="7030A0"/>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7030A0"/>
                <w:szCs w:val="20"/>
                <w:lang w:val="fr-FR" w:eastAsia="fr-FR"/>
              </w:rPr>
            </w:pPr>
            <w:r w:rsidRPr="00C73365">
              <w:rPr>
                <w:rFonts w:asciiTheme="minorHAnsi" w:hAnsiTheme="minorHAnsi" w:cstheme="minorHAnsi"/>
                <w:color w:val="7030A0"/>
                <w:szCs w:val="20"/>
              </w:rPr>
              <w:t>Total Créances</w:t>
            </w:r>
          </w:p>
        </w:tc>
        <w:tc>
          <w:tcPr>
            <w:tcW w:w="148" w:type="dxa"/>
            <w:tcBorders>
              <w:top w:val="nil"/>
              <w:left w:val="nil"/>
              <w:right w:val="nil"/>
            </w:tcBorders>
            <w:shd w:val="clear" w:color="auto" w:fill="auto"/>
            <w:noWrap/>
            <w:vAlign w:val="center"/>
            <w:hideMark/>
          </w:tcPr>
          <w:p w:rsidR="00F46C7B" w:rsidRPr="00C73365" w:rsidRDefault="00F46C7B" w:rsidP="00A96CCA">
            <w:pPr>
              <w:spacing w:after="0"/>
              <w:rPr>
                <w:rFonts w:asciiTheme="minorHAnsi" w:hAnsiTheme="minorHAnsi" w:cstheme="minorHAnsi"/>
                <w:color w:val="7030A0"/>
                <w:szCs w:val="20"/>
                <w:lang w:val="fr-FR" w:eastAsia="fr-FR"/>
              </w:rPr>
            </w:pPr>
          </w:p>
        </w:tc>
        <w:tc>
          <w:tcPr>
            <w:tcW w:w="116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r w:rsidRPr="00C73365">
              <w:rPr>
                <w:rFonts w:asciiTheme="minorHAnsi" w:hAnsiTheme="minorHAnsi" w:cstheme="minorHAnsi"/>
                <w:color w:val="7030A0"/>
              </w:rPr>
              <w:t>0</w:t>
            </w:r>
          </w:p>
        </w:tc>
        <w:tc>
          <w:tcPr>
            <w:tcW w:w="160" w:type="dxa"/>
            <w:gridSpan w:val="2"/>
            <w:tcBorders>
              <w:top w:val="nil"/>
              <w:left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7030A0"/>
                <w:szCs w:val="20"/>
                <w:lang w:val="fr-FR" w:eastAsia="fr-FR"/>
              </w:rPr>
            </w:pPr>
          </w:p>
        </w:tc>
        <w:tc>
          <w:tcPr>
            <w:tcW w:w="119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ind w:left="-447" w:firstLine="447"/>
              <w:rPr>
                <w:rFonts w:asciiTheme="minorHAnsi" w:hAnsiTheme="minorHAnsi" w:cstheme="minorHAnsi"/>
                <w:color w:val="000000"/>
                <w:szCs w:val="20"/>
                <w:lang w:val="fr-FR" w:eastAsia="fr-FR"/>
              </w:rPr>
            </w:pPr>
            <w:r w:rsidRPr="00C73365">
              <w:rPr>
                <w:rFonts w:asciiTheme="minorHAnsi" w:hAnsiTheme="minorHAnsi" w:cstheme="minorHAnsi"/>
                <w:color w:val="385623" w:themeColor="accent6" w:themeShade="80"/>
              </w:rPr>
              <w:t> </w:t>
            </w:r>
          </w:p>
        </w:tc>
      </w:tr>
      <w:tr w:rsidR="00F46C7B" w:rsidRPr="00C73365" w:rsidTr="007C607C">
        <w:trPr>
          <w:trHeight w:val="322"/>
        </w:trPr>
        <w:tc>
          <w:tcPr>
            <w:tcW w:w="190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color w:val="000000"/>
                <w:szCs w:val="20"/>
                <w:lang w:val="fr-FR"/>
              </w:rPr>
              <w:t>Dettes fournisseurs et comptes rattachés</w:t>
            </w:r>
          </w:p>
        </w:tc>
        <w:tc>
          <w:tcPr>
            <w:tcW w:w="148" w:type="dxa"/>
            <w:tcBorders>
              <w:top w:val="nil"/>
              <w:left w:val="nil"/>
              <w:right w:val="nil"/>
            </w:tcBorders>
            <w:shd w:val="clear" w:color="auto" w:fill="auto"/>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p>
        </w:tc>
        <w:tc>
          <w:tcPr>
            <w:tcW w:w="116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Cs/>
                <w:color w:val="000000" w:themeColor="text1"/>
              </w:rPr>
              <w:t>0</w:t>
            </w:r>
          </w:p>
        </w:tc>
        <w:tc>
          <w:tcPr>
            <w:tcW w:w="160" w:type="dxa"/>
            <w:gridSpan w:val="2"/>
            <w:tcBorders>
              <w:top w:val="nil"/>
              <w:left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p>
        </w:tc>
        <w:tc>
          <w:tcPr>
            <w:tcW w:w="119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ind w:left="-447" w:firstLine="447"/>
              <w:jc w:val="right"/>
              <w:rPr>
                <w:rFonts w:asciiTheme="minorHAnsi" w:hAnsiTheme="minorHAnsi" w:cstheme="minorHAnsi"/>
                <w:b/>
                <w:bCs/>
                <w:color w:val="7030A0"/>
                <w:szCs w:val="20"/>
                <w:lang w:val="fr-FR" w:eastAsia="fr-FR"/>
              </w:rPr>
            </w:pPr>
          </w:p>
        </w:tc>
      </w:tr>
      <w:tr w:rsidR="00F46C7B" w:rsidRPr="00C73365" w:rsidTr="007C607C">
        <w:trPr>
          <w:trHeight w:val="322"/>
        </w:trPr>
        <w:tc>
          <w:tcPr>
            <w:tcW w:w="1906" w:type="dxa"/>
            <w:tcBorders>
              <w:top w:val="single" w:sz="8" w:space="0" w:color="7030A0"/>
              <w:left w:val="nil"/>
              <w:bottom w:val="single" w:sz="8" w:space="0" w:color="7030A0"/>
              <w:right w:val="nil"/>
            </w:tcBorders>
            <w:shd w:val="clear" w:color="auto" w:fill="auto"/>
            <w:vAlign w:val="center"/>
          </w:tcPr>
          <w:p w:rsidR="00F46C7B" w:rsidRPr="00C73365" w:rsidRDefault="00F46C7B" w:rsidP="00A96CCA">
            <w:pPr>
              <w:spacing w:after="0"/>
              <w:rPr>
                <w:rFonts w:asciiTheme="minorHAnsi" w:hAnsiTheme="minorHAnsi" w:cstheme="minorHAnsi"/>
                <w:color w:val="000000"/>
                <w:szCs w:val="20"/>
              </w:rPr>
            </w:pPr>
            <w:r w:rsidRPr="00C73365">
              <w:rPr>
                <w:rFonts w:asciiTheme="minorHAnsi" w:hAnsiTheme="minorHAnsi" w:cstheme="minorHAnsi"/>
                <w:color w:val="7030A0"/>
                <w:szCs w:val="20"/>
              </w:rPr>
              <w:t>Total Dettes</w:t>
            </w:r>
          </w:p>
        </w:tc>
        <w:tc>
          <w:tcPr>
            <w:tcW w:w="148" w:type="dxa"/>
            <w:tcBorders>
              <w:left w:val="nil"/>
              <w:right w:val="nil"/>
            </w:tcBorders>
            <w:shd w:val="clear" w:color="auto" w:fill="auto"/>
            <w:vAlign w:val="center"/>
          </w:tcPr>
          <w:p w:rsidR="00F46C7B" w:rsidRPr="00C73365" w:rsidRDefault="00F46C7B" w:rsidP="00A96CCA">
            <w:pPr>
              <w:spacing w:after="0"/>
              <w:rPr>
                <w:rFonts w:asciiTheme="minorHAnsi" w:hAnsiTheme="minorHAnsi" w:cstheme="minorHAnsi"/>
                <w:b/>
                <w:bCs/>
                <w:color w:val="7030A0"/>
                <w:szCs w:val="20"/>
                <w:lang w:val="fr-FR" w:eastAsia="fr-FR"/>
              </w:rPr>
            </w:pPr>
          </w:p>
        </w:tc>
        <w:tc>
          <w:tcPr>
            <w:tcW w:w="1163" w:type="dxa"/>
            <w:tcBorders>
              <w:top w:val="single" w:sz="8" w:space="0" w:color="7030A0"/>
              <w:left w:val="nil"/>
              <w:bottom w:val="single" w:sz="8" w:space="0" w:color="7030A0"/>
              <w:right w:val="nil"/>
            </w:tcBorders>
            <w:shd w:val="clear" w:color="auto" w:fill="auto"/>
            <w:vAlign w:val="center"/>
          </w:tcPr>
          <w:p w:rsidR="00F46C7B" w:rsidRPr="00C73365" w:rsidRDefault="00F46C7B" w:rsidP="00A96CCA">
            <w:pPr>
              <w:spacing w:after="0"/>
              <w:jc w:val="right"/>
              <w:rPr>
                <w:rFonts w:asciiTheme="minorHAnsi" w:hAnsiTheme="minorHAnsi" w:cstheme="minorHAnsi"/>
                <w:bCs/>
                <w:color w:val="000000" w:themeColor="text1"/>
              </w:rPr>
            </w:pPr>
            <w:r w:rsidRPr="00C73365">
              <w:rPr>
                <w:rFonts w:asciiTheme="minorHAnsi" w:hAnsiTheme="minorHAnsi" w:cstheme="minorHAnsi"/>
                <w:color w:val="7030A0"/>
              </w:rPr>
              <w:t>0</w:t>
            </w:r>
          </w:p>
        </w:tc>
        <w:tc>
          <w:tcPr>
            <w:tcW w:w="160" w:type="dxa"/>
            <w:gridSpan w:val="2"/>
            <w:tcBorders>
              <w:left w:val="nil"/>
              <w:right w:val="nil"/>
            </w:tcBorders>
            <w:shd w:val="clear" w:color="auto" w:fill="auto"/>
            <w:vAlign w:val="center"/>
          </w:tcPr>
          <w:p w:rsidR="00F46C7B" w:rsidRPr="00C73365" w:rsidRDefault="00F46C7B" w:rsidP="00A96CCA">
            <w:pPr>
              <w:spacing w:after="0"/>
              <w:jc w:val="right"/>
              <w:rPr>
                <w:rFonts w:asciiTheme="minorHAnsi" w:hAnsiTheme="minorHAnsi" w:cstheme="minorHAnsi"/>
                <w:b/>
                <w:bCs/>
                <w:color w:val="7030A0"/>
                <w:szCs w:val="20"/>
                <w:lang w:val="fr-FR" w:eastAsia="fr-FR"/>
              </w:rPr>
            </w:pPr>
          </w:p>
        </w:tc>
        <w:tc>
          <w:tcPr>
            <w:tcW w:w="1196" w:type="dxa"/>
            <w:tcBorders>
              <w:top w:val="single" w:sz="8" w:space="0" w:color="7030A0"/>
              <w:left w:val="nil"/>
              <w:bottom w:val="single" w:sz="8" w:space="0" w:color="7030A0"/>
              <w:right w:val="nil"/>
            </w:tcBorders>
            <w:shd w:val="clear" w:color="auto" w:fill="auto"/>
            <w:vAlign w:val="center"/>
          </w:tcPr>
          <w:p w:rsidR="00F46C7B" w:rsidRPr="00C73365" w:rsidRDefault="00F46C7B" w:rsidP="00A96CCA">
            <w:pPr>
              <w:spacing w:after="0"/>
              <w:ind w:left="-447" w:firstLine="447"/>
              <w:jc w:val="right"/>
              <w:rPr>
                <w:rFonts w:asciiTheme="minorHAnsi" w:hAnsiTheme="minorHAnsi" w:cstheme="minorHAnsi"/>
                <w:b/>
                <w:bCs/>
                <w:color w:val="7030A0"/>
                <w:szCs w:val="20"/>
                <w:lang w:val="fr-FR" w:eastAsia="fr-FR"/>
              </w:rPr>
            </w:pPr>
            <w:r w:rsidRPr="00C73365">
              <w:rPr>
                <w:rFonts w:asciiTheme="minorHAnsi" w:hAnsiTheme="minorHAnsi" w:cstheme="minorHAnsi"/>
                <w:color w:val="385623" w:themeColor="accent6" w:themeShade="80"/>
              </w:rPr>
              <w:t> </w:t>
            </w:r>
          </w:p>
        </w:tc>
      </w:tr>
    </w:tbl>
    <w:p w:rsidR="00CD558B" w:rsidRPr="00C73365" w:rsidRDefault="00CD558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br w:type="column"/>
      </w:r>
      <w:r w:rsidRPr="00C73365">
        <w:rPr>
          <w:rFonts w:asciiTheme="minorHAnsi" w:eastAsia="MS Mincho" w:hAnsiTheme="minorHAnsi" w:cstheme="minorHAnsi"/>
          <w:lang w:val="fr-FR" w:eastAsia="fr-FR"/>
        </w:rPr>
        <w:t>Relations avec les entreprises liées : NEANT</w:t>
      </w:r>
      <w:r w:rsidR="00C73492"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Charges et produits financiers concernant les entreprises liées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Montant compris dans les charges financières : </w:t>
      </w:r>
      <w:r w:rsidR="00C73492" w:rsidRPr="00C73365">
        <w:rPr>
          <w:rFonts w:asciiTheme="minorHAnsi" w:eastAsia="MS Mincho" w:hAnsiTheme="minorHAnsi" w:cstheme="minorHAnsi"/>
          <w:lang w:val="fr-FR" w:eastAsia="fr-FR"/>
        </w:rPr>
        <w:t>NEANT</w:t>
      </w:r>
      <w:r w:rsidRPr="00C73365">
        <w:rPr>
          <w:rFonts w:asciiTheme="minorHAnsi" w:eastAsia="MS Mincho" w:hAnsiTheme="minorHAnsi" w:cstheme="minorHAnsi"/>
          <w:lang w:val="fr-FR" w:eastAsia="fr-FR"/>
        </w:rPr>
        <w:t>.</w:t>
      </w:r>
    </w:p>
    <w:p w:rsidR="00F46C7B" w:rsidRPr="00C73365" w:rsidRDefault="00F46C7B" w:rsidP="00A96CCA">
      <w:pPr>
        <w:spacing w:after="0"/>
        <w:rPr>
          <w:rFonts w:asciiTheme="minorHAnsi" w:eastAsia="MS Mincho" w:hAnsiTheme="minorHAnsi" w:cstheme="minorHAnsi"/>
          <w:szCs w:val="20"/>
          <w:highlight w:val="lightGray"/>
          <w:lang w:val="fr-FR" w:eastAsia="fr-FR"/>
        </w:rPr>
      </w:pPr>
      <w:r w:rsidRPr="00C73365">
        <w:rPr>
          <w:rFonts w:asciiTheme="minorHAnsi" w:eastAsia="MS Mincho" w:hAnsiTheme="minorHAnsi" w:cstheme="minorHAnsi"/>
          <w:szCs w:val="20"/>
          <w:highlight w:val="lightGray"/>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13 – ENGAGEMENTS FINANCIERS</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Engagements donnés</w:t>
      </w:r>
    </w:p>
    <w:tbl>
      <w:tblPr>
        <w:tblW w:w="4540" w:type="dxa"/>
        <w:tblLook w:val="04A0" w:firstRow="1" w:lastRow="0" w:firstColumn="1" w:lastColumn="0" w:noHBand="0" w:noVBand="1"/>
      </w:tblPr>
      <w:tblGrid>
        <w:gridCol w:w="3300"/>
        <w:gridCol w:w="1240"/>
      </w:tblGrid>
      <w:tr w:rsidR="00585AFB" w:rsidRPr="00C73365" w:rsidTr="00585AFB">
        <w:trPr>
          <w:trHeight w:val="501"/>
        </w:trPr>
        <w:tc>
          <w:tcPr>
            <w:tcW w:w="3300" w:type="dxa"/>
            <w:tcBorders>
              <w:top w:val="single" w:sz="12" w:space="0" w:color="7030A0"/>
              <w:left w:val="nil"/>
              <w:bottom w:val="single" w:sz="8" w:space="0" w:color="7030A0"/>
              <w:right w:val="nil"/>
            </w:tcBorders>
            <w:shd w:val="clear" w:color="auto" w:fill="auto"/>
            <w:vAlign w:val="center"/>
            <w:hideMark/>
          </w:tcPr>
          <w:p w:rsidR="00585AFB" w:rsidRPr="00C73365" w:rsidRDefault="00585AF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40" w:type="dxa"/>
            <w:tcBorders>
              <w:top w:val="single" w:sz="12" w:space="0" w:color="7030A0"/>
              <w:left w:val="nil"/>
              <w:bottom w:val="single" w:sz="8" w:space="0" w:color="7030A0"/>
              <w:right w:val="nil"/>
            </w:tcBorders>
            <w:shd w:val="clear" w:color="auto" w:fill="auto"/>
            <w:vAlign w:val="center"/>
            <w:hideMark/>
          </w:tcPr>
          <w:p w:rsidR="00585AFB" w:rsidRPr="00C73365" w:rsidRDefault="00585AFB" w:rsidP="00A96CCA">
            <w:pPr>
              <w:spacing w:after="0"/>
              <w:rPr>
                <w:rFonts w:asciiTheme="minorHAnsi" w:hAnsiTheme="minorHAnsi" w:cstheme="minorHAnsi"/>
                <w:color w:val="000000"/>
                <w:sz w:val="22"/>
                <w:szCs w:val="22"/>
              </w:rPr>
            </w:pPr>
            <w:r w:rsidRPr="00C73365">
              <w:rPr>
                <w:rFonts w:asciiTheme="minorHAnsi" w:hAnsiTheme="minorHAnsi" w:cstheme="minorHAnsi"/>
                <w:color w:val="000000"/>
                <w:sz w:val="22"/>
                <w:szCs w:val="22"/>
              </w:rPr>
              <w:t> </w:t>
            </w:r>
          </w:p>
        </w:tc>
      </w:tr>
      <w:tr w:rsidR="00585AFB" w:rsidRPr="00C73365" w:rsidTr="00585AFB">
        <w:trPr>
          <w:trHeight w:val="300"/>
        </w:trPr>
        <w:tc>
          <w:tcPr>
            <w:tcW w:w="3300" w:type="dxa"/>
            <w:tcBorders>
              <w:top w:val="nil"/>
              <w:left w:val="nil"/>
              <w:bottom w:val="nil"/>
              <w:right w:val="nil"/>
            </w:tcBorders>
            <w:shd w:val="clear" w:color="auto" w:fill="auto"/>
            <w:vAlign w:val="center"/>
            <w:hideMark/>
          </w:tcPr>
          <w:p w:rsidR="00585AFB" w:rsidRPr="00C73365" w:rsidRDefault="00585AF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Engagement en matière de pensions</w:t>
            </w:r>
          </w:p>
        </w:tc>
        <w:tc>
          <w:tcPr>
            <w:tcW w:w="1240" w:type="dxa"/>
            <w:tcBorders>
              <w:top w:val="nil"/>
              <w:left w:val="nil"/>
              <w:bottom w:val="nil"/>
              <w:right w:val="nil"/>
            </w:tcBorders>
            <w:shd w:val="clear" w:color="auto" w:fill="auto"/>
            <w:vAlign w:val="center"/>
            <w:hideMark/>
          </w:tcPr>
          <w:p w:rsidR="00585AFB" w:rsidRPr="00C73365" w:rsidRDefault="00585AF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270</w:t>
            </w:r>
          </w:p>
        </w:tc>
      </w:tr>
      <w:tr w:rsidR="00585AFB" w:rsidRPr="00C73365" w:rsidTr="00585AFB">
        <w:trPr>
          <w:trHeight w:val="288"/>
        </w:trPr>
        <w:tc>
          <w:tcPr>
            <w:tcW w:w="3300" w:type="dxa"/>
            <w:tcBorders>
              <w:top w:val="nil"/>
              <w:left w:val="nil"/>
              <w:bottom w:val="nil"/>
              <w:right w:val="nil"/>
            </w:tcBorders>
            <w:shd w:val="clear" w:color="auto" w:fill="auto"/>
            <w:vAlign w:val="center"/>
            <w:hideMark/>
          </w:tcPr>
          <w:p w:rsidR="00585AFB" w:rsidRPr="00C73365" w:rsidRDefault="00585AFB"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Engagement de crédit-bail mobilier</w:t>
            </w:r>
          </w:p>
        </w:tc>
        <w:tc>
          <w:tcPr>
            <w:tcW w:w="1240" w:type="dxa"/>
            <w:tcBorders>
              <w:top w:val="nil"/>
              <w:left w:val="nil"/>
              <w:bottom w:val="nil"/>
              <w:right w:val="nil"/>
            </w:tcBorders>
            <w:shd w:val="clear" w:color="auto" w:fill="auto"/>
            <w:vAlign w:val="center"/>
            <w:hideMark/>
          </w:tcPr>
          <w:p w:rsidR="00585AFB" w:rsidRPr="00C73365" w:rsidRDefault="00585AF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35</w:t>
            </w:r>
          </w:p>
        </w:tc>
      </w:tr>
      <w:tr w:rsidR="00585AFB" w:rsidRPr="00C73365" w:rsidTr="00585AFB">
        <w:trPr>
          <w:trHeight w:val="300"/>
        </w:trPr>
        <w:tc>
          <w:tcPr>
            <w:tcW w:w="3300" w:type="dxa"/>
            <w:tcBorders>
              <w:top w:val="nil"/>
              <w:left w:val="nil"/>
              <w:bottom w:val="nil"/>
              <w:right w:val="nil"/>
            </w:tcBorders>
            <w:shd w:val="clear" w:color="auto" w:fill="auto"/>
            <w:vAlign w:val="center"/>
            <w:hideMark/>
          </w:tcPr>
          <w:p w:rsidR="00585AFB" w:rsidRPr="00C73365" w:rsidRDefault="00585AFB" w:rsidP="00A96CCA">
            <w:pPr>
              <w:spacing w:after="0"/>
              <w:rPr>
                <w:rFonts w:asciiTheme="minorHAnsi" w:hAnsiTheme="minorHAnsi" w:cstheme="minorHAnsi"/>
                <w:i/>
                <w:iCs/>
                <w:color w:val="000000"/>
                <w:szCs w:val="20"/>
              </w:rPr>
            </w:pPr>
            <w:r w:rsidRPr="00C73365">
              <w:rPr>
                <w:rFonts w:asciiTheme="minorHAnsi" w:hAnsiTheme="minorHAnsi" w:cstheme="minorHAnsi"/>
                <w:i/>
                <w:iCs/>
                <w:color w:val="000000"/>
                <w:szCs w:val="20"/>
              </w:rPr>
              <w:t>Commandes fermes</w:t>
            </w:r>
          </w:p>
        </w:tc>
        <w:tc>
          <w:tcPr>
            <w:tcW w:w="1240" w:type="dxa"/>
            <w:tcBorders>
              <w:top w:val="nil"/>
              <w:left w:val="nil"/>
              <w:bottom w:val="nil"/>
              <w:right w:val="nil"/>
            </w:tcBorders>
            <w:shd w:val="clear" w:color="auto" w:fill="auto"/>
            <w:vAlign w:val="center"/>
            <w:hideMark/>
          </w:tcPr>
          <w:p w:rsidR="00585AFB" w:rsidRPr="00C73365" w:rsidRDefault="00585AF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12 624</w:t>
            </w:r>
          </w:p>
        </w:tc>
      </w:tr>
      <w:tr w:rsidR="00585AFB" w:rsidRPr="00C73365" w:rsidTr="00585AFB">
        <w:trPr>
          <w:trHeight w:val="300"/>
        </w:trPr>
        <w:tc>
          <w:tcPr>
            <w:tcW w:w="3300" w:type="dxa"/>
            <w:tcBorders>
              <w:top w:val="nil"/>
              <w:left w:val="nil"/>
              <w:bottom w:val="single" w:sz="8" w:space="0" w:color="7030A0"/>
              <w:right w:val="nil"/>
            </w:tcBorders>
            <w:shd w:val="clear" w:color="auto" w:fill="auto"/>
            <w:vAlign w:val="center"/>
            <w:hideMark/>
          </w:tcPr>
          <w:p w:rsidR="00585AFB" w:rsidRPr="00C73365" w:rsidRDefault="00585AF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engagements donnés</w:t>
            </w:r>
          </w:p>
        </w:tc>
        <w:tc>
          <w:tcPr>
            <w:tcW w:w="1240" w:type="dxa"/>
            <w:tcBorders>
              <w:top w:val="nil"/>
              <w:left w:val="nil"/>
              <w:bottom w:val="single" w:sz="8" w:space="0" w:color="7030A0"/>
              <w:right w:val="nil"/>
            </w:tcBorders>
            <w:shd w:val="clear" w:color="auto" w:fill="auto"/>
            <w:vAlign w:val="center"/>
            <w:hideMark/>
          </w:tcPr>
          <w:p w:rsidR="00585AFB" w:rsidRPr="00C73365" w:rsidRDefault="00585AF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12 624</w:t>
            </w:r>
          </w:p>
        </w:tc>
      </w:tr>
      <w:tr w:rsidR="00585AFB" w:rsidRPr="00C73365" w:rsidTr="00585AFB">
        <w:trPr>
          <w:trHeight w:val="300"/>
        </w:trPr>
        <w:tc>
          <w:tcPr>
            <w:tcW w:w="3300" w:type="dxa"/>
            <w:tcBorders>
              <w:top w:val="nil"/>
              <w:left w:val="nil"/>
              <w:bottom w:val="single" w:sz="8" w:space="0" w:color="7030A0"/>
              <w:right w:val="nil"/>
            </w:tcBorders>
            <w:shd w:val="clear" w:color="auto" w:fill="auto"/>
            <w:vAlign w:val="center"/>
            <w:hideMark/>
          </w:tcPr>
          <w:p w:rsidR="00585AFB" w:rsidRPr="00C73365" w:rsidRDefault="00585AFB"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240" w:type="dxa"/>
            <w:tcBorders>
              <w:top w:val="nil"/>
              <w:left w:val="nil"/>
              <w:bottom w:val="single" w:sz="8" w:space="0" w:color="7030A0"/>
              <w:right w:val="nil"/>
            </w:tcBorders>
            <w:shd w:val="clear" w:color="auto" w:fill="auto"/>
            <w:vAlign w:val="center"/>
            <w:hideMark/>
          </w:tcPr>
          <w:p w:rsidR="00585AFB" w:rsidRPr="00C73365" w:rsidRDefault="00585AFB"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12 929</w:t>
            </w:r>
          </w:p>
        </w:tc>
      </w:tr>
      <w:tr w:rsidR="00585AFB" w:rsidRPr="00C73365" w:rsidTr="00585AFB">
        <w:trPr>
          <w:trHeight w:val="300"/>
        </w:trPr>
        <w:tc>
          <w:tcPr>
            <w:tcW w:w="3300" w:type="dxa"/>
            <w:tcBorders>
              <w:top w:val="nil"/>
              <w:left w:val="nil"/>
              <w:bottom w:val="nil"/>
              <w:right w:val="nil"/>
            </w:tcBorders>
            <w:shd w:val="clear" w:color="auto" w:fill="auto"/>
            <w:noWrap/>
            <w:vAlign w:val="center"/>
            <w:hideMark/>
          </w:tcPr>
          <w:p w:rsidR="00585AFB" w:rsidRPr="00C73365" w:rsidRDefault="00585AF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Dont concernant:</w:t>
            </w:r>
          </w:p>
        </w:tc>
        <w:tc>
          <w:tcPr>
            <w:tcW w:w="1240" w:type="dxa"/>
            <w:tcBorders>
              <w:top w:val="nil"/>
              <w:left w:val="nil"/>
              <w:bottom w:val="nil"/>
              <w:right w:val="nil"/>
            </w:tcBorders>
            <w:shd w:val="clear" w:color="auto" w:fill="auto"/>
            <w:noWrap/>
            <w:vAlign w:val="bottom"/>
            <w:hideMark/>
          </w:tcPr>
          <w:p w:rsidR="00585AFB" w:rsidRPr="00C73365" w:rsidRDefault="00585AFB" w:rsidP="00A96CCA">
            <w:pPr>
              <w:spacing w:after="0"/>
              <w:rPr>
                <w:rFonts w:asciiTheme="minorHAnsi" w:hAnsiTheme="minorHAnsi" w:cstheme="minorHAnsi"/>
                <w:color w:val="000000"/>
                <w:szCs w:val="20"/>
              </w:rPr>
            </w:pPr>
          </w:p>
        </w:tc>
      </w:tr>
      <w:tr w:rsidR="00585AFB" w:rsidRPr="00C73365" w:rsidTr="00585AFB">
        <w:trPr>
          <w:trHeight w:val="300"/>
        </w:trPr>
        <w:tc>
          <w:tcPr>
            <w:tcW w:w="3300" w:type="dxa"/>
            <w:tcBorders>
              <w:top w:val="nil"/>
              <w:left w:val="nil"/>
              <w:bottom w:val="single" w:sz="8" w:space="0" w:color="7030A0"/>
              <w:right w:val="nil"/>
            </w:tcBorders>
            <w:shd w:val="clear" w:color="auto" w:fill="auto"/>
            <w:noWrap/>
            <w:vAlign w:val="center"/>
            <w:hideMark/>
          </w:tcPr>
          <w:p w:rsidR="00585AFB" w:rsidRPr="00C73365" w:rsidRDefault="00585AFB"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Les dirigeants</w:t>
            </w:r>
          </w:p>
        </w:tc>
        <w:tc>
          <w:tcPr>
            <w:tcW w:w="1240" w:type="dxa"/>
            <w:tcBorders>
              <w:top w:val="nil"/>
              <w:left w:val="nil"/>
              <w:bottom w:val="single" w:sz="8" w:space="0" w:color="7030A0"/>
              <w:right w:val="nil"/>
            </w:tcBorders>
            <w:shd w:val="clear" w:color="auto" w:fill="auto"/>
            <w:noWrap/>
            <w:vAlign w:val="center"/>
            <w:hideMark/>
          </w:tcPr>
          <w:p w:rsidR="00585AFB" w:rsidRPr="00C73365" w:rsidRDefault="00585AFB"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51</w:t>
            </w:r>
          </w:p>
        </w:tc>
      </w:tr>
    </w:tbl>
    <w:p w:rsidR="00F46C7B" w:rsidRPr="00C73365" w:rsidRDefault="00F46C7B" w:rsidP="00A96CCA">
      <w:pPr>
        <w:spacing w:after="0"/>
        <w:ind w:right="567"/>
        <w:rPr>
          <w:rFonts w:asciiTheme="minorHAnsi" w:eastAsia="MS Mincho" w:hAnsiTheme="minorHAnsi" w:cstheme="minorHAnsi"/>
          <w:b/>
          <w:color w:val="7030A0"/>
          <w:szCs w:val="20"/>
          <w:lang w:val="fr-FR" w:eastAsia="fr-FR"/>
        </w:r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Engagements pris dans le cadre de contrats de licence pour l’utilisation de brevets</w:t>
      </w:r>
    </w:p>
    <w:p w:rsidR="00585AFB"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programme de développement de plusieurs des produits de la Société s’inscrit dans le cadre d’accords de licence à long terme avec des institutions académiques et des centres de recherche pour développer ses plateformes technologiques, ainsi qu’avec des partenaires propriétaires de brevets pour compléter le portefeuille de candidats-médicaments. </w:t>
      </w:r>
    </w:p>
    <w:p w:rsidR="00585AFB"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Ces accords comportent des engagements financiers significatifs fixes et variables. Les engagements consistant en des versements forfaitaires fixes sont conditionnés au franchissement de diverses étapes clé précisées contractuellement. La charge correspondante sera enregistrée en comptabilité une fois toutes les conditions contractuelles remplies. Les engagements variables consistent en des versements futurs de redevances calculées sur la base des revenus qui seront dégagés lors de la commercialisation des produits développés ou lors de la concession de sous-licences à des tiers.</w:t>
      </w:r>
    </w:p>
    <w:p w:rsidR="00585AFB"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principaux accords de licence concernant des produits portefeuille sont les suivants : </w:t>
      </w:r>
    </w:p>
    <w:p w:rsidR="00585AFB"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Une plateforme « Antivirale », basée sur des technologies mises au point conjointement avec le CNRS (Montpellier-France) et l’Institut Curie (Orsay-France). Cette plateforme a généré une chimiothèque de plus de 1 000 petites molécules conçues pour bloquer les mécanismes de réplication virale grâce à un mode d’action entièrement nouveau, comme la modulation de l’épissage de l’ARN. En plus d’ABX464 qui inhibe la réplication du VIH, cette plateforme a généré différentes molécules ciblant d’autres virus comme la dengue qui se trouve à l’heure actuelle au stade final d’identification</w:t>
      </w:r>
    </w:p>
    <w:p w:rsidR="00585AFB"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Une plateforme « Stimulation Immunitaire » fondée sur une propriété intellectuelle licenciée auprès du Scripps Research Institute (La Jolla, Etats-Unis). Elle s’intéresse à des composés agonistes des « iNKT » qui ont montré qu’ils stimulaient la réponse immunitaire à la fois au </w:t>
      </w:r>
      <w:r w:rsidRPr="00C73365">
        <w:rPr>
          <w:rFonts w:asciiTheme="minorHAnsi" w:eastAsia="MS Mincho" w:hAnsiTheme="minorHAnsi" w:cstheme="minorHAnsi"/>
          <w:lang w:val="fr-FR" w:eastAsia="fr-FR"/>
        </w:rPr>
        <w:t>niveau humoral et cellulaire, et qui ont potentiellement des applications cliniques en oncologie et dans le domaine des maladies infectieuses (ABX196).</w:t>
      </w:r>
    </w:p>
    <w:p w:rsidR="00585AFB"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Des données précliniques positives ont été obtenues auprès de modèles animaux dans plusieurs types de cancers dont le carcinome hépatocellulaire et le cancer de la vessie, avec le composé immunostimulant, ABX196, qui a démontré sa capacité à transformer les tumeurs non-répondants aux inhibiteurs de points de contrôle (checkpoint inhibitors) en tumeurs répondantes. Puisqu’</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n’envisage pas de poursuivre son développement en oncologie, la société cherche actuellement un partenaire extérieur pour le développement de cette molécule.</w:t>
      </w:r>
    </w:p>
    <w:p w:rsidR="00585AFB"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Depuis 2013,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a établi un partenariat avec le Centre d’Ingénierie en Génétique et Biotechnologie (CIGB) de Cuba, avec lequel elle codéveloppe </w:t>
      </w:r>
      <w:r w:rsidR="00E32CFE" w:rsidRPr="00C73365">
        <w:rPr>
          <w:rFonts w:asciiTheme="minorHAnsi" w:eastAsia="MS Mincho" w:hAnsiTheme="minorHAnsi" w:cstheme="minorHAnsi"/>
          <w:lang w:val="fr-FR" w:eastAsia="fr-FR"/>
        </w:rPr>
        <w:t>ABX203</w:t>
      </w:r>
      <w:r w:rsidRPr="00C73365">
        <w:rPr>
          <w:rFonts w:asciiTheme="minorHAnsi" w:eastAsia="MS Mincho" w:hAnsiTheme="minorHAnsi" w:cstheme="minorHAnsi"/>
          <w:lang w:val="fr-FR" w:eastAsia="fr-FR"/>
        </w:rPr>
        <w:t>, candidat médicament contre l’Hépatite B Chronique, dont le développement est suspendu depuis le 2</w:t>
      </w:r>
      <w:r w:rsidRPr="00C73365">
        <w:rPr>
          <w:rFonts w:asciiTheme="minorHAnsi" w:eastAsia="MS Mincho" w:hAnsiTheme="minorHAnsi" w:cstheme="minorHAnsi"/>
          <w:vertAlign w:val="superscript"/>
          <w:lang w:val="fr-FR" w:eastAsia="fr-FR"/>
        </w:rPr>
        <w:t>nd</w:t>
      </w:r>
      <w:r w:rsidRPr="00C73365">
        <w:rPr>
          <w:rFonts w:asciiTheme="minorHAnsi" w:eastAsia="MS Mincho" w:hAnsiTheme="minorHAnsi" w:cstheme="minorHAnsi"/>
          <w:lang w:val="fr-FR" w:eastAsia="fr-FR"/>
        </w:rPr>
        <w:t xml:space="preserve"> semestre 2016.</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Commandes fermes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Pour conduire ses programmes de développement, la Société est fréquemment amenée à conclure des accords de collaboration avec des partenaires ou des sous-traitants, publics et privés. Du fait de la durée des programmes, ces accords peuvent être pluriannuels et comporter des engagements financiers significatifs.</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 montant des commandes engagées mais non livrées (et donc non comptabilisées en factures à recevoir ou en fournisseurs) a été estimé à </w:t>
      </w:r>
      <w:r w:rsidR="00585AFB" w:rsidRPr="00C73365">
        <w:rPr>
          <w:rFonts w:asciiTheme="minorHAnsi" w:eastAsia="MS Mincho" w:hAnsiTheme="minorHAnsi" w:cstheme="minorHAnsi"/>
          <w:lang w:val="fr-FR" w:eastAsia="fr-FR"/>
        </w:rPr>
        <w:t>1</w:t>
      </w:r>
      <w:r w:rsidR="00C73492" w:rsidRPr="00C73365">
        <w:rPr>
          <w:rFonts w:asciiTheme="minorHAnsi" w:eastAsia="MS Mincho" w:hAnsiTheme="minorHAnsi" w:cstheme="minorHAnsi"/>
          <w:lang w:val="fr-FR" w:eastAsia="fr-FR"/>
        </w:rPr>
        <w:t>2</w:t>
      </w:r>
      <w:r w:rsidR="00585AFB" w:rsidRPr="00C73365">
        <w:rPr>
          <w:rFonts w:asciiTheme="minorHAnsi" w:eastAsia="MS Mincho" w:hAnsiTheme="minorHAnsi" w:cstheme="minorHAnsi"/>
          <w:lang w:val="fr-FR" w:eastAsia="fr-FR"/>
        </w:rPr>
        <w:t xml:space="preserve"> 624</w:t>
      </w:r>
      <w:r w:rsidRPr="00C73365">
        <w:rPr>
          <w:rFonts w:asciiTheme="minorHAnsi" w:eastAsia="MS Mincho" w:hAnsiTheme="minorHAnsi" w:cstheme="minorHAnsi"/>
          <w:lang w:val="fr-FR" w:eastAsia="fr-FR"/>
        </w:rPr>
        <w:t xml:space="preserve">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xml:space="preserve"> au 3</w:t>
      </w:r>
      <w:r w:rsidR="00984B04" w:rsidRPr="00C73365">
        <w:rPr>
          <w:rFonts w:asciiTheme="minorHAnsi" w:eastAsia="MS Mincho" w:hAnsiTheme="minorHAnsi" w:cstheme="minorHAnsi"/>
          <w:lang w:val="fr-FR" w:eastAsia="fr-FR"/>
        </w:rPr>
        <w:t>1</w:t>
      </w:r>
      <w:r w:rsidRPr="00C73365">
        <w:rPr>
          <w:rFonts w:asciiTheme="minorHAnsi" w:eastAsia="MS Mincho" w:hAnsiTheme="minorHAnsi" w:cstheme="minorHAnsi"/>
          <w:lang w:val="fr-FR" w:eastAsia="fr-FR"/>
        </w:rPr>
        <w:t xml:space="preserve"> </w:t>
      </w:r>
      <w:r w:rsidR="00984B04" w:rsidRPr="00C73365">
        <w:rPr>
          <w:rFonts w:asciiTheme="minorHAnsi" w:eastAsia="MS Mincho" w:hAnsiTheme="minorHAnsi" w:cstheme="minorHAnsi"/>
          <w:lang w:val="fr-FR" w:eastAsia="fr-FR"/>
        </w:rPr>
        <w:t xml:space="preserve">décembre </w:t>
      </w:r>
      <w:r w:rsidR="00585AFB" w:rsidRPr="00C73365">
        <w:rPr>
          <w:rFonts w:asciiTheme="minorHAnsi" w:eastAsia="MS Mincho" w:hAnsiTheme="minorHAnsi" w:cstheme="minorHAnsi"/>
          <w:lang w:val="fr-FR" w:eastAsia="fr-FR"/>
        </w:rPr>
        <w:t>2017</w:t>
      </w:r>
      <w:r w:rsidRPr="00C73365">
        <w:rPr>
          <w:rFonts w:asciiTheme="minorHAnsi" w:eastAsia="MS Mincho" w:hAnsiTheme="minorHAnsi" w:cstheme="minorHAnsi"/>
          <w:lang w:val="fr-FR" w:eastAsia="fr-FR"/>
        </w:rPr>
        <w:t xml:space="preserve">. </w:t>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Engagements reçus</w:t>
      </w:r>
    </w:p>
    <w:p w:rsidR="002D7FBE" w:rsidRPr="00C73365" w:rsidRDefault="00585AF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Dans le cadre des contrats d’aide à l’innovation « Carena » et « RNP-VIR » signés avec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xml:space="preserve">, les sommes maximales restant à recevoir par </w:t>
      </w:r>
      <w:r w:rsidR="00EF089C" w:rsidRPr="00C73365">
        <w:rPr>
          <w:rFonts w:asciiTheme="minorHAnsi" w:eastAsia="MS Mincho" w:hAnsiTheme="minorHAnsi" w:cstheme="minorHAnsi"/>
          <w:lang w:val="fr-FR" w:eastAsia="fr-FR"/>
        </w:rPr>
        <w:t>ABIVAX</w:t>
      </w:r>
      <w:r w:rsidRPr="00C73365">
        <w:rPr>
          <w:rFonts w:asciiTheme="minorHAnsi" w:eastAsia="MS Mincho" w:hAnsiTheme="minorHAnsi" w:cstheme="minorHAnsi"/>
          <w:lang w:val="fr-FR" w:eastAsia="fr-FR"/>
        </w:rPr>
        <w:t xml:space="preserve"> postérieurement au 31 décembre 2017, sous réserve de justifier du montant de dépenses prévues, sont les suivantes. </w:t>
      </w:r>
    </w:p>
    <w:tbl>
      <w:tblPr>
        <w:tblW w:w="4540" w:type="dxa"/>
        <w:tblLook w:val="04A0" w:firstRow="1" w:lastRow="0" w:firstColumn="1" w:lastColumn="0" w:noHBand="0" w:noVBand="1"/>
      </w:tblPr>
      <w:tblGrid>
        <w:gridCol w:w="3300"/>
        <w:gridCol w:w="1240"/>
      </w:tblGrid>
      <w:tr w:rsidR="002D7FBE" w:rsidRPr="00C73365" w:rsidTr="002D7FBE">
        <w:trPr>
          <w:trHeight w:val="312"/>
        </w:trPr>
        <w:tc>
          <w:tcPr>
            <w:tcW w:w="3300" w:type="dxa"/>
            <w:tcBorders>
              <w:top w:val="single" w:sz="12" w:space="0" w:color="7030A0"/>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40" w:type="dxa"/>
            <w:tcBorders>
              <w:top w:val="single" w:sz="12" w:space="0" w:color="7030A0"/>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 w:val="22"/>
                <w:szCs w:val="22"/>
              </w:rPr>
            </w:pPr>
            <w:r w:rsidRPr="00C73365">
              <w:rPr>
                <w:rFonts w:asciiTheme="minorHAnsi" w:hAnsiTheme="minorHAnsi" w:cstheme="minorHAnsi"/>
                <w:color w:val="000000"/>
                <w:sz w:val="22"/>
                <w:szCs w:val="22"/>
              </w:rPr>
              <w:t> </w:t>
            </w:r>
          </w:p>
        </w:tc>
      </w:tr>
      <w:tr w:rsidR="002D7FBE" w:rsidRPr="00C73365"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i/>
                <w:iCs/>
                <w:color w:val="000000"/>
                <w:szCs w:val="20"/>
              </w:rPr>
            </w:pPr>
            <w:r w:rsidRPr="00C73365">
              <w:rPr>
                <w:rFonts w:asciiTheme="minorHAnsi" w:hAnsiTheme="minorHAnsi" w:cstheme="minorHAnsi"/>
                <w:i/>
                <w:iCs/>
                <w:color w:val="000000"/>
                <w:szCs w:val="20"/>
              </w:rPr>
              <w:t>Avance remboursable RNPVIR</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i/>
                <w:iCs/>
                <w:color w:val="000000"/>
                <w:szCs w:val="20"/>
              </w:rPr>
            </w:pPr>
            <w:r w:rsidRPr="00C73365">
              <w:rPr>
                <w:rFonts w:asciiTheme="minorHAnsi" w:hAnsiTheme="minorHAnsi" w:cstheme="minorHAnsi"/>
                <w:i/>
                <w:iCs/>
                <w:color w:val="000000"/>
                <w:szCs w:val="20"/>
              </w:rPr>
              <w:t>4 542</w:t>
            </w:r>
          </w:p>
        </w:tc>
      </w:tr>
      <w:tr w:rsidR="002D7FBE" w:rsidRPr="00C73365"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i/>
                <w:iCs/>
                <w:color w:val="000000"/>
                <w:szCs w:val="20"/>
              </w:rPr>
            </w:pPr>
            <w:r w:rsidRPr="00C73365">
              <w:rPr>
                <w:rFonts w:asciiTheme="minorHAnsi" w:hAnsiTheme="minorHAnsi" w:cstheme="minorHAnsi"/>
                <w:i/>
                <w:iCs/>
                <w:color w:val="000000"/>
                <w:szCs w:val="20"/>
              </w:rPr>
              <w:t>Avance remboursable CaReNA</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i/>
                <w:iCs/>
                <w:color w:val="000000"/>
                <w:szCs w:val="20"/>
              </w:rPr>
            </w:pPr>
            <w:r w:rsidRPr="00C73365">
              <w:rPr>
                <w:rFonts w:asciiTheme="minorHAnsi" w:hAnsiTheme="minorHAnsi" w:cstheme="minorHAnsi"/>
                <w:i/>
                <w:iCs/>
                <w:color w:val="000000"/>
                <w:szCs w:val="20"/>
              </w:rPr>
              <w:t>1 643</w:t>
            </w:r>
          </w:p>
        </w:tc>
      </w:tr>
      <w:tr w:rsidR="002D7FBE" w:rsidRPr="00C73365"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i/>
                <w:iCs/>
                <w:color w:val="000000"/>
                <w:szCs w:val="20"/>
              </w:rPr>
            </w:pPr>
            <w:r w:rsidRPr="00C73365">
              <w:rPr>
                <w:rFonts w:asciiTheme="minorHAnsi" w:hAnsiTheme="minorHAnsi" w:cstheme="minorHAnsi"/>
                <w:i/>
                <w:iCs/>
                <w:color w:val="000000"/>
                <w:szCs w:val="20"/>
              </w:rPr>
              <w:t>Subvention RNPVIR</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i/>
                <w:iCs/>
                <w:color w:val="000000"/>
                <w:szCs w:val="20"/>
              </w:rPr>
            </w:pPr>
            <w:r w:rsidRPr="00C73365">
              <w:rPr>
                <w:rFonts w:asciiTheme="minorHAnsi" w:hAnsiTheme="minorHAnsi" w:cstheme="minorHAnsi"/>
                <w:i/>
                <w:iCs/>
                <w:color w:val="000000"/>
                <w:szCs w:val="20"/>
              </w:rPr>
              <w:t>1 765</w:t>
            </w:r>
          </w:p>
        </w:tc>
      </w:tr>
      <w:tr w:rsidR="002D7FBE" w:rsidRPr="00C73365"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i/>
                <w:iCs/>
                <w:color w:val="000000"/>
                <w:szCs w:val="20"/>
              </w:rPr>
            </w:pPr>
            <w:r w:rsidRPr="00C73365">
              <w:rPr>
                <w:rFonts w:asciiTheme="minorHAnsi" w:hAnsiTheme="minorHAnsi" w:cstheme="minorHAnsi"/>
                <w:i/>
                <w:iCs/>
                <w:color w:val="000000"/>
                <w:szCs w:val="20"/>
              </w:rPr>
              <w:t>Subvention CaReNA</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i/>
                <w:iCs/>
                <w:color w:val="000000"/>
                <w:szCs w:val="20"/>
              </w:rPr>
            </w:pPr>
            <w:r w:rsidRPr="00C73365">
              <w:rPr>
                <w:rFonts w:asciiTheme="minorHAnsi" w:hAnsiTheme="minorHAnsi" w:cstheme="minorHAnsi"/>
                <w:i/>
                <w:iCs/>
                <w:color w:val="000000"/>
                <w:szCs w:val="20"/>
              </w:rPr>
              <w:t>210</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Autres engagements reçus</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3 617</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Total</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8 159</w:t>
            </w:r>
          </w:p>
        </w:tc>
      </w:tr>
      <w:tr w:rsidR="002D7FBE" w:rsidRPr="00C73365"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 xml:space="preserve">Dont concernant: </w:t>
            </w:r>
          </w:p>
        </w:tc>
        <w:tc>
          <w:tcPr>
            <w:tcW w:w="1240" w:type="dxa"/>
            <w:vMerge w:val="restart"/>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Néant</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Les dirigeants</w:t>
            </w:r>
          </w:p>
        </w:tc>
        <w:tc>
          <w:tcPr>
            <w:tcW w:w="1240" w:type="dxa"/>
            <w:vMerge/>
            <w:tcBorders>
              <w:top w:val="nil"/>
              <w:left w:val="nil"/>
              <w:bottom w:val="single" w:sz="8" w:space="0" w:color="7030A0"/>
              <w:right w:val="nil"/>
            </w:tcBorders>
            <w:vAlign w:val="center"/>
            <w:hideMark/>
          </w:tcPr>
          <w:p w:rsidR="002D7FBE" w:rsidRPr="00C73365" w:rsidRDefault="002D7FBE" w:rsidP="00A96CCA">
            <w:pPr>
              <w:spacing w:after="0"/>
              <w:rPr>
                <w:rFonts w:asciiTheme="minorHAnsi" w:hAnsiTheme="minorHAnsi" w:cstheme="minorHAnsi"/>
                <w:color w:val="000000"/>
                <w:szCs w:val="20"/>
              </w:rPr>
            </w:pPr>
          </w:p>
        </w:tc>
      </w:tr>
    </w:tbl>
    <w:p w:rsidR="00F46C7B" w:rsidRPr="00C73365" w:rsidRDefault="00F46C7B" w:rsidP="004572A0">
      <w:pPr>
        <w:pStyle w:val="BodyText"/>
        <w:rPr>
          <w:rFonts w:asciiTheme="minorHAnsi" w:hAnsiTheme="minorHAnsi" w:cstheme="minorHAnsi"/>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Crédit-Bail</w:t>
      </w:r>
    </w:p>
    <w:tbl>
      <w:tblPr>
        <w:tblW w:w="9960" w:type="dxa"/>
        <w:tblLook w:val="04A0" w:firstRow="1" w:lastRow="0" w:firstColumn="1" w:lastColumn="0" w:noHBand="0" w:noVBand="1"/>
      </w:tblPr>
      <w:tblGrid>
        <w:gridCol w:w="3300"/>
        <w:gridCol w:w="1240"/>
        <w:gridCol w:w="1282"/>
        <w:gridCol w:w="1700"/>
        <w:gridCol w:w="1240"/>
        <w:gridCol w:w="1240"/>
      </w:tblGrid>
      <w:tr w:rsidR="002D7FBE" w:rsidRPr="00C73365" w:rsidTr="002D7FBE">
        <w:trPr>
          <w:trHeight w:val="312"/>
        </w:trPr>
        <w:tc>
          <w:tcPr>
            <w:tcW w:w="3300" w:type="dxa"/>
            <w:tcBorders>
              <w:top w:val="single" w:sz="12" w:space="0" w:color="7030A0"/>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en milliers d</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euros</w:t>
            </w:r>
          </w:p>
        </w:tc>
        <w:tc>
          <w:tcPr>
            <w:tcW w:w="1240" w:type="dxa"/>
            <w:tcBorders>
              <w:top w:val="single" w:sz="12" w:space="0" w:color="7030A0"/>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Terrains</w:t>
            </w:r>
          </w:p>
        </w:tc>
        <w:tc>
          <w:tcPr>
            <w:tcW w:w="1240" w:type="dxa"/>
            <w:tcBorders>
              <w:top w:val="single" w:sz="12" w:space="0" w:color="7030A0"/>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Construction</w:t>
            </w:r>
          </w:p>
        </w:tc>
        <w:tc>
          <w:tcPr>
            <w:tcW w:w="1700" w:type="dxa"/>
            <w:tcBorders>
              <w:top w:val="single" w:sz="12" w:space="0" w:color="7030A0"/>
              <w:left w:val="nil"/>
              <w:bottom w:val="single" w:sz="8" w:space="0" w:color="7030A0"/>
              <w:right w:val="nil"/>
            </w:tcBorders>
            <w:shd w:val="clear" w:color="auto" w:fill="auto"/>
            <w:noWrap/>
            <w:vAlign w:val="center"/>
            <w:hideMark/>
          </w:tcPr>
          <w:p w:rsidR="002D7FBE" w:rsidRPr="00C73365" w:rsidRDefault="002D7FB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Matériel Outillage</w:t>
            </w:r>
          </w:p>
        </w:tc>
        <w:tc>
          <w:tcPr>
            <w:tcW w:w="1240" w:type="dxa"/>
            <w:tcBorders>
              <w:top w:val="single" w:sz="12" w:space="0" w:color="7030A0"/>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Autres</w:t>
            </w:r>
          </w:p>
        </w:tc>
        <w:tc>
          <w:tcPr>
            <w:tcW w:w="1240" w:type="dxa"/>
            <w:tcBorders>
              <w:top w:val="single" w:sz="12" w:space="0" w:color="7030A0"/>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b/>
                <w:bCs/>
                <w:color w:val="000000"/>
                <w:szCs w:val="20"/>
              </w:rPr>
            </w:pPr>
            <w:r w:rsidRPr="00C73365">
              <w:rPr>
                <w:rFonts w:asciiTheme="minorHAnsi" w:hAnsiTheme="minorHAnsi" w:cstheme="minorHAnsi"/>
                <w:b/>
                <w:bCs/>
                <w:color w:val="000000"/>
                <w:szCs w:val="20"/>
              </w:rPr>
              <w:t>Total</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Valeur d</w:t>
            </w:r>
            <w:r w:rsidR="004572A0" w:rsidRPr="00C73365">
              <w:rPr>
                <w:rFonts w:asciiTheme="minorHAnsi" w:hAnsiTheme="minorHAnsi" w:cstheme="minorHAnsi"/>
                <w:color w:val="7030A0"/>
                <w:szCs w:val="20"/>
              </w:rPr>
              <w:t>’</w:t>
            </w:r>
            <w:r w:rsidRPr="00C73365">
              <w:rPr>
                <w:rFonts w:asciiTheme="minorHAnsi" w:hAnsiTheme="minorHAnsi" w:cstheme="minorHAnsi"/>
                <w:color w:val="7030A0"/>
                <w:szCs w:val="20"/>
              </w:rPr>
              <w:t>origine</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78</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78</w:t>
            </w:r>
          </w:p>
        </w:tc>
      </w:tr>
      <w:tr w:rsidR="002D7FBE" w:rsidRPr="00C73365"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Cumul exercices antérieurs</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szCs w:val="20"/>
              </w:rPr>
            </w:pPr>
          </w:p>
        </w:tc>
        <w:tc>
          <w:tcPr>
            <w:tcW w:w="170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24</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24</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Dotations de l</w:t>
            </w:r>
            <w:r w:rsidR="004572A0" w:rsidRPr="00C73365">
              <w:rPr>
                <w:rFonts w:asciiTheme="minorHAnsi" w:hAnsiTheme="minorHAnsi" w:cstheme="minorHAnsi"/>
                <w:color w:val="000000"/>
                <w:szCs w:val="20"/>
              </w:rPr>
              <w:t>’</w:t>
            </w:r>
            <w:r w:rsidRPr="00C73365">
              <w:rPr>
                <w:rFonts w:asciiTheme="minorHAnsi" w:hAnsiTheme="minorHAnsi" w:cstheme="minorHAnsi"/>
                <w:color w:val="000000"/>
                <w:szCs w:val="20"/>
              </w:rPr>
              <w:t>exercice</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8</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Amortissements</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32</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32</w:t>
            </w:r>
          </w:p>
        </w:tc>
      </w:tr>
      <w:tr w:rsidR="002D7FBE" w:rsidRPr="00C73365"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Cumul exercices antérieurs</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szCs w:val="20"/>
              </w:rPr>
            </w:pPr>
          </w:p>
        </w:tc>
        <w:tc>
          <w:tcPr>
            <w:tcW w:w="170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29</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29</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rPr>
              <w:t>Exercice</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14</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Redevances payées</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43</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43</w:t>
            </w:r>
          </w:p>
        </w:tc>
      </w:tr>
      <w:tr w:rsidR="002D7FBE" w:rsidRPr="00C73365" w:rsidTr="002D7FBE">
        <w:trPr>
          <w:trHeight w:val="288"/>
        </w:trPr>
        <w:tc>
          <w:tcPr>
            <w:tcW w:w="3300" w:type="dxa"/>
            <w:tcBorders>
              <w:top w:val="nil"/>
              <w:left w:val="nil"/>
              <w:bottom w:val="nil"/>
              <w:right w:val="nil"/>
            </w:tcBorders>
            <w:shd w:val="clear" w:color="auto" w:fill="auto"/>
            <w:noWrap/>
            <w:vAlign w:val="center"/>
            <w:hideMark/>
          </w:tcPr>
          <w:p w:rsidR="002D7FBE" w:rsidRPr="00C73365" w:rsidRDefault="002D7FB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un an au plus</w:t>
            </w: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rPr>
                <w:rFonts w:asciiTheme="minorHAnsi" w:hAnsiTheme="minorHAnsi" w:cstheme="minorHAnsi"/>
                <w:color w:val="000000"/>
                <w:szCs w:val="20"/>
                <w:lang w:val="fr-FR"/>
              </w:rPr>
            </w:pP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rPr>
                <w:rFonts w:asciiTheme="minorHAnsi" w:hAnsiTheme="minorHAnsi" w:cstheme="minorHAnsi"/>
                <w:szCs w:val="20"/>
                <w:lang w:val="fr-FR"/>
              </w:rPr>
            </w:pPr>
          </w:p>
        </w:tc>
        <w:tc>
          <w:tcPr>
            <w:tcW w:w="170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w:t>
            </w: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jc w:val="right"/>
              <w:rPr>
                <w:rFonts w:asciiTheme="minorHAnsi" w:hAnsiTheme="minorHAnsi" w:cstheme="minorHAnsi"/>
                <w:color w:val="000000"/>
                <w:szCs w:val="20"/>
              </w:rPr>
            </w:pPr>
          </w:p>
        </w:tc>
        <w:tc>
          <w:tcPr>
            <w:tcW w:w="1240" w:type="dxa"/>
            <w:tcBorders>
              <w:top w:val="nil"/>
              <w:left w:val="nil"/>
              <w:bottom w:val="nil"/>
              <w:right w:val="nil"/>
            </w:tcBorders>
            <w:shd w:val="clear" w:color="auto" w:fill="auto"/>
            <w:noWrap/>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5</w:t>
            </w:r>
          </w:p>
        </w:tc>
      </w:tr>
      <w:tr w:rsidR="002D7FBE" w:rsidRPr="00F06F79" w:rsidTr="002D7FBE">
        <w:trPr>
          <w:trHeight w:val="288"/>
        </w:trPr>
        <w:tc>
          <w:tcPr>
            <w:tcW w:w="33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plus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un an et cinq ans au plus</w:t>
            </w: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lang w:val="fr-FR"/>
              </w:rPr>
            </w:pP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szCs w:val="20"/>
                <w:lang w:val="fr-FR"/>
              </w:rPr>
            </w:pPr>
          </w:p>
        </w:tc>
        <w:tc>
          <w:tcPr>
            <w:tcW w:w="170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szCs w:val="20"/>
                <w:lang w:val="fr-FR"/>
              </w:rPr>
            </w:pP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szCs w:val="20"/>
                <w:lang w:val="fr-FR"/>
              </w:rPr>
            </w:pPr>
          </w:p>
        </w:tc>
        <w:tc>
          <w:tcPr>
            <w:tcW w:w="1240" w:type="dxa"/>
            <w:tcBorders>
              <w:top w:val="nil"/>
              <w:left w:val="nil"/>
              <w:bottom w:val="nil"/>
              <w:right w:val="nil"/>
            </w:tcBorders>
            <w:shd w:val="clear" w:color="auto" w:fill="auto"/>
            <w:vAlign w:val="center"/>
            <w:hideMark/>
          </w:tcPr>
          <w:p w:rsidR="002D7FBE" w:rsidRPr="00C73365" w:rsidRDefault="002D7FBE" w:rsidP="00A96CCA">
            <w:pPr>
              <w:spacing w:after="0"/>
              <w:rPr>
                <w:rFonts w:asciiTheme="minorHAnsi" w:hAnsiTheme="minorHAnsi" w:cstheme="minorHAnsi"/>
                <w:szCs w:val="20"/>
                <w:lang w:val="fr-FR"/>
              </w:rPr>
            </w:pPr>
          </w:p>
        </w:tc>
      </w:tr>
      <w:tr w:rsidR="002D7FBE" w:rsidRPr="00F06F79"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plus de cinq ans</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Redevances restant à payer</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5</w:t>
            </w:r>
          </w:p>
        </w:tc>
      </w:tr>
      <w:tr w:rsidR="002D7FBE" w:rsidRPr="00C73365" w:rsidTr="002D7FBE">
        <w:trPr>
          <w:trHeight w:val="288"/>
        </w:trPr>
        <w:tc>
          <w:tcPr>
            <w:tcW w:w="3300" w:type="dxa"/>
            <w:tcBorders>
              <w:top w:val="nil"/>
              <w:left w:val="nil"/>
              <w:bottom w:val="nil"/>
              <w:right w:val="nil"/>
            </w:tcBorders>
            <w:shd w:val="clear" w:color="auto" w:fill="auto"/>
            <w:noWrap/>
            <w:vAlign w:val="center"/>
            <w:hideMark/>
          </w:tcPr>
          <w:p w:rsidR="002D7FBE" w:rsidRPr="00C73365" w:rsidRDefault="002D7FB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un an au plus</w:t>
            </w: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rPr>
                <w:rFonts w:asciiTheme="minorHAnsi" w:hAnsiTheme="minorHAnsi" w:cstheme="minorHAnsi"/>
                <w:color w:val="000000"/>
                <w:szCs w:val="20"/>
                <w:lang w:val="fr-FR"/>
              </w:rPr>
            </w:pP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rPr>
                <w:rFonts w:asciiTheme="minorHAnsi" w:hAnsiTheme="minorHAnsi" w:cstheme="minorHAnsi"/>
                <w:szCs w:val="20"/>
                <w:lang w:val="fr-FR"/>
              </w:rPr>
            </w:pPr>
          </w:p>
        </w:tc>
        <w:tc>
          <w:tcPr>
            <w:tcW w:w="1700" w:type="dxa"/>
            <w:tcBorders>
              <w:top w:val="nil"/>
              <w:left w:val="nil"/>
              <w:bottom w:val="nil"/>
              <w:right w:val="nil"/>
            </w:tcBorders>
            <w:shd w:val="clear" w:color="auto" w:fill="auto"/>
            <w:noWrap/>
            <w:vAlign w:val="bottom"/>
            <w:hideMark/>
          </w:tcPr>
          <w:p w:rsidR="002D7FBE" w:rsidRPr="00C73365" w:rsidRDefault="002D7FBE" w:rsidP="00A96CCA">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30</w:t>
            </w: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jc w:val="right"/>
              <w:rPr>
                <w:rFonts w:asciiTheme="minorHAnsi" w:hAnsiTheme="minorHAnsi" w:cstheme="minorHAnsi"/>
                <w:color w:val="000000"/>
                <w:sz w:val="22"/>
                <w:szCs w:val="22"/>
              </w:rPr>
            </w:pP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rPr>
                <w:rFonts w:asciiTheme="minorHAnsi" w:hAnsiTheme="minorHAnsi" w:cstheme="minorHAnsi"/>
                <w:szCs w:val="20"/>
              </w:rPr>
            </w:pPr>
          </w:p>
        </w:tc>
      </w:tr>
      <w:tr w:rsidR="002D7FBE" w:rsidRPr="00C73365" w:rsidTr="002D7FBE">
        <w:trPr>
          <w:trHeight w:val="288"/>
        </w:trPr>
        <w:tc>
          <w:tcPr>
            <w:tcW w:w="3300" w:type="dxa"/>
            <w:tcBorders>
              <w:top w:val="nil"/>
              <w:left w:val="nil"/>
              <w:bottom w:val="nil"/>
              <w:right w:val="nil"/>
            </w:tcBorders>
            <w:shd w:val="clear" w:color="auto" w:fill="auto"/>
            <w:noWrap/>
            <w:vAlign w:val="center"/>
            <w:hideMark/>
          </w:tcPr>
          <w:p w:rsidR="002D7FBE" w:rsidRPr="00C73365" w:rsidRDefault="002D7FB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plus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un an et cinq ans au plus</w:t>
            </w: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rPr>
                <w:rFonts w:asciiTheme="minorHAnsi" w:hAnsiTheme="minorHAnsi" w:cstheme="minorHAnsi"/>
                <w:color w:val="000000"/>
                <w:szCs w:val="20"/>
                <w:lang w:val="fr-FR"/>
              </w:rPr>
            </w:pP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rPr>
                <w:rFonts w:asciiTheme="minorHAnsi" w:hAnsiTheme="minorHAnsi" w:cstheme="minorHAnsi"/>
                <w:szCs w:val="20"/>
                <w:lang w:val="fr-FR"/>
              </w:rPr>
            </w:pPr>
          </w:p>
        </w:tc>
        <w:tc>
          <w:tcPr>
            <w:tcW w:w="1700" w:type="dxa"/>
            <w:tcBorders>
              <w:top w:val="nil"/>
              <w:left w:val="nil"/>
              <w:bottom w:val="nil"/>
              <w:right w:val="nil"/>
            </w:tcBorders>
            <w:shd w:val="clear" w:color="auto" w:fill="auto"/>
            <w:noWrap/>
            <w:vAlign w:val="center"/>
            <w:hideMark/>
          </w:tcPr>
          <w:p w:rsidR="002D7FBE" w:rsidRPr="00C73365" w:rsidRDefault="002D7FBE" w:rsidP="00A96CCA">
            <w:pPr>
              <w:spacing w:after="0"/>
              <w:rPr>
                <w:rFonts w:asciiTheme="minorHAnsi" w:hAnsiTheme="minorHAnsi" w:cstheme="minorHAnsi"/>
                <w:szCs w:val="20"/>
                <w:lang w:val="fr-FR"/>
              </w:rPr>
            </w:pPr>
          </w:p>
        </w:tc>
        <w:tc>
          <w:tcPr>
            <w:tcW w:w="1240" w:type="dxa"/>
            <w:tcBorders>
              <w:top w:val="nil"/>
              <w:left w:val="nil"/>
              <w:bottom w:val="nil"/>
              <w:right w:val="nil"/>
            </w:tcBorders>
            <w:shd w:val="clear" w:color="auto" w:fill="auto"/>
            <w:noWrap/>
            <w:vAlign w:val="bottom"/>
            <w:hideMark/>
          </w:tcPr>
          <w:p w:rsidR="002D7FBE" w:rsidRPr="00C73365" w:rsidRDefault="002D7FBE" w:rsidP="00A96CCA">
            <w:pPr>
              <w:spacing w:after="0"/>
              <w:jc w:val="right"/>
              <w:rPr>
                <w:rFonts w:asciiTheme="minorHAnsi" w:hAnsiTheme="minorHAnsi" w:cstheme="minorHAnsi"/>
                <w:szCs w:val="20"/>
                <w:lang w:val="fr-FR"/>
              </w:rPr>
            </w:pPr>
          </w:p>
        </w:tc>
        <w:tc>
          <w:tcPr>
            <w:tcW w:w="1240" w:type="dxa"/>
            <w:tcBorders>
              <w:top w:val="nil"/>
              <w:left w:val="nil"/>
              <w:bottom w:val="nil"/>
              <w:right w:val="nil"/>
            </w:tcBorders>
            <w:shd w:val="clear" w:color="auto" w:fill="auto"/>
            <w:noWrap/>
            <w:vAlign w:val="center"/>
            <w:hideMark/>
          </w:tcPr>
          <w:p w:rsidR="002D7FBE" w:rsidRPr="00C73365" w:rsidRDefault="002D7FBE"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0</w:t>
            </w:r>
          </w:p>
        </w:tc>
      </w:tr>
      <w:tr w:rsidR="002D7FBE" w:rsidRPr="00F06F79"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plus de cinq ans</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r>
      <w:tr w:rsidR="002D7FBE" w:rsidRPr="00C73365" w:rsidTr="002D7FBE">
        <w:trPr>
          <w:trHeight w:val="300"/>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7030A0"/>
                <w:szCs w:val="20"/>
              </w:rPr>
            </w:pPr>
            <w:r w:rsidRPr="00C73365">
              <w:rPr>
                <w:rFonts w:asciiTheme="minorHAnsi" w:hAnsiTheme="minorHAnsi" w:cstheme="minorHAnsi"/>
                <w:color w:val="7030A0"/>
                <w:szCs w:val="20"/>
              </w:rPr>
              <w:t>Valeur résiduelle</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30</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30</w:t>
            </w:r>
          </w:p>
        </w:tc>
      </w:tr>
      <w:tr w:rsidR="002D7FBE" w:rsidRPr="00C73365" w:rsidTr="002D7FBE">
        <w:trPr>
          <w:trHeight w:val="564"/>
        </w:trPr>
        <w:tc>
          <w:tcPr>
            <w:tcW w:w="33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Montant pris en charge dans l</w:t>
            </w:r>
            <w:r w:rsidR="004572A0" w:rsidRPr="00C73365">
              <w:rPr>
                <w:rFonts w:asciiTheme="minorHAnsi" w:hAnsiTheme="minorHAnsi" w:cstheme="minorHAnsi"/>
                <w:color w:val="7030A0"/>
                <w:szCs w:val="20"/>
                <w:lang w:val="fr-FR"/>
              </w:rPr>
              <w:t>’</w:t>
            </w:r>
            <w:r w:rsidRPr="00C73365">
              <w:rPr>
                <w:rFonts w:asciiTheme="minorHAnsi" w:hAnsiTheme="minorHAnsi" w:cstheme="minorHAnsi"/>
                <w:color w:val="7030A0"/>
                <w:szCs w:val="20"/>
                <w:lang w:val="fr-FR"/>
              </w:rPr>
              <w:t>exercice</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lang w:val="fr-FR"/>
              </w:rPr>
            </w:pPr>
            <w:r w:rsidRPr="00C73365">
              <w:rPr>
                <w:rFonts w:asciiTheme="minorHAnsi" w:hAnsiTheme="minorHAnsi" w:cstheme="minorHAnsi"/>
                <w:color w:val="7030A0"/>
                <w:szCs w:val="20"/>
                <w:lang w:val="fr-FR"/>
              </w:rPr>
              <w:t> </w:t>
            </w:r>
          </w:p>
        </w:tc>
        <w:tc>
          <w:tcPr>
            <w:tcW w:w="170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14</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 </w:t>
            </w:r>
          </w:p>
        </w:tc>
        <w:tc>
          <w:tcPr>
            <w:tcW w:w="1240" w:type="dxa"/>
            <w:tcBorders>
              <w:top w:val="nil"/>
              <w:left w:val="nil"/>
              <w:bottom w:val="single" w:sz="8" w:space="0" w:color="7030A0"/>
              <w:right w:val="nil"/>
            </w:tcBorders>
            <w:shd w:val="clear" w:color="auto" w:fill="auto"/>
            <w:vAlign w:val="center"/>
            <w:hideMark/>
          </w:tcPr>
          <w:p w:rsidR="002D7FBE" w:rsidRPr="00C73365" w:rsidRDefault="002D7FBE" w:rsidP="00A96CCA">
            <w:pPr>
              <w:spacing w:after="0"/>
              <w:jc w:val="right"/>
              <w:rPr>
                <w:rFonts w:asciiTheme="minorHAnsi" w:hAnsiTheme="minorHAnsi" w:cstheme="minorHAnsi"/>
                <w:color w:val="7030A0"/>
                <w:szCs w:val="20"/>
              </w:rPr>
            </w:pPr>
            <w:r w:rsidRPr="00C73365">
              <w:rPr>
                <w:rFonts w:asciiTheme="minorHAnsi" w:hAnsiTheme="minorHAnsi" w:cstheme="minorHAnsi"/>
                <w:color w:val="7030A0"/>
                <w:szCs w:val="20"/>
              </w:rPr>
              <w:t>14</w:t>
            </w:r>
          </w:p>
        </w:tc>
      </w:tr>
    </w:tbl>
    <w:p w:rsidR="00F46C7B" w:rsidRPr="00C73365" w:rsidRDefault="00F46C7B" w:rsidP="00A96CCA">
      <w:pPr>
        <w:spacing w:after="0"/>
        <w:ind w:right="568"/>
        <w:rPr>
          <w:rFonts w:asciiTheme="minorHAnsi" w:eastAsia="MS Mincho" w:hAnsiTheme="minorHAnsi" w:cstheme="minorHAnsi"/>
          <w:b/>
          <w:color w:val="7030A0"/>
          <w:sz w:val="24"/>
          <w:szCs w:val="20"/>
          <w:lang w:val="fr-FR" w:eastAsia="fr-FR"/>
        </w:rPr>
      </w:pPr>
    </w:p>
    <w:p w:rsidR="002D7FBE" w:rsidRPr="00C73365" w:rsidRDefault="002D7FBE" w:rsidP="00A96CCA">
      <w:pPr>
        <w:spacing w:after="0"/>
        <w:ind w:right="568"/>
        <w:rPr>
          <w:rFonts w:asciiTheme="minorHAnsi" w:eastAsia="MS Mincho" w:hAnsiTheme="minorHAnsi" w:cstheme="minorHAnsi"/>
          <w:b/>
          <w:color w:val="7030A0"/>
          <w:sz w:val="24"/>
          <w:szCs w:val="20"/>
          <w:lang w:val="fr-FR" w:eastAsia="fr-FR"/>
        </w:rPr>
      </w:pP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type w:val="continuous"/>
          <w:pgSz w:w="11906" w:h="16838"/>
          <w:pgMar w:top="1134" w:right="1134" w:bottom="1134" w:left="1134" w:header="709" w:footer="709" w:gutter="0"/>
          <w:cols w:space="708"/>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t>Engagement retraite</w:t>
      </w: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Montant des engagements pris en matière de pensions, compléments de retraite et indemnités assimilées: </w:t>
      </w:r>
      <w:r w:rsidR="002D7FBE" w:rsidRPr="00C73365">
        <w:rPr>
          <w:rFonts w:asciiTheme="minorHAnsi" w:eastAsia="MS Mincho" w:hAnsiTheme="minorHAnsi" w:cstheme="minorHAnsi"/>
          <w:lang w:val="fr-FR" w:eastAsia="fr-FR"/>
        </w:rPr>
        <w:t xml:space="preserve">270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F46C7B" w:rsidRPr="00C73365" w:rsidRDefault="00F46C7B" w:rsidP="004572A0">
      <w:pPr>
        <w:pStyle w:val="BodyText"/>
        <w:rPr>
          <w:rFonts w:asciiTheme="minorHAnsi" w:eastAsia="MS Mincho" w:hAnsiTheme="minorHAnsi" w:cstheme="minorHAnsi"/>
          <w:highlight w:val="lightGray"/>
          <w:lang w:val="fr-FR" w:eastAsia="fr-FR"/>
        </w:rPr>
      </w:pPr>
      <w:r w:rsidRPr="00C73365">
        <w:rPr>
          <w:rFonts w:asciiTheme="minorHAnsi" w:eastAsia="MS Mincho" w:hAnsiTheme="minorHAnsi" w:cstheme="minorHAnsi"/>
          <w:lang w:val="fr-FR" w:eastAsia="fr-FR"/>
        </w:rPr>
        <w:t>Pour un régime à prestations définies, il est fait application de la recommandation CNC 03-R-01 du 1</w:t>
      </w:r>
      <w:r w:rsidRPr="00C73365">
        <w:rPr>
          <w:rFonts w:asciiTheme="minorHAnsi" w:eastAsia="MS Mincho" w:hAnsiTheme="minorHAnsi" w:cstheme="minorHAnsi"/>
          <w:vertAlign w:val="superscript"/>
          <w:lang w:val="fr-FR" w:eastAsia="fr-FR"/>
        </w:rPr>
        <w:t>er</w:t>
      </w:r>
      <w:r w:rsidRPr="00C73365">
        <w:rPr>
          <w:rFonts w:asciiTheme="minorHAnsi" w:eastAsia="MS Mincho" w:hAnsiTheme="minorHAnsi" w:cstheme="minorHAnsi"/>
          <w:lang w:val="fr-FR" w:eastAsia="fr-FR"/>
        </w:rPr>
        <w:t xml:space="preserve"> avril 2003.</w:t>
      </w:r>
    </w:p>
    <w:p w:rsidR="00F46C7B" w:rsidRPr="00C73365" w:rsidRDefault="00F46C7B" w:rsidP="004572A0">
      <w:pPr>
        <w:pStyle w:val="BodyText"/>
        <w:rPr>
          <w:rFonts w:asciiTheme="minorHAnsi" w:eastAsia="MS Mincho" w:hAnsiTheme="minorHAnsi" w:cstheme="minorHAnsi"/>
          <w:highlight w:val="lightGray"/>
          <w:lang w:val="fr-FR" w:eastAsia="fr-FR"/>
        </w:rPr>
        <w:sectPr w:rsidR="00F46C7B" w:rsidRPr="00C73365" w:rsidSect="007C607C">
          <w:type w:val="continuous"/>
          <w:pgSz w:w="11906" w:h="16838"/>
          <w:pgMar w:top="1134" w:right="1134" w:bottom="1134" w:left="1134" w:header="709" w:footer="709" w:gutter="0"/>
          <w:cols w:num="2" w:space="397"/>
          <w:docGrid w:linePitch="360"/>
        </w:sectPr>
      </w:pPr>
    </w:p>
    <w:p w:rsidR="00F46C7B" w:rsidRPr="00C73365" w:rsidRDefault="00F46C7B" w:rsidP="004572A0">
      <w:pPr>
        <w:pStyle w:val="BodyText"/>
        <w:rPr>
          <w:rFonts w:asciiTheme="minorHAnsi" w:eastAsia="MS Mincho" w:hAnsiTheme="minorHAnsi" w:cstheme="minorHAnsi"/>
          <w:b/>
          <w:lang w:val="fr-FR" w:eastAsia="fr-FR"/>
        </w:rPr>
      </w:pPr>
      <w:r w:rsidRPr="001479F8">
        <w:rPr>
          <w:rFonts w:asciiTheme="minorHAnsi" w:eastAsia="MS Mincho" w:hAnsiTheme="minorHAnsi" w:cstheme="minorHAnsi"/>
          <w:b/>
          <w:lang w:val="fr-FR" w:eastAsia="fr-FR"/>
        </w:rPr>
        <w:lastRenderedPageBreak/>
        <w:t>NOTE 14 – EFFECTIFS</w:t>
      </w:r>
    </w:p>
    <w:p w:rsidR="00F46C7B" w:rsidRPr="00C73365" w:rsidRDefault="00F46C7B" w:rsidP="004572A0">
      <w:pPr>
        <w:pStyle w:val="BodyText"/>
        <w:rPr>
          <w:rFonts w:asciiTheme="minorHAnsi" w:eastAsia="MS Mincho" w:hAnsiTheme="minorHAnsi" w:cstheme="minorHAnsi"/>
          <w:lang w:val="fr-FR" w:eastAsia="fr-FR"/>
        </w:rPr>
        <w:sectPr w:rsidR="00F46C7B" w:rsidRPr="00C73365" w:rsidSect="007C607C">
          <w:pgSz w:w="11900" w:h="16840"/>
          <w:pgMar w:top="1134" w:right="1134" w:bottom="1134" w:left="1134" w:header="720" w:footer="720" w:gutter="0"/>
          <w:cols w:space="720" w:equalWidth="0">
            <w:col w:w="9269"/>
          </w:cols>
          <w:noEndnote/>
          <w:docGrid w:linePitch="299"/>
        </w:sectPr>
      </w:pPr>
    </w:p>
    <w:p w:rsidR="00F46C7B" w:rsidRPr="00C73365" w:rsidRDefault="00F46C7B"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A </w:t>
      </w:r>
      <w:r w:rsidR="00937F02" w:rsidRPr="00C73365">
        <w:rPr>
          <w:rFonts w:asciiTheme="minorHAnsi" w:eastAsia="MS Mincho" w:hAnsiTheme="minorHAnsi" w:cstheme="minorHAnsi"/>
          <w:lang w:val="fr-FR" w:eastAsia="fr-FR"/>
        </w:rPr>
        <w:t xml:space="preserve">au 31 décembre 2017, </w:t>
      </w:r>
      <w:r w:rsidRPr="00C73365">
        <w:rPr>
          <w:rFonts w:asciiTheme="minorHAnsi" w:eastAsia="MS Mincho" w:hAnsiTheme="minorHAnsi" w:cstheme="minorHAnsi"/>
          <w:lang w:val="fr-FR" w:eastAsia="fr-FR"/>
        </w:rPr>
        <w:t>l’effectif moyen de la Société est de 23,04 salariés.</w:t>
      </w:r>
    </w:p>
    <w:p w:rsidR="00F46C7B" w:rsidRPr="00C73365" w:rsidRDefault="00F46C7B" w:rsidP="004572A0">
      <w:pPr>
        <w:pStyle w:val="BodyText"/>
        <w:rPr>
          <w:rFonts w:asciiTheme="minorHAnsi" w:hAnsiTheme="minorHAnsi" w:cstheme="minorHAnsi"/>
          <w:lang w:val="fr-FR" w:eastAsia="fr-FR"/>
        </w:rPr>
        <w:sectPr w:rsidR="00F46C7B" w:rsidRPr="00C73365" w:rsidSect="007C607C">
          <w:type w:val="continuous"/>
          <w:pgSz w:w="11900" w:h="16840"/>
          <w:pgMar w:top="1134" w:right="1134" w:bottom="1134" w:left="1134" w:header="720" w:footer="720" w:gutter="0"/>
          <w:cols w:num="2" w:space="720"/>
          <w:noEndnote/>
          <w:docGrid w:linePitch="299"/>
        </w:sectPr>
      </w:pPr>
    </w:p>
    <w:tbl>
      <w:tblPr>
        <w:tblW w:w="4455" w:type="dxa"/>
        <w:tblCellMar>
          <w:left w:w="70" w:type="dxa"/>
          <w:right w:w="70" w:type="dxa"/>
        </w:tblCellMar>
        <w:tblLook w:val="04A0" w:firstRow="1" w:lastRow="0" w:firstColumn="1" w:lastColumn="0" w:noHBand="0" w:noVBand="1"/>
      </w:tblPr>
      <w:tblGrid>
        <w:gridCol w:w="1701"/>
        <w:gridCol w:w="1196"/>
        <w:gridCol w:w="1558"/>
      </w:tblGrid>
      <w:tr w:rsidR="0005703A" w:rsidRPr="00C73365" w:rsidTr="002A30AE">
        <w:trPr>
          <w:trHeight w:val="654"/>
        </w:trPr>
        <w:tc>
          <w:tcPr>
            <w:tcW w:w="1701" w:type="dxa"/>
            <w:tcBorders>
              <w:top w:val="single" w:sz="12" w:space="0" w:color="7030A0"/>
              <w:left w:val="nil"/>
              <w:bottom w:val="single" w:sz="8" w:space="0" w:color="7030A0"/>
              <w:right w:val="nil"/>
            </w:tcBorders>
            <w:shd w:val="clear" w:color="auto" w:fill="auto"/>
            <w:vAlign w:val="center"/>
            <w:hideMark/>
          </w:tcPr>
          <w:p w:rsidR="0005703A" w:rsidRPr="00C73365" w:rsidRDefault="0005703A"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196" w:type="dxa"/>
            <w:tcBorders>
              <w:top w:val="single" w:sz="12" w:space="0" w:color="7030A0"/>
              <w:left w:val="nil"/>
              <w:bottom w:val="single" w:sz="8" w:space="0" w:color="7030A0"/>
              <w:right w:val="nil"/>
            </w:tcBorders>
            <w:shd w:val="clear" w:color="auto" w:fill="auto"/>
            <w:vAlign w:val="center"/>
            <w:hideMark/>
          </w:tcPr>
          <w:p w:rsidR="0005703A" w:rsidRPr="00C73365" w:rsidRDefault="0005703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w:t>
            </w:r>
            <w:r w:rsidR="008031AA" w:rsidRPr="00C73365">
              <w:rPr>
                <w:rFonts w:asciiTheme="minorHAnsi" w:hAnsiTheme="minorHAnsi" w:cstheme="minorHAnsi"/>
                <w:b/>
                <w:bCs/>
                <w:color w:val="7030A0"/>
                <w:szCs w:val="20"/>
                <w:lang w:val="fr-FR" w:eastAsia="fr-FR"/>
              </w:rPr>
              <w:t>2017</w:t>
            </w:r>
          </w:p>
        </w:tc>
        <w:tc>
          <w:tcPr>
            <w:tcW w:w="1558" w:type="dxa"/>
            <w:tcBorders>
              <w:top w:val="single" w:sz="12" w:space="0" w:color="7030A0"/>
              <w:left w:val="nil"/>
              <w:bottom w:val="single" w:sz="8" w:space="0" w:color="7030A0"/>
              <w:right w:val="nil"/>
            </w:tcBorders>
            <w:vAlign w:val="center"/>
          </w:tcPr>
          <w:p w:rsidR="0005703A" w:rsidRPr="00C73365" w:rsidRDefault="0005703A" w:rsidP="00A96CCA">
            <w:pPr>
              <w:spacing w:after="0"/>
              <w:jc w:val="right"/>
              <w:rPr>
                <w:rFonts w:asciiTheme="minorHAnsi" w:hAnsiTheme="minorHAnsi" w:cstheme="minorHAnsi"/>
                <w:b/>
                <w:bCs/>
                <w:szCs w:val="20"/>
                <w:lang w:val="fr-FR" w:eastAsia="fr-FR"/>
              </w:rPr>
            </w:pPr>
            <w:r w:rsidRPr="00C73365">
              <w:rPr>
                <w:rFonts w:asciiTheme="minorHAnsi" w:hAnsiTheme="minorHAnsi" w:cstheme="minorHAnsi"/>
                <w:b/>
                <w:bCs/>
                <w:szCs w:val="20"/>
                <w:lang w:val="fr-FR" w:eastAsia="fr-FR"/>
              </w:rPr>
              <w:t>31/12/</w:t>
            </w:r>
            <w:r w:rsidR="008031AA" w:rsidRPr="00C73365">
              <w:rPr>
                <w:rFonts w:asciiTheme="minorHAnsi" w:hAnsiTheme="minorHAnsi" w:cstheme="minorHAnsi"/>
                <w:b/>
                <w:bCs/>
                <w:szCs w:val="20"/>
                <w:lang w:val="fr-FR" w:eastAsia="fr-FR"/>
              </w:rPr>
              <w:t>2016</w:t>
            </w:r>
          </w:p>
        </w:tc>
      </w:tr>
      <w:tr w:rsidR="008031AA" w:rsidRPr="00C73365" w:rsidTr="002A30AE">
        <w:trPr>
          <w:trHeight w:val="288"/>
        </w:trPr>
        <w:tc>
          <w:tcPr>
            <w:tcW w:w="1701" w:type="dxa"/>
            <w:tcBorders>
              <w:top w:val="nil"/>
              <w:left w:val="nil"/>
              <w:bottom w:val="nil"/>
              <w:right w:val="nil"/>
            </w:tcBorders>
            <w:shd w:val="clear" w:color="auto" w:fill="auto"/>
            <w:vAlign w:val="center"/>
            <w:hideMark/>
          </w:tcPr>
          <w:p w:rsidR="008031AA" w:rsidRPr="00C73365" w:rsidRDefault="008031A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Cadres </w:t>
            </w:r>
          </w:p>
        </w:tc>
        <w:tc>
          <w:tcPr>
            <w:tcW w:w="1196" w:type="dxa"/>
            <w:tcBorders>
              <w:top w:val="nil"/>
              <w:left w:val="nil"/>
              <w:bottom w:val="nil"/>
              <w:right w:val="nil"/>
            </w:tcBorders>
            <w:shd w:val="clear" w:color="auto" w:fill="auto"/>
            <w:vAlign w:val="center"/>
            <w:hideMark/>
          </w:tcPr>
          <w:p w:rsidR="008031AA" w:rsidRPr="00C73365" w:rsidRDefault="00937F02"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21,00</w:t>
            </w:r>
          </w:p>
        </w:tc>
        <w:tc>
          <w:tcPr>
            <w:tcW w:w="1558" w:type="dxa"/>
            <w:tcBorders>
              <w:top w:val="nil"/>
              <w:left w:val="nil"/>
              <w:bottom w:val="nil"/>
              <w:right w:val="nil"/>
            </w:tcBorders>
            <w:vAlign w:val="center"/>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19,79</w:t>
            </w:r>
          </w:p>
        </w:tc>
      </w:tr>
      <w:tr w:rsidR="008031AA" w:rsidRPr="00C73365" w:rsidTr="002A30AE">
        <w:trPr>
          <w:trHeight w:val="288"/>
        </w:trPr>
        <w:tc>
          <w:tcPr>
            <w:tcW w:w="1701" w:type="dxa"/>
            <w:tcBorders>
              <w:top w:val="nil"/>
              <w:left w:val="nil"/>
              <w:right w:val="nil"/>
            </w:tcBorders>
            <w:shd w:val="clear" w:color="auto" w:fill="auto"/>
            <w:vAlign w:val="center"/>
            <w:hideMark/>
          </w:tcPr>
          <w:p w:rsidR="008031AA" w:rsidRPr="00C73365" w:rsidRDefault="008031A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Non Cadres</w:t>
            </w:r>
          </w:p>
        </w:tc>
        <w:tc>
          <w:tcPr>
            <w:tcW w:w="1196" w:type="dxa"/>
            <w:tcBorders>
              <w:top w:val="nil"/>
              <w:left w:val="nil"/>
              <w:right w:val="nil"/>
            </w:tcBorders>
            <w:shd w:val="clear" w:color="auto" w:fill="auto"/>
            <w:vAlign w:val="center"/>
            <w:hideMark/>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2,25</w:t>
            </w:r>
          </w:p>
        </w:tc>
        <w:tc>
          <w:tcPr>
            <w:tcW w:w="1558" w:type="dxa"/>
            <w:tcBorders>
              <w:top w:val="nil"/>
              <w:left w:val="nil"/>
              <w:right w:val="nil"/>
            </w:tcBorders>
            <w:vAlign w:val="center"/>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2,25</w:t>
            </w:r>
          </w:p>
        </w:tc>
      </w:tr>
      <w:tr w:rsidR="008031AA" w:rsidRPr="00C73365" w:rsidTr="002A30AE">
        <w:trPr>
          <w:trHeight w:val="300"/>
        </w:trPr>
        <w:tc>
          <w:tcPr>
            <w:tcW w:w="1701" w:type="dxa"/>
            <w:tcBorders>
              <w:top w:val="nil"/>
              <w:left w:val="nil"/>
              <w:bottom w:val="single" w:sz="4" w:space="0" w:color="7030A0"/>
              <w:right w:val="nil"/>
            </w:tcBorders>
            <w:shd w:val="clear" w:color="auto" w:fill="auto"/>
            <w:vAlign w:val="center"/>
            <w:hideMark/>
          </w:tcPr>
          <w:p w:rsidR="008031AA" w:rsidRPr="00C73365" w:rsidRDefault="008031A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Mandataire</w:t>
            </w:r>
            <w:r w:rsidR="002A30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social</w:t>
            </w:r>
          </w:p>
        </w:tc>
        <w:tc>
          <w:tcPr>
            <w:tcW w:w="1196" w:type="dxa"/>
            <w:tcBorders>
              <w:top w:val="nil"/>
              <w:left w:val="nil"/>
              <w:bottom w:val="single" w:sz="4" w:space="0" w:color="7030A0"/>
              <w:right w:val="nil"/>
            </w:tcBorders>
            <w:shd w:val="clear" w:color="auto" w:fill="auto"/>
            <w:vAlign w:val="center"/>
            <w:hideMark/>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w:t>
            </w:r>
          </w:p>
        </w:tc>
        <w:tc>
          <w:tcPr>
            <w:tcW w:w="1558" w:type="dxa"/>
            <w:tcBorders>
              <w:top w:val="nil"/>
              <w:left w:val="nil"/>
              <w:bottom w:val="single" w:sz="4" w:space="0" w:color="7030A0"/>
              <w:right w:val="nil"/>
            </w:tcBorders>
            <w:vAlign w:val="center"/>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w:t>
            </w:r>
          </w:p>
        </w:tc>
      </w:tr>
      <w:tr w:rsidR="008031AA" w:rsidRPr="00C73365" w:rsidTr="002A30AE">
        <w:trPr>
          <w:trHeight w:val="397"/>
        </w:trPr>
        <w:tc>
          <w:tcPr>
            <w:tcW w:w="1701" w:type="dxa"/>
            <w:tcBorders>
              <w:top w:val="single" w:sz="4" w:space="0" w:color="7030A0"/>
              <w:left w:val="nil"/>
              <w:bottom w:val="single" w:sz="4" w:space="0" w:color="7030A0"/>
              <w:right w:val="nil"/>
            </w:tcBorders>
            <w:shd w:val="clear" w:color="auto" w:fill="auto"/>
            <w:vAlign w:val="center"/>
            <w:hideMark/>
          </w:tcPr>
          <w:p w:rsidR="008031AA" w:rsidRPr="00C73365" w:rsidRDefault="008031AA"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Total </w:t>
            </w:r>
          </w:p>
        </w:tc>
        <w:tc>
          <w:tcPr>
            <w:tcW w:w="1196" w:type="dxa"/>
            <w:tcBorders>
              <w:top w:val="single" w:sz="4" w:space="0" w:color="7030A0"/>
              <w:left w:val="nil"/>
              <w:bottom w:val="single" w:sz="4" w:space="0" w:color="7030A0"/>
              <w:right w:val="nil"/>
            </w:tcBorders>
            <w:shd w:val="clear" w:color="auto" w:fill="auto"/>
            <w:vAlign w:val="center"/>
            <w:hideMark/>
          </w:tcPr>
          <w:p w:rsidR="008031AA" w:rsidRPr="00C73365" w:rsidRDefault="00937F02"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24,25</w:t>
            </w:r>
          </w:p>
        </w:tc>
        <w:tc>
          <w:tcPr>
            <w:tcW w:w="1558" w:type="dxa"/>
            <w:tcBorders>
              <w:top w:val="single" w:sz="4" w:space="0" w:color="7030A0"/>
              <w:left w:val="nil"/>
              <w:bottom w:val="single" w:sz="4" w:space="0" w:color="7030A0"/>
              <w:right w:val="nil"/>
            </w:tcBorders>
            <w:vAlign w:val="center"/>
          </w:tcPr>
          <w:p w:rsidR="008031AA" w:rsidRPr="00C73365" w:rsidRDefault="008031AA" w:rsidP="00A96CCA">
            <w:pPr>
              <w:spacing w:after="0"/>
              <w:jc w:val="right"/>
              <w:rPr>
                <w:rFonts w:asciiTheme="minorHAnsi" w:hAnsiTheme="minorHAnsi" w:cstheme="minorHAnsi"/>
                <w:b/>
                <w:bCs/>
                <w:szCs w:val="20"/>
                <w:lang w:val="fr-FR" w:eastAsia="fr-FR"/>
              </w:rPr>
            </w:pPr>
            <w:r w:rsidRPr="00C73365">
              <w:rPr>
                <w:rFonts w:asciiTheme="minorHAnsi" w:hAnsiTheme="minorHAnsi" w:cstheme="minorHAnsi"/>
                <w:b/>
                <w:bCs/>
                <w:szCs w:val="20"/>
                <w:lang w:val="fr-FR" w:eastAsia="fr-FR"/>
              </w:rPr>
              <w:t>23,04</w:t>
            </w:r>
          </w:p>
        </w:tc>
      </w:tr>
    </w:tbl>
    <w:p w:rsidR="00F46C7B" w:rsidRPr="00C73365" w:rsidRDefault="00F46C7B" w:rsidP="00A96CCA">
      <w:pPr>
        <w:spacing w:after="0"/>
        <w:rPr>
          <w:rFonts w:asciiTheme="minorHAnsi" w:eastAsia="MS Mincho" w:hAnsiTheme="minorHAnsi" w:cstheme="minorHAnsi"/>
          <w:b/>
          <w:color w:val="7030A0"/>
          <w:szCs w:val="20"/>
          <w:lang w:val="fr-FR" w:eastAsia="fr-FR" w:bidi="fr-FR"/>
        </w:rPr>
      </w:pPr>
    </w:p>
    <w:p w:rsidR="00F46C7B" w:rsidRPr="00C73365" w:rsidRDefault="00F46C7B" w:rsidP="004572A0">
      <w:pPr>
        <w:pStyle w:val="BodyText"/>
        <w:rPr>
          <w:rFonts w:asciiTheme="minorHAnsi" w:eastAsia="MS Mincho" w:hAnsiTheme="minorHAnsi" w:cstheme="minorHAnsi"/>
          <w:b/>
          <w:lang w:val="fr-FR" w:eastAsia="fr-FR" w:bidi="fr-FR"/>
        </w:rPr>
      </w:pPr>
      <w:r w:rsidRPr="00C73365">
        <w:rPr>
          <w:rFonts w:asciiTheme="minorHAnsi" w:eastAsia="MS Mincho" w:hAnsiTheme="minorHAnsi" w:cstheme="minorHAnsi"/>
          <w:b/>
          <w:lang w:val="fr-FR" w:eastAsia="fr-FR" w:bidi="fr-FR"/>
        </w:rPr>
        <w:t>Effectifs moyen par site</w:t>
      </w:r>
    </w:p>
    <w:tbl>
      <w:tblPr>
        <w:tblW w:w="4347" w:type="dxa"/>
        <w:tblCellMar>
          <w:left w:w="70" w:type="dxa"/>
          <w:right w:w="70" w:type="dxa"/>
        </w:tblCellMar>
        <w:tblLook w:val="04A0" w:firstRow="1" w:lastRow="0" w:firstColumn="1" w:lastColumn="0" w:noHBand="0" w:noVBand="1"/>
      </w:tblPr>
      <w:tblGrid>
        <w:gridCol w:w="1289"/>
        <w:gridCol w:w="1529"/>
        <w:gridCol w:w="1529"/>
      </w:tblGrid>
      <w:tr w:rsidR="0005703A" w:rsidRPr="00C73365" w:rsidTr="008031AA">
        <w:trPr>
          <w:trHeight w:val="655"/>
        </w:trPr>
        <w:tc>
          <w:tcPr>
            <w:tcW w:w="1289" w:type="dxa"/>
            <w:tcBorders>
              <w:top w:val="single" w:sz="12" w:space="0" w:color="7030A0"/>
              <w:left w:val="nil"/>
              <w:bottom w:val="single" w:sz="8" w:space="0" w:color="7030A0"/>
              <w:right w:val="nil"/>
            </w:tcBorders>
            <w:shd w:val="clear" w:color="auto" w:fill="auto"/>
            <w:vAlign w:val="center"/>
            <w:hideMark/>
          </w:tcPr>
          <w:p w:rsidR="0005703A" w:rsidRPr="00C73365" w:rsidRDefault="0005703A"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529" w:type="dxa"/>
            <w:tcBorders>
              <w:top w:val="single" w:sz="12" w:space="0" w:color="7030A0"/>
              <w:left w:val="nil"/>
              <w:bottom w:val="single" w:sz="8" w:space="0" w:color="7030A0"/>
              <w:right w:val="nil"/>
            </w:tcBorders>
            <w:shd w:val="clear" w:color="auto" w:fill="auto"/>
            <w:vAlign w:val="center"/>
            <w:hideMark/>
          </w:tcPr>
          <w:p w:rsidR="0005703A" w:rsidRPr="00C73365" w:rsidRDefault="0005703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31/12/</w:t>
            </w:r>
            <w:r w:rsidR="008031AA" w:rsidRPr="00C73365">
              <w:rPr>
                <w:rFonts w:asciiTheme="minorHAnsi" w:hAnsiTheme="minorHAnsi" w:cstheme="minorHAnsi"/>
                <w:b/>
                <w:bCs/>
                <w:color w:val="7030A0"/>
                <w:szCs w:val="20"/>
                <w:lang w:val="fr-FR" w:eastAsia="fr-FR"/>
              </w:rPr>
              <w:t>2017</w:t>
            </w:r>
          </w:p>
        </w:tc>
        <w:tc>
          <w:tcPr>
            <w:tcW w:w="1529" w:type="dxa"/>
            <w:tcBorders>
              <w:top w:val="single" w:sz="12" w:space="0" w:color="7030A0"/>
              <w:left w:val="nil"/>
              <w:bottom w:val="single" w:sz="8" w:space="0" w:color="7030A0"/>
              <w:right w:val="nil"/>
            </w:tcBorders>
            <w:vAlign w:val="center"/>
          </w:tcPr>
          <w:p w:rsidR="0005703A" w:rsidRPr="00C73365" w:rsidRDefault="0005703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szCs w:val="20"/>
                <w:lang w:val="fr-FR" w:eastAsia="fr-FR"/>
              </w:rPr>
              <w:t>31/12/</w:t>
            </w:r>
            <w:r w:rsidR="008031AA" w:rsidRPr="00C73365">
              <w:rPr>
                <w:rFonts w:asciiTheme="minorHAnsi" w:hAnsiTheme="minorHAnsi" w:cstheme="minorHAnsi"/>
                <w:b/>
                <w:bCs/>
                <w:szCs w:val="20"/>
                <w:lang w:val="fr-FR" w:eastAsia="fr-FR"/>
              </w:rPr>
              <w:t>2016</w:t>
            </w:r>
          </w:p>
        </w:tc>
      </w:tr>
      <w:tr w:rsidR="008031AA" w:rsidRPr="00C73365" w:rsidTr="008031AA">
        <w:trPr>
          <w:trHeight w:val="257"/>
        </w:trPr>
        <w:tc>
          <w:tcPr>
            <w:tcW w:w="1289" w:type="dxa"/>
            <w:tcBorders>
              <w:top w:val="nil"/>
              <w:left w:val="nil"/>
              <w:bottom w:val="nil"/>
              <w:right w:val="nil"/>
            </w:tcBorders>
            <w:shd w:val="clear" w:color="auto" w:fill="auto"/>
            <w:vAlign w:val="center"/>
            <w:hideMark/>
          </w:tcPr>
          <w:p w:rsidR="008031AA" w:rsidRPr="00C73365" w:rsidRDefault="008031A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Paris</w:t>
            </w:r>
          </w:p>
        </w:tc>
        <w:tc>
          <w:tcPr>
            <w:tcW w:w="1529" w:type="dxa"/>
            <w:tcBorders>
              <w:top w:val="nil"/>
              <w:left w:val="nil"/>
              <w:bottom w:val="nil"/>
              <w:right w:val="nil"/>
            </w:tcBorders>
            <w:shd w:val="clear" w:color="auto" w:fill="auto"/>
            <w:vAlign w:val="center"/>
            <w:hideMark/>
          </w:tcPr>
          <w:p w:rsidR="008031AA" w:rsidRPr="00C73365" w:rsidRDefault="00937F02"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13,17</w:t>
            </w:r>
          </w:p>
        </w:tc>
        <w:tc>
          <w:tcPr>
            <w:tcW w:w="1529" w:type="dxa"/>
            <w:tcBorders>
              <w:top w:val="nil"/>
              <w:left w:val="nil"/>
              <w:bottom w:val="nil"/>
              <w:right w:val="nil"/>
            </w:tcBorders>
            <w:vAlign w:val="center"/>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10,29</w:t>
            </w:r>
          </w:p>
        </w:tc>
      </w:tr>
      <w:tr w:rsidR="008031AA" w:rsidRPr="00C73365" w:rsidTr="008031AA">
        <w:trPr>
          <w:trHeight w:val="257"/>
        </w:trPr>
        <w:tc>
          <w:tcPr>
            <w:tcW w:w="1289" w:type="dxa"/>
            <w:tcBorders>
              <w:top w:val="nil"/>
              <w:left w:val="nil"/>
              <w:bottom w:val="nil"/>
              <w:right w:val="nil"/>
            </w:tcBorders>
            <w:shd w:val="clear" w:color="auto" w:fill="auto"/>
            <w:vAlign w:val="center"/>
            <w:hideMark/>
          </w:tcPr>
          <w:p w:rsidR="008031AA" w:rsidRPr="00C73365" w:rsidRDefault="008031A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Montpellier</w:t>
            </w:r>
          </w:p>
        </w:tc>
        <w:tc>
          <w:tcPr>
            <w:tcW w:w="1529" w:type="dxa"/>
            <w:tcBorders>
              <w:top w:val="nil"/>
              <w:left w:val="nil"/>
              <w:bottom w:val="nil"/>
              <w:right w:val="nil"/>
            </w:tcBorders>
            <w:shd w:val="clear" w:color="auto" w:fill="auto"/>
            <w:vAlign w:val="center"/>
            <w:hideMark/>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w:t>
            </w:r>
            <w:r w:rsidR="00937F02" w:rsidRPr="00C73365">
              <w:rPr>
                <w:rFonts w:asciiTheme="minorHAnsi" w:hAnsiTheme="minorHAnsi" w:cstheme="minorHAnsi"/>
                <w:color w:val="000000"/>
                <w:szCs w:val="20"/>
                <w:lang w:val="fr-FR" w:eastAsia="fr-FR"/>
              </w:rPr>
              <w:t>08</w:t>
            </w:r>
          </w:p>
        </w:tc>
        <w:tc>
          <w:tcPr>
            <w:tcW w:w="1529" w:type="dxa"/>
            <w:tcBorders>
              <w:top w:val="nil"/>
              <w:left w:val="nil"/>
              <w:bottom w:val="nil"/>
              <w:right w:val="nil"/>
            </w:tcBorders>
            <w:vAlign w:val="center"/>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11,75</w:t>
            </w:r>
          </w:p>
        </w:tc>
      </w:tr>
      <w:tr w:rsidR="008031AA" w:rsidRPr="00C73365" w:rsidTr="008031AA">
        <w:trPr>
          <w:trHeight w:val="267"/>
        </w:trPr>
        <w:tc>
          <w:tcPr>
            <w:tcW w:w="1289" w:type="dxa"/>
            <w:tcBorders>
              <w:top w:val="nil"/>
              <w:left w:val="nil"/>
              <w:bottom w:val="single" w:sz="8" w:space="0" w:color="7030A0"/>
              <w:right w:val="nil"/>
            </w:tcBorders>
            <w:shd w:val="clear" w:color="auto" w:fill="auto"/>
            <w:vAlign w:val="center"/>
            <w:hideMark/>
          </w:tcPr>
          <w:p w:rsidR="008031AA" w:rsidRPr="00C73365" w:rsidRDefault="008031A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Evry</w:t>
            </w:r>
            <w:r w:rsidRPr="00C73365">
              <w:rPr>
                <w:rFonts w:asciiTheme="minorHAnsi" w:hAnsiTheme="minorHAnsi" w:cstheme="minorHAnsi"/>
                <w:color w:val="7030A0"/>
                <w:szCs w:val="20"/>
                <w:lang w:val="fr-FR" w:eastAsia="fr-FR"/>
              </w:rPr>
              <w:t>*</w:t>
            </w:r>
          </w:p>
        </w:tc>
        <w:tc>
          <w:tcPr>
            <w:tcW w:w="1529" w:type="dxa"/>
            <w:tcBorders>
              <w:top w:val="nil"/>
              <w:left w:val="nil"/>
              <w:bottom w:val="single" w:sz="8" w:space="0" w:color="7030A0"/>
              <w:right w:val="nil"/>
            </w:tcBorders>
            <w:shd w:val="clear" w:color="auto" w:fill="auto"/>
            <w:vAlign w:val="center"/>
            <w:hideMark/>
          </w:tcPr>
          <w:p w:rsidR="008031AA" w:rsidRPr="00C73365" w:rsidRDefault="00937F02"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0,00</w:t>
            </w:r>
          </w:p>
        </w:tc>
        <w:tc>
          <w:tcPr>
            <w:tcW w:w="1529" w:type="dxa"/>
            <w:tcBorders>
              <w:top w:val="nil"/>
              <w:left w:val="nil"/>
              <w:bottom w:val="single" w:sz="8" w:space="0" w:color="7030A0"/>
              <w:right w:val="nil"/>
            </w:tcBorders>
            <w:vAlign w:val="center"/>
          </w:tcPr>
          <w:p w:rsidR="008031AA" w:rsidRPr="00C73365" w:rsidRDefault="008031A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1,00</w:t>
            </w:r>
          </w:p>
        </w:tc>
      </w:tr>
      <w:tr w:rsidR="008031AA" w:rsidRPr="00C73365" w:rsidTr="008031AA">
        <w:trPr>
          <w:trHeight w:val="382"/>
        </w:trPr>
        <w:tc>
          <w:tcPr>
            <w:tcW w:w="1289" w:type="dxa"/>
            <w:tcBorders>
              <w:top w:val="nil"/>
              <w:left w:val="nil"/>
              <w:bottom w:val="single" w:sz="8" w:space="0" w:color="7030A0"/>
              <w:right w:val="nil"/>
            </w:tcBorders>
            <w:shd w:val="clear" w:color="auto" w:fill="auto"/>
            <w:vAlign w:val="center"/>
            <w:hideMark/>
          </w:tcPr>
          <w:p w:rsidR="008031AA" w:rsidRPr="00C73365" w:rsidRDefault="008031AA"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Total </w:t>
            </w:r>
          </w:p>
        </w:tc>
        <w:tc>
          <w:tcPr>
            <w:tcW w:w="1529" w:type="dxa"/>
            <w:tcBorders>
              <w:top w:val="nil"/>
              <w:left w:val="nil"/>
              <w:bottom w:val="single" w:sz="8" w:space="0" w:color="7030A0"/>
              <w:right w:val="nil"/>
            </w:tcBorders>
            <w:shd w:val="clear" w:color="auto" w:fill="auto"/>
            <w:vAlign w:val="center"/>
            <w:hideMark/>
          </w:tcPr>
          <w:p w:rsidR="008031AA" w:rsidRPr="00C73365" w:rsidRDefault="00937F02"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24,25</w:t>
            </w:r>
          </w:p>
        </w:tc>
        <w:tc>
          <w:tcPr>
            <w:tcW w:w="1529" w:type="dxa"/>
            <w:tcBorders>
              <w:top w:val="nil"/>
              <w:left w:val="nil"/>
              <w:bottom w:val="single" w:sz="8" w:space="0" w:color="7030A0"/>
              <w:right w:val="nil"/>
            </w:tcBorders>
            <w:vAlign w:val="center"/>
          </w:tcPr>
          <w:p w:rsidR="008031AA" w:rsidRPr="00C73365" w:rsidRDefault="008031AA"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szCs w:val="20"/>
                <w:lang w:val="fr-FR" w:eastAsia="fr-FR"/>
              </w:rPr>
              <w:t>23,04</w:t>
            </w:r>
          </w:p>
        </w:tc>
      </w:tr>
    </w:tbl>
    <w:p w:rsidR="00F46C7B" w:rsidRPr="00C73365" w:rsidRDefault="00F46C7B" w:rsidP="004572A0">
      <w:pPr>
        <w:pStyle w:val="Caption"/>
        <w:rPr>
          <w:rFonts w:asciiTheme="minorHAnsi" w:eastAsia="MS Mincho" w:hAnsiTheme="minorHAnsi" w:cstheme="minorHAnsi"/>
          <w:highlight w:val="lightGray"/>
          <w:lang w:val="fr-FR" w:eastAsia="fr-FR"/>
        </w:rPr>
      </w:pPr>
      <w:r w:rsidRPr="00C73365">
        <w:rPr>
          <w:rFonts w:asciiTheme="minorHAnsi" w:eastAsia="MS Mincho" w:hAnsiTheme="minorHAnsi" w:cstheme="minorHAnsi"/>
          <w:lang w:val="fr-FR" w:eastAsia="fr-FR"/>
        </w:rPr>
        <w:t>* Site fermé au 30 Avril 2016</w:t>
      </w:r>
    </w:p>
    <w:p w:rsidR="00937F02" w:rsidRPr="00C73365" w:rsidRDefault="00937F02" w:rsidP="00A96CCA">
      <w:pPr>
        <w:spacing w:after="0"/>
        <w:rPr>
          <w:rFonts w:asciiTheme="minorHAnsi" w:eastAsia="MS Mincho" w:hAnsiTheme="minorHAnsi" w:cstheme="minorHAnsi"/>
          <w:b/>
          <w:color w:val="7030A0"/>
          <w:sz w:val="28"/>
          <w:szCs w:val="20"/>
          <w:highlight w:val="lightGray"/>
          <w:lang w:val="fr-FR" w:eastAsia="fr-FR"/>
        </w:rPr>
      </w:pPr>
    </w:p>
    <w:p w:rsidR="00F46C7B" w:rsidRPr="00C73365" w:rsidRDefault="00F46C7B" w:rsidP="004572A0">
      <w:pPr>
        <w:pStyle w:val="BodyText"/>
        <w:rPr>
          <w:rFonts w:asciiTheme="minorHAnsi" w:eastAsia="MS Mincho" w:hAnsiTheme="minorHAnsi" w:cstheme="minorHAnsi"/>
          <w:color w:val="7030A0"/>
          <w:highlight w:val="lightGray"/>
          <w:lang w:val="fr-FR" w:eastAsia="fr-FR"/>
        </w:rPr>
      </w:pPr>
      <w:r w:rsidRPr="00C73365">
        <w:rPr>
          <w:rFonts w:asciiTheme="minorHAnsi" w:eastAsia="MS Mincho" w:hAnsiTheme="minorHAnsi" w:cstheme="minorHAnsi"/>
          <w:color w:val="7030A0"/>
          <w:highlight w:val="lightGray"/>
          <w:lang w:val="fr-FR" w:eastAsia="fr-FR"/>
        </w:rPr>
        <w:br w:type="page"/>
      </w:r>
    </w:p>
    <w:p w:rsidR="00F46C7B" w:rsidRPr="00C73365" w:rsidRDefault="00F46C7B" w:rsidP="004572A0">
      <w:pPr>
        <w:pStyle w:val="BodyText"/>
        <w:rPr>
          <w:rFonts w:asciiTheme="minorHAnsi" w:eastAsia="MS Mincho" w:hAnsiTheme="minorHAnsi" w:cstheme="minorHAnsi"/>
          <w:b/>
          <w:lang w:val="fr-FR" w:eastAsia="fr-FR"/>
        </w:rPr>
      </w:pPr>
      <w:r w:rsidRPr="00C73365">
        <w:rPr>
          <w:rFonts w:asciiTheme="minorHAnsi" w:eastAsia="MS Mincho" w:hAnsiTheme="minorHAnsi" w:cstheme="minorHAnsi"/>
          <w:b/>
          <w:lang w:val="fr-FR" w:eastAsia="fr-FR"/>
        </w:rPr>
        <w:lastRenderedPageBreak/>
        <w:t>NOTE 15 – HONORAIRES DU COMMISSAIRE AUX COMPTES</w:t>
      </w:r>
    </w:p>
    <w:tbl>
      <w:tblPr>
        <w:tblW w:w="6400" w:type="dxa"/>
        <w:jc w:val="center"/>
        <w:tblLook w:val="04A0" w:firstRow="1" w:lastRow="0" w:firstColumn="1" w:lastColumn="0" w:noHBand="0" w:noVBand="1"/>
      </w:tblPr>
      <w:tblGrid>
        <w:gridCol w:w="4060"/>
        <w:gridCol w:w="1199"/>
        <w:gridCol w:w="1220"/>
      </w:tblGrid>
      <w:tr w:rsidR="004444B9" w:rsidRPr="004444B9" w:rsidTr="00D43ABA">
        <w:trPr>
          <w:trHeight w:val="315"/>
          <w:jc w:val="center"/>
        </w:trPr>
        <w:tc>
          <w:tcPr>
            <w:tcW w:w="4060" w:type="dxa"/>
            <w:tcBorders>
              <w:top w:val="single" w:sz="8" w:space="0" w:color="7030A0"/>
              <w:left w:val="nil"/>
              <w:bottom w:val="single" w:sz="8" w:space="0" w:color="7030A0"/>
              <w:right w:val="nil"/>
            </w:tcBorders>
            <w:shd w:val="clear" w:color="auto" w:fill="auto"/>
            <w:noWrap/>
            <w:vAlign w:val="center"/>
            <w:hideMark/>
          </w:tcPr>
          <w:p w:rsidR="004444B9" w:rsidRPr="004444B9" w:rsidRDefault="004444B9" w:rsidP="004444B9">
            <w:pPr>
              <w:spacing w:after="0"/>
              <w:rPr>
                <w:b/>
                <w:bCs/>
                <w:color w:val="000000"/>
                <w:szCs w:val="20"/>
              </w:rPr>
            </w:pPr>
            <w:r w:rsidRPr="004444B9">
              <w:rPr>
                <w:b/>
                <w:bCs/>
                <w:color w:val="000000"/>
                <w:szCs w:val="20"/>
                <w:lang w:eastAsia="fr-FR"/>
              </w:rPr>
              <w:t>En milliers d'euros</w:t>
            </w:r>
          </w:p>
        </w:tc>
        <w:tc>
          <w:tcPr>
            <w:tcW w:w="1120" w:type="dxa"/>
            <w:tcBorders>
              <w:top w:val="single" w:sz="8" w:space="0" w:color="7030A0"/>
              <w:left w:val="nil"/>
              <w:bottom w:val="single" w:sz="8" w:space="0" w:color="7030A0"/>
              <w:right w:val="nil"/>
            </w:tcBorders>
            <w:shd w:val="clear" w:color="auto" w:fill="auto"/>
            <w:vAlign w:val="center"/>
            <w:hideMark/>
          </w:tcPr>
          <w:p w:rsidR="004444B9" w:rsidRPr="004444B9" w:rsidRDefault="004444B9" w:rsidP="004444B9">
            <w:pPr>
              <w:spacing w:after="0"/>
              <w:jc w:val="center"/>
              <w:rPr>
                <w:b/>
                <w:bCs/>
                <w:color w:val="000000"/>
                <w:szCs w:val="20"/>
              </w:rPr>
            </w:pPr>
            <w:r w:rsidRPr="004444B9">
              <w:rPr>
                <w:b/>
                <w:bCs/>
                <w:color w:val="000000"/>
                <w:szCs w:val="20"/>
                <w:lang w:eastAsia="fr-FR"/>
              </w:rPr>
              <w:t>31/12/2017</w:t>
            </w:r>
          </w:p>
        </w:tc>
        <w:tc>
          <w:tcPr>
            <w:tcW w:w="1220" w:type="dxa"/>
            <w:tcBorders>
              <w:top w:val="single" w:sz="8" w:space="0" w:color="7030A0"/>
              <w:left w:val="nil"/>
              <w:bottom w:val="single" w:sz="8" w:space="0" w:color="7030A0"/>
              <w:right w:val="nil"/>
            </w:tcBorders>
            <w:shd w:val="clear" w:color="auto" w:fill="auto"/>
            <w:vAlign w:val="center"/>
            <w:hideMark/>
          </w:tcPr>
          <w:p w:rsidR="004444B9" w:rsidRPr="004444B9" w:rsidRDefault="004444B9" w:rsidP="004444B9">
            <w:pPr>
              <w:spacing w:after="0"/>
              <w:jc w:val="center"/>
              <w:rPr>
                <w:b/>
                <w:bCs/>
                <w:color w:val="000000"/>
                <w:szCs w:val="20"/>
              </w:rPr>
            </w:pPr>
            <w:r w:rsidRPr="004444B9">
              <w:rPr>
                <w:b/>
                <w:bCs/>
                <w:color w:val="000000"/>
                <w:szCs w:val="20"/>
                <w:lang w:eastAsia="fr-FR"/>
              </w:rPr>
              <w:t>31/12/2016</w:t>
            </w:r>
          </w:p>
        </w:tc>
      </w:tr>
      <w:tr w:rsidR="004444B9" w:rsidRPr="004444B9" w:rsidTr="00D43ABA">
        <w:trPr>
          <w:trHeight w:val="300"/>
          <w:jc w:val="center"/>
        </w:trPr>
        <w:tc>
          <w:tcPr>
            <w:tcW w:w="4060" w:type="dxa"/>
            <w:tcBorders>
              <w:top w:val="nil"/>
              <w:left w:val="nil"/>
              <w:bottom w:val="nil"/>
              <w:right w:val="nil"/>
            </w:tcBorders>
            <w:shd w:val="clear" w:color="000000" w:fill="F2F2F2"/>
            <w:noWrap/>
            <w:vAlign w:val="center"/>
            <w:hideMark/>
          </w:tcPr>
          <w:p w:rsidR="004444B9" w:rsidRPr="004444B9" w:rsidRDefault="004444B9" w:rsidP="004444B9">
            <w:pPr>
              <w:spacing w:after="0"/>
              <w:rPr>
                <w:color w:val="000000"/>
                <w:szCs w:val="20"/>
              </w:rPr>
            </w:pPr>
            <w:r w:rsidRPr="004444B9">
              <w:rPr>
                <w:color w:val="000000"/>
                <w:szCs w:val="20"/>
                <w:lang w:eastAsia="fr-FR"/>
              </w:rPr>
              <w:t>Audit</w:t>
            </w:r>
          </w:p>
        </w:tc>
        <w:tc>
          <w:tcPr>
            <w:tcW w:w="1120" w:type="dxa"/>
            <w:tcBorders>
              <w:top w:val="nil"/>
              <w:left w:val="nil"/>
              <w:bottom w:val="nil"/>
              <w:right w:val="nil"/>
            </w:tcBorders>
            <w:shd w:val="clear" w:color="000000" w:fill="F2F2F2"/>
            <w:noWrap/>
            <w:vAlign w:val="center"/>
            <w:hideMark/>
          </w:tcPr>
          <w:p w:rsidR="004444B9" w:rsidRPr="004444B9" w:rsidRDefault="004444B9" w:rsidP="004444B9">
            <w:pPr>
              <w:spacing w:after="0"/>
              <w:jc w:val="center"/>
              <w:rPr>
                <w:color w:val="000000"/>
                <w:szCs w:val="20"/>
              </w:rPr>
            </w:pPr>
            <w:r w:rsidRPr="004444B9">
              <w:rPr>
                <w:color w:val="000000"/>
                <w:szCs w:val="20"/>
                <w:lang w:eastAsia="fr-FR"/>
              </w:rPr>
              <w:t> </w:t>
            </w:r>
          </w:p>
        </w:tc>
        <w:tc>
          <w:tcPr>
            <w:tcW w:w="1220" w:type="dxa"/>
            <w:tcBorders>
              <w:top w:val="nil"/>
              <w:left w:val="nil"/>
              <w:bottom w:val="nil"/>
              <w:right w:val="nil"/>
            </w:tcBorders>
            <w:shd w:val="clear" w:color="000000" w:fill="F2F2F2"/>
            <w:noWrap/>
            <w:vAlign w:val="center"/>
            <w:hideMark/>
          </w:tcPr>
          <w:p w:rsidR="004444B9" w:rsidRPr="004444B9" w:rsidRDefault="004444B9" w:rsidP="004444B9">
            <w:pPr>
              <w:spacing w:after="0"/>
              <w:jc w:val="center"/>
              <w:rPr>
                <w:color w:val="000000"/>
                <w:szCs w:val="20"/>
              </w:rPr>
            </w:pPr>
            <w:r w:rsidRPr="004444B9">
              <w:rPr>
                <w:color w:val="000000"/>
                <w:szCs w:val="20"/>
                <w:lang w:eastAsia="fr-FR"/>
              </w:rPr>
              <w:t> </w:t>
            </w:r>
          </w:p>
        </w:tc>
      </w:tr>
      <w:tr w:rsidR="004444B9" w:rsidRPr="00F06F79" w:rsidTr="00D43ABA">
        <w:trPr>
          <w:trHeight w:val="510"/>
          <w:jc w:val="center"/>
        </w:trPr>
        <w:tc>
          <w:tcPr>
            <w:tcW w:w="4060" w:type="dxa"/>
            <w:tcBorders>
              <w:top w:val="nil"/>
              <w:left w:val="nil"/>
              <w:bottom w:val="single" w:sz="4" w:space="0" w:color="808080"/>
              <w:right w:val="nil"/>
            </w:tcBorders>
            <w:shd w:val="clear" w:color="000000" w:fill="F2F2F2"/>
            <w:noWrap/>
            <w:vAlign w:val="center"/>
            <w:hideMark/>
          </w:tcPr>
          <w:p w:rsidR="004444B9" w:rsidRPr="004444B9" w:rsidRDefault="004444B9" w:rsidP="004444B9">
            <w:pPr>
              <w:spacing w:after="0"/>
              <w:rPr>
                <w:color w:val="000000"/>
                <w:szCs w:val="20"/>
                <w:lang w:val="fr-FR"/>
              </w:rPr>
            </w:pPr>
            <w:r w:rsidRPr="004444B9">
              <w:rPr>
                <w:color w:val="000000"/>
                <w:szCs w:val="20"/>
                <w:lang w:val="fr-FR"/>
              </w:rPr>
              <w:t>Commissariat aux comptes, certification des comptes individuels</w:t>
            </w:r>
          </w:p>
        </w:tc>
        <w:tc>
          <w:tcPr>
            <w:tcW w:w="1120" w:type="dxa"/>
            <w:tcBorders>
              <w:top w:val="nil"/>
              <w:left w:val="nil"/>
              <w:bottom w:val="single" w:sz="4" w:space="0" w:color="808080"/>
              <w:right w:val="nil"/>
            </w:tcBorders>
            <w:shd w:val="clear" w:color="000000" w:fill="F2F2F2"/>
            <w:noWrap/>
            <w:vAlign w:val="center"/>
            <w:hideMark/>
          </w:tcPr>
          <w:p w:rsidR="004444B9" w:rsidRPr="004444B9" w:rsidRDefault="004444B9" w:rsidP="004444B9">
            <w:pPr>
              <w:spacing w:after="0"/>
              <w:jc w:val="center"/>
              <w:rPr>
                <w:color w:val="000000"/>
                <w:szCs w:val="20"/>
                <w:lang w:val="fr-FR"/>
              </w:rPr>
            </w:pPr>
            <w:r w:rsidRPr="004444B9">
              <w:rPr>
                <w:color w:val="000000"/>
                <w:szCs w:val="20"/>
                <w:lang w:val="fr-FR"/>
              </w:rPr>
              <w:t> </w:t>
            </w:r>
          </w:p>
        </w:tc>
        <w:tc>
          <w:tcPr>
            <w:tcW w:w="1220" w:type="dxa"/>
            <w:tcBorders>
              <w:top w:val="nil"/>
              <w:left w:val="nil"/>
              <w:bottom w:val="single" w:sz="4" w:space="0" w:color="808080"/>
              <w:right w:val="nil"/>
            </w:tcBorders>
            <w:shd w:val="clear" w:color="000000" w:fill="F2F2F2"/>
            <w:noWrap/>
            <w:vAlign w:val="center"/>
            <w:hideMark/>
          </w:tcPr>
          <w:p w:rsidR="004444B9" w:rsidRPr="004444B9" w:rsidRDefault="004444B9" w:rsidP="004444B9">
            <w:pPr>
              <w:spacing w:after="0"/>
              <w:jc w:val="center"/>
              <w:rPr>
                <w:color w:val="000000"/>
                <w:szCs w:val="20"/>
                <w:lang w:val="fr-FR"/>
              </w:rPr>
            </w:pPr>
            <w:r w:rsidRPr="004444B9">
              <w:rPr>
                <w:color w:val="000000"/>
                <w:szCs w:val="20"/>
                <w:lang w:val="fr-FR"/>
              </w:rPr>
              <w:t> </w:t>
            </w:r>
          </w:p>
        </w:tc>
      </w:tr>
      <w:tr w:rsidR="004444B9" w:rsidRPr="004444B9" w:rsidTr="00D43ABA">
        <w:trPr>
          <w:trHeight w:val="300"/>
          <w:jc w:val="center"/>
        </w:trPr>
        <w:tc>
          <w:tcPr>
            <w:tcW w:w="406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r w:rsidRPr="004444B9">
              <w:rPr>
                <w:color w:val="000000"/>
                <w:szCs w:val="20"/>
                <w:lang w:eastAsia="fr-FR"/>
              </w:rPr>
              <w:t>Emetteur</w:t>
            </w:r>
          </w:p>
        </w:tc>
        <w:tc>
          <w:tcPr>
            <w:tcW w:w="11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color w:val="000000"/>
                <w:szCs w:val="20"/>
              </w:rPr>
            </w:pPr>
            <w:r w:rsidRPr="004444B9">
              <w:rPr>
                <w:color w:val="000000"/>
                <w:szCs w:val="20"/>
                <w:lang w:eastAsia="fr-FR"/>
              </w:rPr>
              <w:t>61</w:t>
            </w:r>
          </w:p>
        </w:tc>
        <w:tc>
          <w:tcPr>
            <w:tcW w:w="12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color w:val="000000"/>
                <w:szCs w:val="20"/>
              </w:rPr>
            </w:pPr>
            <w:r w:rsidRPr="004444B9">
              <w:rPr>
                <w:color w:val="000000"/>
                <w:szCs w:val="20"/>
                <w:lang w:eastAsia="fr-FR"/>
              </w:rPr>
              <w:t>76</w:t>
            </w:r>
          </w:p>
        </w:tc>
      </w:tr>
      <w:tr w:rsidR="004444B9" w:rsidRPr="004444B9" w:rsidTr="00D43ABA">
        <w:trPr>
          <w:trHeight w:val="300"/>
          <w:jc w:val="center"/>
        </w:trPr>
        <w:tc>
          <w:tcPr>
            <w:tcW w:w="406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r w:rsidRPr="004444B9">
              <w:rPr>
                <w:color w:val="000000"/>
                <w:szCs w:val="20"/>
                <w:lang w:eastAsia="fr-FR"/>
              </w:rPr>
              <w:t>Filiales intégrées globalement</w:t>
            </w:r>
          </w:p>
        </w:tc>
        <w:tc>
          <w:tcPr>
            <w:tcW w:w="112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p>
        </w:tc>
        <w:tc>
          <w:tcPr>
            <w:tcW w:w="12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rFonts w:ascii="Times New Roman" w:hAnsi="Times New Roman"/>
                <w:szCs w:val="20"/>
              </w:rPr>
            </w:pPr>
          </w:p>
        </w:tc>
      </w:tr>
      <w:tr w:rsidR="004444B9" w:rsidRPr="00F06F79" w:rsidTr="00D43ABA">
        <w:trPr>
          <w:trHeight w:val="300"/>
          <w:jc w:val="center"/>
        </w:trPr>
        <w:tc>
          <w:tcPr>
            <w:tcW w:w="4060" w:type="dxa"/>
            <w:tcBorders>
              <w:top w:val="single" w:sz="4" w:space="0" w:color="808080"/>
              <w:left w:val="nil"/>
              <w:bottom w:val="single" w:sz="4" w:space="0" w:color="808080"/>
              <w:right w:val="nil"/>
            </w:tcBorders>
            <w:shd w:val="clear" w:color="000000" w:fill="F2F2F2"/>
            <w:noWrap/>
            <w:vAlign w:val="center"/>
            <w:hideMark/>
          </w:tcPr>
          <w:p w:rsidR="004444B9" w:rsidRPr="004444B9" w:rsidRDefault="004444B9" w:rsidP="004444B9">
            <w:pPr>
              <w:spacing w:after="0"/>
              <w:rPr>
                <w:color w:val="000000"/>
                <w:szCs w:val="20"/>
                <w:lang w:val="fr-FR"/>
              </w:rPr>
            </w:pPr>
            <w:r w:rsidRPr="004444B9">
              <w:rPr>
                <w:color w:val="000000"/>
                <w:szCs w:val="20"/>
                <w:lang w:val="fr-FR"/>
              </w:rPr>
              <w:t>Autres diligences prévues par la loi</w:t>
            </w:r>
          </w:p>
        </w:tc>
        <w:tc>
          <w:tcPr>
            <w:tcW w:w="1120" w:type="dxa"/>
            <w:tcBorders>
              <w:top w:val="single" w:sz="4" w:space="0" w:color="808080"/>
              <w:left w:val="nil"/>
              <w:bottom w:val="single" w:sz="4" w:space="0" w:color="808080"/>
              <w:right w:val="nil"/>
            </w:tcBorders>
            <w:shd w:val="clear" w:color="000000" w:fill="F2F2F2"/>
            <w:noWrap/>
            <w:vAlign w:val="center"/>
            <w:hideMark/>
          </w:tcPr>
          <w:p w:rsidR="004444B9" w:rsidRPr="004444B9" w:rsidRDefault="004444B9" w:rsidP="004444B9">
            <w:pPr>
              <w:spacing w:after="0"/>
              <w:jc w:val="center"/>
              <w:rPr>
                <w:color w:val="000000"/>
                <w:szCs w:val="20"/>
                <w:lang w:val="fr-FR"/>
              </w:rPr>
            </w:pPr>
            <w:r w:rsidRPr="004444B9">
              <w:rPr>
                <w:color w:val="000000"/>
                <w:szCs w:val="20"/>
                <w:lang w:val="fr-FR"/>
              </w:rPr>
              <w:t> </w:t>
            </w:r>
          </w:p>
        </w:tc>
        <w:tc>
          <w:tcPr>
            <w:tcW w:w="1220" w:type="dxa"/>
            <w:tcBorders>
              <w:top w:val="single" w:sz="4" w:space="0" w:color="808080"/>
              <w:left w:val="nil"/>
              <w:bottom w:val="single" w:sz="4" w:space="0" w:color="808080"/>
              <w:right w:val="nil"/>
            </w:tcBorders>
            <w:shd w:val="clear" w:color="000000" w:fill="F2F2F2"/>
            <w:noWrap/>
            <w:vAlign w:val="center"/>
            <w:hideMark/>
          </w:tcPr>
          <w:p w:rsidR="004444B9" w:rsidRPr="004444B9" w:rsidRDefault="004444B9" w:rsidP="004444B9">
            <w:pPr>
              <w:spacing w:after="0"/>
              <w:jc w:val="center"/>
              <w:rPr>
                <w:color w:val="000000"/>
                <w:szCs w:val="20"/>
                <w:lang w:val="fr-FR"/>
              </w:rPr>
            </w:pPr>
            <w:r w:rsidRPr="004444B9">
              <w:rPr>
                <w:color w:val="000000"/>
                <w:szCs w:val="20"/>
                <w:lang w:val="fr-FR"/>
              </w:rPr>
              <w:t> </w:t>
            </w:r>
          </w:p>
        </w:tc>
      </w:tr>
      <w:tr w:rsidR="004444B9" w:rsidRPr="004444B9" w:rsidTr="00D43ABA">
        <w:trPr>
          <w:trHeight w:val="300"/>
          <w:jc w:val="center"/>
        </w:trPr>
        <w:tc>
          <w:tcPr>
            <w:tcW w:w="406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r w:rsidRPr="004444B9">
              <w:rPr>
                <w:color w:val="000000"/>
                <w:szCs w:val="20"/>
                <w:lang w:eastAsia="fr-FR"/>
              </w:rPr>
              <w:t>Emetteur</w:t>
            </w:r>
          </w:p>
        </w:tc>
        <w:tc>
          <w:tcPr>
            <w:tcW w:w="11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color w:val="000000"/>
                <w:szCs w:val="20"/>
              </w:rPr>
            </w:pPr>
            <w:r w:rsidRPr="004444B9">
              <w:rPr>
                <w:color w:val="000000"/>
                <w:szCs w:val="20"/>
                <w:lang w:eastAsia="fr-FR"/>
              </w:rPr>
              <w:t> 28</w:t>
            </w:r>
          </w:p>
        </w:tc>
        <w:tc>
          <w:tcPr>
            <w:tcW w:w="12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color w:val="000000"/>
                <w:szCs w:val="20"/>
              </w:rPr>
            </w:pPr>
          </w:p>
        </w:tc>
      </w:tr>
      <w:tr w:rsidR="004444B9" w:rsidRPr="004444B9" w:rsidTr="00D43ABA">
        <w:trPr>
          <w:trHeight w:val="315"/>
          <w:jc w:val="center"/>
        </w:trPr>
        <w:tc>
          <w:tcPr>
            <w:tcW w:w="406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r w:rsidRPr="004444B9">
              <w:rPr>
                <w:color w:val="000000"/>
                <w:szCs w:val="20"/>
                <w:lang w:eastAsia="fr-FR"/>
              </w:rPr>
              <w:t>Filiales intégrées globalement</w:t>
            </w:r>
          </w:p>
        </w:tc>
        <w:tc>
          <w:tcPr>
            <w:tcW w:w="112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p>
        </w:tc>
        <w:tc>
          <w:tcPr>
            <w:tcW w:w="12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rFonts w:ascii="Times New Roman" w:hAnsi="Times New Roman"/>
                <w:szCs w:val="20"/>
              </w:rPr>
            </w:pPr>
          </w:p>
        </w:tc>
      </w:tr>
      <w:tr w:rsidR="004444B9" w:rsidRPr="004444B9" w:rsidTr="00D43ABA">
        <w:trPr>
          <w:trHeight w:val="315"/>
          <w:jc w:val="center"/>
        </w:trPr>
        <w:tc>
          <w:tcPr>
            <w:tcW w:w="4060" w:type="dxa"/>
            <w:tcBorders>
              <w:top w:val="single" w:sz="8" w:space="0" w:color="7030A0"/>
              <w:left w:val="nil"/>
              <w:bottom w:val="single" w:sz="8" w:space="0" w:color="7030A0"/>
              <w:right w:val="nil"/>
            </w:tcBorders>
            <w:shd w:val="clear" w:color="auto" w:fill="auto"/>
            <w:noWrap/>
            <w:vAlign w:val="center"/>
            <w:hideMark/>
          </w:tcPr>
          <w:p w:rsidR="004444B9" w:rsidRPr="004444B9" w:rsidRDefault="004444B9" w:rsidP="004444B9">
            <w:pPr>
              <w:spacing w:after="0"/>
              <w:rPr>
                <w:b/>
                <w:bCs/>
                <w:color w:val="7030A0"/>
                <w:szCs w:val="20"/>
              </w:rPr>
            </w:pPr>
            <w:r w:rsidRPr="004444B9">
              <w:rPr>
                <w:b/>
                <w:bCs/>
                <w:color w:val="7030A0"/>
                <w:szCs w:val="20"/>
                <w:lang w:eastAsia="fr-FR"/>
              </w:rPr>
              <w:t>Sous-total</w:t>
            </w:r>
          </w:p>
        </w:tc>
        <w:tc>
          <w:tcPr>
            <w:tcW w:w="1120" w:type="dxa"/>
            <w:tcBorders>
              <w:top w:val="single" w:sz="8" w:space="0" w:color="7030A0"/>
              <w:left w:val="nil"/>
              <w:bottom w:val="single" w:sz="8" w:space="0" w:color="7030A0"/>
              <w:right w:val="nil"/>
            </w:tcBorders>
            <w:shd w:val="clear" w:color="auto" w:fill="auto"/>
            <w:vAlign w:val="center"/>
            <w:hideMark/>
          </w:tcPr>
          <w:p w:rsidR="004444B9" w:rsidRPr="004444B9" w:rsidRDefault="004444B9" w:rsidP="004444B9">
            <w:pPr>
              <w:spacing w:after="0"/>
              <w:jc w:val="center"/>
              <w:rPr>
                <w:b/>
                <w:bCs/>
                <w:color w:val="7030A0"/>
                <w:szCs w:val="20"/>
              </w:rPr>
            </w:pPr>
            <w:r w:rsidRPr="004444B9">
              <w:rPr>
                <w:b/>
                <w:bCs/>
                <w:color w:val="7030A0"/>
                <w:szCs w:val="20"/>
                <w:lang w:eastAsia="fr-FR"/>
              </w:rPr>
              <w:t>89</w:t>
            </w:r>
          </w:p>
        </w:tc>
        <w:tc>
          <w:tcPr>
            <w:tcW w:w="1220" w:type="dxa"/>
            <w:tcBorders>
              <w:top w:val="single" w:sz="8" w:space="0" w:color="7030A0"/>
              <w:left w:val="nil"/>
              <w:bottom w:val="single" w:sz="8" w:space="0" w:color="7030A0"/>
              <w:right w:val="nil"/>
            </w:tcBorders>
            <w:shd w:val="clear" w:color="auto" w:fill="auto"/>
            <w:vAlign w:val="center"/>
            <w:hideMark/>
          </w:tcPr>
          <w:p w:rsidR="004444B9" w:rsidRPr="004444B9" w:rsidRDefault="004444B9" w:rsidP="004444B9">
            <w:pPr>
              <w:spacing w:after="0"/>
              <w:jc w:val="center"/>
              <w:rPr>
                <w:b/>
                <w:bCs/>
                <w:color w:val="7030A0"/>
                <w:szCs w:val="20"/>
              </w:rPr>
            </w:pPr>
            <w:r w:rsidRPr="004444B9">
              <w:rPr>
                <w:b/>
                <w:bCs/>
                <w:color w:val="7030A0"/>
                <w:szCs w:val="20"/>
                <w:lang w:eastAsia="fr-FR"/>
              </w:rPr>
              <w:t>76</w:t>
            </w:r>
          </w:p>
        </w:tc>
      </w:tr>
      <w:tr w:rsidR="004444B9" w:rsidRPr="00F06F79" w:rsidTr="00D43ABA">
        <w:trPr>
          <w:trHeight w:val="510"/>
          <w:jc w:val="center"/>
        </w:trPr>
        <w:tc>
          <w:tcPr>
            <w:tcW w:w="406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lang w:val="fr-FR"/>
              </w:rPr>
            </w:pPr>
            <w:r w:rsidRPr="004444B9">
              <w:rPr>
                <w:color w:val="000000"/>
                <w:szCs w:val="20"/>
                <w:lang w:val="fr-FR"/>
              </w:rPr>
              <w:t>Autres prestations rendues par les réseaux aux filiales intégrées globalement</w:t>
            </w:r>
          </w:p>
        </w:tc>
        <w:tc>
          <w:tcPr>
            <w:tcW w:w="112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lang w:val="fr-FR"/>
              </w:rPr>
            </w:pPr>
          </w:p>
        </w:tc>
        <w:tc>
          <w:tcPr>
            <w:tcW w:w="12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rFonts w:ascii="Times New Roman" w:hAnsi="Times New Roman"/>
                <w:szCs w:val="20"/>
                <w:lang w:val="fr-FR"/>
              </w:rPr>
            </w:pPr>
          </w:p>
        </w:tc>
      </w:tr>
      <w:tr w:rsidR="004444B9" w:rsidRPr="004444B9" w:rsidTr="00D43ABA">
        <w:trPr>
          <w:trHeight w:val="300"/>
          <w:jc w:val="center"/>
        </w:trPr>
        <w:tc>
          <w:tcPr>
            <w:tcW w:w="406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r w:rsidRPr="004444B9">
              <w:rPr>
                <w:color w:val="000000"/>
                <w:szCs w:val="20"/>
                <w:lang w:eastAsia="fr-FR"/>
              </w:rPr>
              <w:t>Juridique, fiscal, social</w:t>
            </w:r>
          </w:p>
        </w:tc>
        <w:tc>
          <w:tcPr>
            <w:tcW w:w="112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rPr>
            </w:pPr>
          </w:p>
        </w:tc>
        <w:tc>
          <w:tcPr>
            <w:tcW w:w="12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rFonts w:ascii="Times New Roman" w:hAnsi="Times New Roman"/>
                <w:szCs w:val="20"/>
              </w:rPr>
            </w:pPr>
          </w:p>
        </w:tc>
      </w:tr>
      <w:tr w:rsidR="004444B9" w:rsidRPr="00F06F79" w:rsidTr="00D43ABA">
        <w:trPr>
          <w:trHeight w:val="525"/>
          <w:jc w:val="center"/>
        </w:trPr>
        <w:tc>
          <w:tcPr>
            <w:tcW w:w="406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lang w:val="fr-FR"/>
              </w:rPr>
            </w:pPr>
            <w:r w:rsidRPr="004444B9">
              <w:rPr>
                <w:color w:val="000000"/>
                <w:szCs w:val="20"/>
                <w:lang w:val="fr-FR"/>
              </w:rPr>
              <w:t>Autres (à préciser si supérieur à 10% des honoraires d'audit)</w:t>
            </w:r>
          </w:p>
        </w:tc>
        <w:tc>
          <w:tcPr>
            <w:tcW w:w="1120" w:type="dxa"/>
            <w:tcBorders>
              <w:top w:val="nil"/>
              <w:left w:val="nil"/>
              <w:bottom w:val="nil"/>
              <w:right w:val="nil"/>
            </w:tcBorders>
            <w:shd w:val="clear" w:color="auto" w:fill="auto"/>
            <w:noWrap/>
            <w:vAlign w:val="center"/>
            <w:hideMark/>
          </w:tcPr>
          <w:p w:rsidR="004444B9" w:rsidRPr="004444B9" w:rsidRDefault="004444B9" w:rsidP="004444B9">
            <w:pPr>
              <w:spacing w:after="0"/>
              <w:rPr>
                <w:color w:val="000000"/>
                <w:szCs w:val="20"/>
                <w:lang w:val="fr-FR"/>
              </w:rPr>
            </w:pPr>
          </w:p>
        </w:tc>
        <w:tc>
          <w:tcPr>
            <w:tcW w:w="1220" w:type="dxa"/>
            <w:tcBorders>
              <w:top w:val="nil"/>
              <w:left w:val="nil"/>
              <w:bottom w:val="nil"/>
              <w:right w:val="nil"/>
            </w:tcBorders>
            <w:shd w:val="clear" w:color="auto" w:fill="auto"/>
            <w:noWrap/>
            <w:vAlign w:val="center"/>
            <w:hideMark/>
          </w:tcPr>
          <w:p w:rsidR="004444B9" w:rsidRPr="004444B9" w:rsidRDefault="004444B9" w:rsidP="004444B9">
            <w:pPr>
              <w:spacing w:after="0"/>
              <w:jc w:val="center"/>
              <w:rPr>
                <w:rFonts w:ascii="Times New Roman" w:hAnsi="Times New Roman"/>
                <w:szCs w:val="20"/>
                <w:lang w:val="fr-FR"/>
              </w:rPr>
            </w:pPr>
          </w:p>
        </w:tc>
      </w:tr>
      <w:tr w:rsidR="004444B9" w:rsidRPr="004444B9" w:rsidTr="00D43ABA">
        <w:trPr>
          <w:trHeight w:val="315"/>
          <w:jc w:val="center"/>
        </w:trPr>
        <w:tc>
          <w:tcPr>
            <w:tcW w:w="4060" w:type="dxa"/>
            <w:tcBorders>
              <w:top w:val="single" w:sz="8" w:space="0" w:color="7030A0"/>
              <w:left w:val="nil"/>
              <w:bottom w:val="single" w:sz="8" w:space="0" w:color="7030A0"/>
              <w:right w:val="nil"/>
            </w:tcBorders>
            <w:shd w:val="clear" w:color="auto" w:fill="auto"/>
            <w:noWrap/>
            <w:vAlign w:val="center"/>
            <w:hideMark/>
          </w:tcPr>
          <w:p w:rsidR="004444B9" w:rsidRPr="004444B9" w:rsidRDefault="004444B9" w:rsidP="004444B9">
            <w:pPr>
              <w:spacing w:after="0"/>
              <w:rPr>
                <w:b/>
                <w:bCs/>
                <w:color w:val="7030A0"/>
                <w:szCs w:val="20"/>
              </w:rPr>
            </w:pPr>
            <w:r w:rsidRPr="004444B9">
              <w:rPr>
                <w:b/>
                <w:bCs/>
                <w:color w:val="7030A0"/>
                <w:szCs w:val="20"/>
                <w:lang w:eastAsia="fr-FR"/>
              </w:rPr>
              <w:t>Sous-total</w:t>
            </w:r>
          </w:p>
        </w:tc>
        <w:tc>
          <w:tcPr>
            <w:tcW w:w="1120" w:type="dxa"/>
            <w:tcBorders>
              <w:top w:val="single" w:sz="8" w:space="0" w:color="7030A0"/>
              <w:left w:val="nil"/>
              <w:bottom w:val="single" w:sz="8" w:space="0" w:color="7030A0"/>
              <w:right w:val="nil"/>
            </w:tcBorders>
            <w:shd w:val="clear" w:color="auto" w:fill="auto"/>
            <w:vAlign w:val="center"/>
            <w:hideMark/>
          </w:tcPr>
          <w:p w:rsidR="004444B9" w:rsidRPr="004444B9" w:rsidRDefault="004444B9" w:rsidP="004444B9">
            <w:pPr>
              <w:spacing w:after="0"/>
              <w:jc w:val="center"/>
              <w:rPr>
                <w:b/>
                <w:bCs/>
                <w:color w:val="7030A0"/>
                <w:szCs w:val="20"/>
              </w:rPr>
            </w:pPr>
            <w:r w:rsidRPr="004444B9">
              <w:rPr>
                <w:b/>
                <w:bCs/>
                <w:color w:val="7030A0"/>
                <w:szCs w:val="20"/>
                <w:lang w:eastAsia="fr-FR"/>
              </w:rPr>
              <w:t>0</w:t>
            </w:r>
          </w:p>
        </w:tc>
        <w:tc>
          <w:tcPr>
            <w:tcW w:w="1220" w:type="dxa"/>
            <w:tcBorders>
              <w:top w:val="single" w:sz="8" w:space="0" w:color="7030A0"/>
              <w:left w:val="nil"/>
              <w:bottom w:val="single" w:sz="8" w:space="0" w:color="7030A0"/>
              <w:right w:val="nil"/>
            </w:tcBorders>
            <w:shd w:val="clear" w:color="auto" w:fill="auto"/>
            <w:vAlign w:val="center"/>
            <w:hideMark/>
          </w:tcPr>
          <w:p w:rsidR="004444B9" w:rsidRPr="004444B9" w:rsidRDefault="004444B9" w:rsidP="004444B9">
            <w:pPr>
              <w:spacing w:after="0"/>
              <w:jc w:val="center"/>
              <w:rPr>
                <w:b/>
                <w:bCs/>
                <w:color w:val="7030A0"/>
                <w:szCs w:val="20"/>
              </w:rPr>
            </w:pPr>
            <w:r w:rsidRPr="004444B9">
              <w:rPr>
                <w:b/>
                <w:bCs/>
                <w:color w:val="7030A0"/>
                <w:szCs w:val="20"/>
                <w:lang w:eastAsia="fr-FR"/>
              </w:rPr>
              <w:t>0</w:t>
            </w:r>
          </w:p>
        </w:tc>
      </w:tr>
      <w:tr w:rsidR="004444B9" w:rsidRPr="004444B9" w:rsidTr="00D43ABA">
        <w:trPr>
          <w:trHeight w:val="315"/>
          <w:jc w:val="center"/>
        </w:trPr>
        <w:tc>
          <w:tcPr>
            <w:tcW w:w="4060" w:type="dxa"/>
            <w:tcBorders>
              <w:top w:val="nil"/>
              <w:left w:val="nil"/>
              <w:bottom w:val="single" w:sz="8" w:space="0" w:color="7030A0"/>
              <w:right w:val="nil"/>
            </w:tcBorders>
            <w:shd w:val="clear" w:color="auto" w:fill="auto"/>
            <w:noWrap/>
            <w:vAlign w:val="center"/>
            <w:hideMark/>
          </w:tcPr>
          <w:p w:rsidR="004444B9" w:rsidRPr="004444B9" w:rsidRDefault="004444B9" w:rsidP="004444B9">
            <w:pPr>
              <w:spacing w:after="0"/>
              <w:rPr>
                <w:b/>
                <w:bCs/>
                <w:color w:val="7030A0"/>
                <w:szCs w:val="20"/>
              </w:rPr>
            </w:pPr>
            <w:r w:rsidRPr="004444B9">
              <w:rPr>
                <w:b/>
                <w:bCs/>
                <w:color w:val="7030A0"/>
                <w:szCs w:val="20"/>
                <w:lang w:eastAsia="fr-FR"/>
              </w:rPr>
              <w:t>TOTAL GENERAL</w:t>
            </w:r>
          </w:p>
        </w:tc>
        <w:tc>
          <w:tcPr>
            <w:tcW w:w="1120" w:type="dxa"/>
            <w:tcBorders>
              <w:top w:val="nil"/>
              <w:left w:val="nil"/>
              <w:bottom w:val="single" w:sz="8" w:space="0" w:color="7030A0"/>
              <w:right w:val="nil"/>
            </w:tcBorders>
            <w:shd w:val="clear" w:color="auto" w:fill="auto"/>
            <w:vAlign w:val="center"/>
            <w:hideMark/>
          </w:tcPr>
          <w:p w:rsidR="004444B9" w:rsidRPr="004444B9" w:rsidRDefault="004444B9" w:rsidP="004444B9">
            <w:pPr>
              <w:spacing w:after="0"/>
              <w:jc w:val="center"/>
              <w:rPr>
                <w:b/>
                <w:bCs/>
                <w:color w:val="7030A0"/>
                <w:szCs w:val="20"/>
              </w:rPr>
            </w:pPr>
            <w:r w:rsidRPr="004444B9">
              <w:rPr>
                <w:b/>
                <w:bCs/>
                <w:color w:val="7030A0"/>
                <w:szCs w:val="20"/>
                <w:lang w:eastAsia="fr-FR"/>
              </w:rPr>
              <w:t>89</w:t>
            </w:r>
          </w:p>
        </w:tc>
        <w:tc>
          <w:tcPr>
            <w:tcW w:w="1220" w:type="dxa"/>
            <w:tcBorders>
              <w:top w:val="nil"/>
              <w:left w:val="nil"/>
              <w:bottom w:val="single" w:sz="8" w:space="0" w:color="7030A0"/>
              <w:right w:val="nil"/>
            </w:tcBorders>
            <w:shd w:val="clear" w:color="auto" w:fill="auto"/>
            <w:noWrap/>
            <w:vAlign w:val="center"/>
            <w:hideMark/>
          </w:tcPr>
          <w:p w:rsidR="004444B9" w:rsidRPr="004444B9" w:rsidRDefault="004444B9" w:rsidP="004444B9">
            <w:pPr>
              <w:spacing w:after="0"/>
              <w:jc w:val="center"/>
              <w:rPr>
                <w:b/>
                <w:bCs/>
                <w:color w:val="7030A0"/>
                <w:szCs w:val="20"/>
              </w:rPr>
            </w:pPr>
            <w:r w:rsidRPr="004444B9">
              <w:rPr>
                <w:b/>
                <w:bCs/>
                <w:color w:val="7030A0"/>
                <w:szCs w:val="20"/>
                <w:lang w:eastAsia="fr-FR"/>
              </w:rPr>
              <w:t>76</w:t>
            </w:r>
          </w:p>
        </w:tc>
      </w:tr>
    </w:tbl>
    <w:p w:rsidR="00F46C7B" w:rsidRPr="00C73365" w:rsidRDefault="00F46C7B" w:rsidP="00A96CCA">
      <w:pPr>
        <w:spacing w:after="0"/>
        <w:ind w:right="-2"/>
        <w:rPr>
          <w:rFonts w:asciiTheme="minorHAnsi" w:eastAsia="MS Mincho" w:hAnsiTheme="minorHAnsi" w:cstheme="minorHAnsi"/>
          <w:szCs w:val="20"/>
          <w:highlight w:val="lightGray"/>
          <w:lang w:val="fr-FR" w:eastAsia="fr-FR"/>
        </w:rPr>
      </w:pPr>
    </w:p>
    <w:p w:rsidR="00F46C7B" w:rsidRPr="00C73365" w:rsidRDefault="00F46C7B" w:rsidP="00A96CCA">
      <w:pPr>
        <w:spacing w:after="0"/>
        <w:rPr>
          <w:rFonts w:asciiTheme="minorHAnsi" w:eastAsia="MS Mincho" w:hAnsiTheme="minorHAnsi" w:cstheme="minorHAnsi"/>
          <w:szCs w:val="20"/>
          <w:highlight w:val="lightGray"/>
          <w:lang w:val="fr-FR" w:eastAsia="fr-FR"/>
        </w:rPr>
      </w:pPr>
      <w:r w:rsidRPr="00C73365">
        <w:rPr>
          <w:rFonts w:asciiTheme="minorHAnsi" w:eastAsia="MS Mincho" w:hAnsiTheme="minorHAnsi" w:cstheme="minorHAnsi"/>
          <w:szCs w:val="20"/>
          <w:highlight w:val="lightGray"/>
          <w:lang w:val="fr-FR" w:eastAsia="fr-FR"/>
        </w:rPr>
        <w:br w:type="page"/>
      </w:r>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Comptes sociaux d’</w:t>
      </w:r>
      <w:r w:rsidR="00EF089C" w:rsidRPr="00C73365">
        <w:rPr>
          <w:rFonts w:asciiTheme="minorHAnsi" w:hAnsiTheme="minorHAnsi" w:cstheme="minorHAnsi"/>
          <w:b/>
          <w:color w:val="7030A0"/>
          <w:lang w:val="fr-FR"/>
        </w:rPr>
        <w:t>ABIVAX</w:t>
      </w:r>
      <w:r w:rsidRPr="00C73365">
        <w:rPr>
          <w:rFonts w:asciiTheme="minorHAnsi" w:hAnsiTheme="minorHAnsi" w:cstheme="minorHAnsi"/>
          <w:b/>
          <w:color w:val="7030A0"/>
          <w:lang w:val="fr-FR"/>
        </w:rPr>
        <w:t xml:space="preserve"> établis selon les normes françaises pour les exercices clos le </w:t>
      </w:r>
      <w:r w:rsidR="00EB6C9B" w:rsidRPr="00C73365">
        <w:rPr>
          <w:rFonts w:asciiTheme="minorHAnsi" w:hAnsiTheme="minorHAnsi" w:cstheme="minorHAnsi"/>
          <w:b/>
          <w:color w:val="7030A0"/>
          <w:lang w:val="fr-FR"/>
        </w:rPr>
        <w:t xml:space="preserve">31 décembre 2016, </w:t>
      </w:r>
      <w:r w:rsidR="000074C0" w:rsidRPr="00C73365">
        <w:rPr>
          <w:rFonts w:asciiTheme="minorHAnsi" w:hAnsiTheme="minorHAnsi" w:cstheme="minorHAnsi"/>
          <w:b/>
          <w:color w:val="7030A0"/>
          <w:lang w:val="fr-FR"/>
        </w:rPr>
        <w:t xml:space="preserve">31 décembre 2015, </w:t>
      </w:r>
      <w:r w:rsidRPr="00C73365">
        <w:rPr>
          <w:rFonts w:asciiTheme="minorHAnsi" w:hAnsiTheme="minorHAnsi" w:cstheme="minorHAnsi"/>
          <w:b/>
          <w:color w:val="7030A0"/>
          <w:lang w:val="fr-FR"/>
        </w:rPr>
        <w:t xml:space="preserve">31 décembre 2014 </w:t>
      </w:r>
    </w:p>
    <w:p w:rsidR="00F46C7B" w:rsidRPr="00C73365" w:rsidRDefault="00F46C7B">
      <w:pPr>
        <w:pStyle w:val="ConmainL2"/>
        <w:numPr>
          <w:ilvl w:val="0"/>
          <w:numId w:val="0"/>
        </w:numPr>
        <w:spacing w:after="0"/>
        <w:outlineLvl w:val="9"/>
        <w:rPr>
          <w:rFonts w:asciiTheme="minorHAnsi" w:hAnsiTheme="minorHAnsi" w:cstheme="minorHAnsi"/>
          <w:b w:val="0"/>
          <w:lang w:val="fr-FR"/>
        </w:rPr>
      </w:pPr>
    </w:p>
    <w:p w:rsidR="00F46C7B" w:rsidRPr="00C73365" w:rsidRDefault="00F46C7B">
      <w:pPr>
        <w:pStyle w:val="ConmainL2"/>
        <w:numPr>
          <w:ilvl w:val="0"/>
          <w:numId w:val="0"/>
        </w:numPr>
        <w:spacing w:after="0"/>
        <w:outlineLvl w:val="9"/>
        <w:rPr>
          <w:rFonts w:asciiTheme="minorHAnsi" w:hAnsiTheme="minorHAnsi" w:cstheme="minorHAnsi"/>
          <w:b w:val="0"/>
          <w:lang w:val="fr-FR"/>
        </w:rPr>
      </w:pPr>
      <w:r w:rsidRPr="00C73365">
        <w:rPr>
          <w:rFonts w:asciiTheme="minorHAnsi" w:hAnsiTheme="minorHAnsi" w:cstheme="minorHAnsi"/>
          <w:b w:val="0"/>
          <w:lang w:val="fr-FR"/>
        </w:rPr>
        <w:t>En application de l’article 28 du Règlement (CE) n° 809/2004 de la Commission du 29 avril 2004, les éléments suivants sont incorporés par référence:</w:t>
      </w:r>
    </w:p>
    <w:p w:rsidR="00EB6C9B" w:rsidRPr="00C73365" w:rsidRDefault="00EB6C9B" w:rsidP="00434C49">
      <w:pPr>
        <w:pStyle w:val="ListParagraph"/>
        <w:numPr>
          <w:ilvl w:val="0"/>
          <w:numId w:val="84"/>
        </w:numPr>
        <w:spacing w:after="0"/>
        <w:rPr>
          <w:rFonts w:asciiTheme="minorHAnsi" w:hAnsiTheme="minorHAnsi" w:cstheme="minorHAnsi"/>
          <w:szCs w:val="18"/>
          <w:lang w:val="fr-FR"/>
        </w:rPr>
      </w:pPr>
      <w:r w:rsidRPr="00C73365">
        <w:rPr>
          <w:rFonts w:asciiTheme="minorHAnsi" w:hAnsiTheme="minorHAnsi" w:cstheme="minorHAnsi"/>
          <w:szCs w:val="18"/>
          <w:lang w:val="fr-FR"/>
        </w:rPr>
        <w:t>Les comptes sociaux d’</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pour l’exercice clos le 31 décembre 2016 ainsi que le rapport des commissaires aux comptes y afférent présentés respectivement aux pages 176 à 202 Document de Référence n° R. 17-043 déposé auprès de l’Autorité des marchés financiers le 11 mai 2017.</w:t>
      </w:r>
    </w:p>
    <w:p w:rsidR="000074C0" w:rsidRPr="00C73365" w:rsidRDefault="000074C0" w:rsidP="00434C49">
      <w:pPr>
        <w:pStyle w:val="ListParagraph"/>
        <w:numPr>
          <w:ilvl w:val="0"/>
          <w:numId w:val="84"/>
        </w:numPr>
        <w:spacing w:after="0"/>
        <w:rPr>
          <w:rFonts w:asciiTheme="minorHAnsi" w:hAnsiTheme="minorHAnsi" w:cstheme="minorHAnsi"/>
          <w:szCs w:val="18"/>
          <w:lang w:val="fr-FR"/>
        </w:rPr>
      </w:pPr>
      <w:r w:rsidRPr="00C73365">
        <w:rPr>
          <w:rFonts w:asciiTheme="minorHAnsi" w:hAnsiTheme="minorHAnsi" w:cstheme="minorHAnsi"/>
          <w:szCs w:val="18"/>
          <w:lang w:val="fr-FR"/>
        </w:rPr>
        <w:t>Les comptes sociaux d’</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pour l’exercice clos le 31 décembre 2015 ainsi que le rapport des commissaires aux comptes y afférent présentés respectivement aux pages 180 à 206 et 210 à 211 du Document de Référence n° R. 16-0081 déposé auprès de l’Autorité des marchés financiers le 16 décembre 2016.</w:t>
      </w:r>
    </w:p>
    <w:p w:rsidR="000074C0" w:rsidRPr="001479F8" w:rsidRDefault="000074C0" w:rsidP="00434C49">
      <w:pPr>
        <w:pStyle w:val="ListParagraph"/>
        <w:numPr>
          <w:ilvl w:val="0"/>
          <w:numId w:val="84"/>
        </w:numPr>
        <w:spacing w:after="0"/>
        <w:rPr>
          <w:rFonts w:asciiTheme="minorHAnsi" w:hAnsiTheme="minorHAnsi" w:cstheme="minorHAnsi"/>
          <w:szCs w:val="18"/>
          <w:lang w:val="fr-FR"/>
        </w:rPr>
      </w:pPr>
      <w:r w:rsidRPr="00C73365">
        <w:rPr>
          <w:rFonts w:asciiTheme="minorHAnsi" w:hAnsiTheme="minorHAnsi" w:cstheme="minorHAnsi"/>
          <w:szCs w:val="18"/>
          <w:lang w:val="fr-FR"/>
        </w:rPr>
        <w:t>Les comptes sociaux d’</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pour l’exercice clos le 31 décembre 2014 ainsi que le rapport des commissaires aux comptes y afférent présentés respectivement aux pages 186 à 216 et 271 à 272 du Document de Base n° I. 15-0040 déposé auprès de l’Autorité des marchés financiers le 19 mai 2015.</w:t>
      </w:r>
    </w:p>
    <w:p w:rsidR="000074C0" w:rsidRPr="00C73365" w:rsidRDefault="000074C0" w:rsidP="00434C49">
      <w:pPr>
        <w:pStyle w:val="ListParagraph"/>
        <w:numPr>
          <w:ilvl w:val="0"/>
          <w:numId w:val="84"/>
        </w:numPr>
        <w:spacing w:after="0"/>
        <w:rPr>
          <w:rFonts w:asciiTheme="minorHAnsi" w:hAnsiTheme="minorHAnsi" w:cstheme="minorHAnsi"/>
          <w:szCs w:val="18"/>
          <w:lang w:val="fr-FR"/>
        </w:rPr>
      </w:pPr>
      <w:r w:rsidRPr="00C73365">
        <w:rPr>
          <w:rFonts w:asciiTheme="minorHAnsi" w:hAnsiTheme="minorHAnsi" w:cstheme="minorHAnsi"/>
          <w:szCs w:val="18"/>
          <w:lang w:val="fr-FR"/>
        </w:rPr>
        <w:t>Les informations financières pro forma d’</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pour les exercices clos le 31 décembre 2014 et le 31 décembre 2013 ainsi que le rapport des commissaires aux comptes y afférent présentés respectivement aux pages 266 à 270 et 281 à 282 du Document de Base n° I. 15-0040 déposé auprès de l’Autorité des marchés financiers le 19 mai 2015.</w:t>
      </w:r>
    </w:p>
    <w:p w:rsidR="00F46C7B" w:rsidRPr="00C73365" w:rsidRDefault="00F46C7B" w:rsidP="00A96CCA">
      <w:pPr>
        <w:spacing w:after="0"/>
        <w:rPr>
          <w:rFonts w:asciiTheme="minorHAnsi" w:hAnsiTheme="minorHAnsi" w:cstheme="minorHAnsi"/>
          <w:b/>
          <w:szCs w:val="20"/>
          <w:highlight w:val="yellow"/>
          <w:lang w:val="fr-FR"/>
        </w:rPr>
      </w:pPr>
      <w:r w:rsidRPr="00C73365">
        <w:rPr>
          <w:rFonts w:asciiTheme="minorHAnsi" w:hAnsiTheme="minorHAnsi" w:cstheme="minorHAnsi"/>
          <w:highlight w:val="yellow"/>
          <w:lang w:val="fr-FR"/>
        </w:rPr>
        <w:br w:type="page"/>
      </w:r>
    </w:p>
    <w:p w:rsidR="00F46C7B" w:rsidRPr="00C73365" w:rsidRDefault="00F46C7B" w:rsidP="00B13DC0">
      <w:pPr>
        <w:pStyle w:val="ConmainL2"/>
        <w:numPr>
          <w:ilvl w:val="1"/>
          <w:numId w:val="9"/>
        </w:numPr>
        <w:rPr>
          <w:rFonts w:asciiTheme="minorHAnsi" w:hAnsiTheme="minorHAnsi" w:cstheme="minorHAnsi"/>
          <w:sz w:val="22"/>
          <w:lang w:val="fr-FR"/>
        </w:rPr>
      </w:pPr>
      <w:bookmarkStart w:id="1452" w:name="_Toc402884189"/>
      <w:bookmarkStart w:id="1453" w:name="_Toc462673298"/>
      <w:bookmarkStart w:id="1454" w:name="_Toc467835647"/>
      <w:bookmarkStart w:id="1455" w:name="_Toc512863966"/>
      <w:r w:rsidRPr="00C73365">
        <w:rPr>
          <w:rFonts w:asciiTheme="minorHAnsi" w:hAnsiTheme="minorHAnsi" w:cstheme="minorHAnsi"/>
          <w:sz w:val="22"/>
          <w:lang w:val="fr-FR"/>
        </w:rPr>
        <w:lastRenderedPageBreak/>
        <w:t>Vérification des informations financières historiques annuelles</w:t>
      </w:r>
      <w:bookmarkEnd w:id="1452"/>
      <w:bookmarkEnd w:id="1453"/>
      <w:bookmarkEnd w:id="1454"/>
      <w:bookmarkEnd w:id="1455"/>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Rapport d’audit des commissaires aux comptes sur les comptes sociaux d’</w:t>
      </w:r>
      <w:r w:rsidR="00EF089C" w:rsidRPr="00C73365">
        <w:rPr>
          <w:rFonts w:asciiTheme="minorHAnsi" w:hAnsiTheme="minorHAnsi" w:cstheme="minorHAnsi"/>
          <w:b/>
          <w:color w:val="7030A0"/>
          <w:lang w:val="fr-FR"/>
        </w:rPr>
        <w:t>ABIVAX</w:t>
      </w:r>
      <w:r w:rsidRPr="00C73365">
        <w:rPr>
          <w:rFonts w:asciiTheme="minorHAnsi" w:hAnsiTheme="minorHAnsi" w:cstheme="minorHAnsi"/>
          <w:b/>
          <w:color w:val="7030A0"/>
          <w:lang w:val="fr-FR"/>
        </w:rPr>
        <w:t xml:space="preserve"> établis selon les normes françaises pour l’exercice clos le 31 Décembre </w:t>
      </w:r>
      <w:r w:rsidR="009E2C85" w:rsidRPr="00C73365">
        <w:rPr>
          <w:rFonts w:asciiTheme="minorHAnsi" w:hAnsiTheme="minorHAnsi" w:cstheme="minorHAnsi"/>
          <w:b/>
          <w:color w:val="7030A0"/>
          <w:lang w:val="fr-FR"/>
        </w:rPr>
        <w:t>2017</w:t>
      </w:r>
      <w:r w:rsidR="00CA6ACA">
        <w:rPr>
          <w:rFonts w:asciiTheme="minorHAnsi" w:hAnsiTheme="minorHAnsi" w:cstheme="minorHAnsi"/>
          <w:b/>
          <w:color w:val="7030A0"/>
          <w:lang w:val="fr-FR"/>
        </w:rPr>
        <w:t xml:space="preserve"> </w:t>
      </w:r>
    </w:p>
    <w:p w:rsidR="00F46C7B" w:rsidRPr="00C73365" w:rsidRDefault="00F46C7B" w:rsidP="00A96CCA">
      <w:pPr>
        <w:spacing w:after="0"/>
        <w:ind w:right="10460"/>
        <w:rPr>
          <w:rFonts w:asciiTheme="minorHAnsi" w:hAnsiTheme="minorHAnsi" w:cstheme="minorHAnsi"/>
          <w:lang w:val="fr-FR"/>
        </w:rPr>
      </w:pPr>
    </w:p>
    <w:p w:rsidR="00C55B3A" w:rsidRDefault="00033884" w:rsidP="00A96CCA">
      <w:pPr>
        <w:spacing w:after="0"/>
        <w:ind w:right="10460"/>
        <w:jc w:val="center"/>
        <w:rPr>
          <w:rFonts w:asciiTheme="minorHAnsi" w:hAnsiTheme="minorHAnsi" w:cstheme="minorHAnsi"/>
          <w:lang w:val="fr-FR"/>
        </w:rPr>
      </w:pPr>
      <w:r>
        <w:rPr>
          <w:noProof/>
          <w:lang w:val="fr-FR" w:eastAsia="fr-FR"/>
        </w:rPr>
        <w:drawing>
          <wp:anchor distT="0" distB="0" distL="114300" distR="114300" simplePos="0" relativeHeight="251685888" behindDoc="0" locked="0" layoutInCell="1" allowOverlap="1" wp14:anchorId="77FEDA07" wp14:editId="37EDADE1">
            <wp:simplePos x="723014" y="1520456"/>
            <wp:positionH relativeFrom="margin">
              <wp:align>center</wp:align>
            </wp:positionH>
            <wp:positionV relativeFrom="margin">
              <wp:align>center</wp:align>
            </wp:positionV>
            <wp:extent cx="4029075" cy="5915025"/>
            <wp:effectExtent l="0" t="0" r="9525" b="952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4029075" cy="5915025"/>
                    </a:xfrm>
                    <a:prstGeom prst="rect">
                      <a:avLst/>
                    </a:prstGeom>
                  </pic:spPr>
                </pic:pic>
              </a:graphicData>
            </a:graphic>
          </wp:anchor>
        </w:drawing>
      </w:r>
    </w:p>
    <w:p w:rsidR="00033884" w:rsidRDefault="00033884" w:rsidP="00A96CCA">
      <w:pPr>
        <w:spacing w:after="0"/>
        <w:ind w:right="10460"/>
        <w:jc w:val="center"/>
        <w:rPr>
          <w:rFonts w:asciiTheme="minorHAnsi" w:hAnsiTheme="minorHAnsi" w:cstheme="minorHAnsi"/>
          <w:lang w:val="fr-FR"/>
        </w:rPr>
      </w:pPr>
    </w:p>
    <w:p w:rsidR="00033884" w:rsidRDefault="00033884" w:rsidP="00477E15">
      <w:pPr>
        <w:spacing w:after="0"/>
        <w:ind w:right="10460"/>
        <w:jc w:val="right"/>
        <w:rPr>
          <w:rFonts w:asciiTheme="minorHAnsi" w:hAnsiTheme="minorHAnsi" w:cstheme="minorHAnsi"/>
          <w:lang w:val="fr-FR"/>
        </w:rPr>
      </w:pPr>
    </w:p>
    <w:p w:rsidR="00033884" w:rsidRDefault="00033884" w:rsidP="00A96CCA">
      <w:pPr>
        <w:spacing w:after="0"/>
        <w:ind w:right="10460"/>
        <w:jc w:val="center"/>
        <w:rPr>
          <w:rFonts w:asciiTheme="minorHAnsi" w:hAnsiTheme="minorHAnsi" w:cstheme="minorHAnsi"/>
          <w:lang w:val="fr-FR"/>
        </w:rPr>
      </w:pPr>
    </w:p>
    <w:p w:rsidR="00033884" w:rsidRDefault="00033884" w:rsidP="00A96CCA">
      <w:pPr>
        <w:spacing w:after="0"/>
        <w:ind w:right="10460"/>
        <w:jc w:val="center"/>
        <w:rPr>
          <w:rFonts w:asciiTheme="minorHAnsi" w:hAnsiTheme="minorHAnsi" w:cstheme="minorHAnsi"/>
          <w:lang w:val="fr-FR"/>
        </w:rPr>
      </w:pPr>
    </w:p>
    <w:p w:rsidR="005B0C97" w:rsidRDefault="007E04C1" w:rsidP="007E04C1">
      <w:pPr>
        <w:spacing w:after="0"/>
        <w:ind w:right="10460"/>
        <w:rPr>
          <w:rFonts w:asciiTheme="minorHAnsi" w:hAnsiTheme="minorHAnsi" w:cstheme="minorHAnsi"/>
          <w:lang w:val="fr-FR"/>
        </w:rPr>
      </w:pPr>
      <w:r>
        <w:rPr>
          <w:rFonts w:asciiTheme="minorHAnsi" w:hAnsiTheme="minorHAnsi" w:cstheme="minorHAnsi"/>
          <w:lang w:val="fr-FR"/>
        </w:rPr>
        <w:lastRenderedPageBreak/>
        <w:t xml:space="preserve">          </w:t>
      </w:r>
      <w:r w:rsidR="005B0C97">
        <w:rPr>
          <w:noProof/>
          <w:lang w:val="fr-FR" w:eastAsia="fr-FR"/>
        </w:rPr>
        <w:drawing>
          <wp:inline distT="0" distB="0" distL="0" distR="0" wp14:anchorId="30C6B7B4" wp14:editId="52823A4C">
            <wp:extent cx="3733800" cy="4724400"/>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733800" cy="4724400"/>
                    </a:xfrm>
                    <a:prstGeom prst="rect">
                      <a:avLst/>
                    </a:prstGeom>
                  </pic:spPr>
                </pic:pic>
              </a:graphicData>
            </a:graphic>
          </wp:inline>
        </w:drawing>
      </w:r>
    </w:p>
    <w:p w:rsidR="005B0C97" w:rsidRDefault="005B0C97" w:rsidP="005B0C97">
      <w:pPr>
        <w:spacing w:after="0"/>
        <w:ind w:right="10460"/>
        <w:jc w:val="center"/>
        <w:rPr>
          <w:rFonts w:asciiTheme="minorHAnsi" w:hAnsiTheme="minorHAnsi" w:cstheme="minorHAnsi"/>
          <w:lang w:val="fr-FR"/>
        </w:rPr>
      </w:pPr>
    </w:p>
    <w:p w:rsidR="005B0C97" w:rsidRDefault="005B0C97" w:rsidP="005B0C97">
      <w:pPr>
        <w:spacing w:after="0"/>
        <w:ind w:right="10460"/>
        <w:jc w:val="center"/>
        <w:rPr>
          <w:rFonts w:asciiTheme="minorHAnsi" w:hAnsiTheme="minorHAnsi" w:cstheme="minorHAnsi"/>
          <w:lang w:val="fr-FR"/>
        </w:rPr>
      </w:pPr>
      <w:r>
        <w:rPr>
          <w:noProof/>
          <w:lang w:val="fr-FR" w:eastAsia="fr-FR"/>
        </w:rPr>
        <w:lastRenderedPageBreak/>
        <w:drawing>
          <wp:inline distT="0" distB="0" distL="0" distR="0" wp14:anchorId="3B75C3F2" wp14:editId="2FEAF8E0">
            <wp:extent cx="3800475" cy="5400675"/>
            <wp:effectExtent l="0" t="0" r="9525" b="9525"/>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800475" cy="5400675"/>
                    </a:xfrm>
                    <a:prstGeom prst="rect">
                      <a:avLst/>
                    </a:prstGeom>
                  </pic:spPr>
                </pic:pic>
              </a:graphicData>
            </a:graphic>
          </wp:inline>
        </w:drawing>
      </w:r>
    </w:p>
    <w:p w:rsidR="005B0C97" w:rsidRDefault="005B0C97" w:rsidP="005B0C97">
      <w:pPr>
        <w:spacing w:after="0"/>
        <w:ind w:right="10460"/>
        <w:jc w:val="center"/>
        <w:rPr>
          <w:rFonts w:asciiTheme="minorHAnsi" w:hAnsiTheme="minorHAnsi" w:cstheme="minorHAnsi"/>
          <w:lang w:val="fr-FR"/>
        </w:rPr>
      </w:pPr>
    </w:p>
    <w:p w:rsidR="005B0C97" w:rsidRDefault="005B0C97" w:rsidP="005B0C97">
      <w:pPr>
        <w:spacing w:after="0"/>
        <w:ind w:right="10460"/>
        <w:jc w:val="center"/>
        <w:rPr>
          <w:rFonts w:asciiTheme="minorHAnsi" w:hAnsiTheme="minorHAnsi" w:cstheme="minorHAnsi"/>
          <w:lang w:val="fr-FR"/>
        </w:rPr>
      </w:pPr>
      <w:r>
        <w:rPr>
          <w:noProof/>
          <w:lang w:val="fr-FR" w:eastAsia="fr-FR"/>
        </w:rPr>
        <w:lastRenderedPageBreak/>
        <w:drawing>
          <wp:inline distT="0" distB="0" distL="0" distR="0" wp14:anchorId="0B6B8350" wp14:editId="36994F8E">
            <wp:extent cx="3886200" cy="5038725"/>
            <wp:effectExtent l="0" t="0" r="0" b="9525"/>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886200" cy="5038725"/>
                    </a:xfrm>
                    <a:prstGeom prst="rect">
                      <a:avLst/>
                    </a:prstGeom>
                  </pic:spPr>
                </pic:pic>
              </a:graphicData>
            </a:graphic>
          </wp:inline>
        </w:drawing>
      </w:r>
    </w:p>
    <w:p w:rsidR="005B0C97" w:rsidRDefault="005B0C97" w:rsidP="005B0C97">
      <w:pPr>
        <w:spacing w:after="0"/>
        <w:ind w:right="10460"/>
        <w:jc w:val="center"/>
        <w:rPr>
          <w:rFonts w:asciiTheme="minorHAnsi" w:hAnsiTheme="minorHAnsi" w:cstheme="minorHAnsi"/>
          <w:lang w:val="fr-FR"/>
        </w:rPr>
      </w:pPr>
    </w:p>
    <w:p w:rsidR="005B0C97" w:rsidRDefault="005B0C97" w:rsidP="005B0C97">
      <w:pPr>
        <w:spacing w:after="0"/>
        <w:ind w:right="10460"/>
        <w:jc w:val="center"/>
        <w:rPr>
          <w:rFonts w:asciiTheme="minorHAnsi" w:hAnsiTheme="minorHAnsi" w:cstheme="minorHAnsi"/>
          <w:lang w:val="fr-FR"/>
        </w:rPr>
      </w:pPr>
      <w:r>
        <w:rPr>
          <w:noProof/>
          <w:lang w:val="fr-FR" w:eastAsia="fr-FR"/>
        </w:rPr>
        <w:lastRenderedPageBreak/>
        <w:drawing>
          <wp:inline distT="0" distB="0" distL="0" distR="0" wp14:anchorId="4BDC38C7" wp14:editId="5A7B17B0">
            <wp:extent cx="3771900" cy="5086350"/>
            <wp:effectExtent l="0" t="0" r="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771900" cy="5086350"/>
                    </a:xfrm>
                    <a:prstGeom prst="rect">
                      <a:avLst/>
                    </a:prstGeom>
                  </pic:spPr>
                </pic:pic>
              </a:graphicData>
            </a:graphic>
          </wp:inline>
        </w:drawing>
      </w:r>
    </w:p>
    <w:p w:rsidR="005B0C97" w:rsidRDefault="005B0C97" w:rsidP="005B0C97">
      <w:pPr>
        <w:spacing w:after="0"/>
        <w:ind w:right="10460"/>
        <w:jc w:val="center"/>
        <w:rPr>
          <w:rFonts w:asciiTheme="minorHAnsi" w:hAnsiTheme="minorHAnsi" w:cstheme="minorHAnsi"/>
          <w:lang w:val="fr-FR"/>
        </w:rPr>
      </w:pPr>
      <w:r>
        <w:rPr>
          <w:noProof/>
          <w:lang w:val="fr-FR" w:eastAsia="fr-FR"/>
        </w:rPr>
        <w:lastRenderedPageBreak/>
        <w:drawing>
          <wp:inline distT="0" distB="0" distL="0" distR="0" wp14:anchorId="20F082D3" wp14:editId="45D7AE55">
            <wp:extent cx="3771900" cy="5248275"/>
            <wp:effectExtent l="0" t="0" r="0" b="9525"/>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771900" cy="5248275"/>
                    </a:xfrm>
                    <a:prstGeom prst="rect">
                      <a:avLst/>
                    </a:prstGeom>
                  </pic:spPr>
                </pic:pic>
              </a:graphicData>
            </a:graphic>
          </wp:inline>
        </w:drawing>
      </w:r>
    </w:p>
    <w:p w:rsidR="005B0C97" w:rsidRDefault="005B0C97" w:rsidP="005B0C97">
      <w:pPr>
        <w:spacing w:after="0"/>
        <w:ind w:right="10460"/>
        <w:jc w:val="center"/>
        <w:rPr>
          <w:rFonts w:asciiTheme="minorHAnsi" w:hAnsiTheme="minorHAnsi" w:cstheme="minorHAnsi"/>
          <w:lang w:val="fr-FR"/>
        </w:rPr>
      </w:pPr>
    </w:p>
    <w:p w:rsidR="005B0C97" w:rsidRDefault="005B0C97" w:rsidP="005B0C97">
      <w:pPr>
        <w:spacing w:after="0"/>
        <w:ind w:right="10460"/>
        <w:jc w:val="center"/>
        <w:rPr>
          <w:rFonts w:asciiTheme="minorHAnsi" w:hAnsiTheme="minorHAnsi" w:cstheme="minorHAnsi"/>
          <w:lang w:val="fr-FR"/>
        </w:rPr>
      </w:pPr>
      <w:r>
        <w:rPr>
          <w:noProof/>
          <w:lang w:val="fr-FR" w:eastAsia="fr-FR"/>
        </w:rPr>
        <w:lastRenderedPageBreak/>
        <w:drawing>
          <wp:inline distT="0" distB="0" distL="0" distR="0" wp14:anchorId="3E275C7B" wp14:editId="07139E59">
            <wp:extent cx="3810000" cy="3943350"/>
            <wp:effectExtent l="0" t="0" r="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810000" cy="3943350"/>
                    </a:xfrm>
                    <a:prstGeom prst="rect">
                      <a:avLst/>
                    </a:prstGeom>
                  </pic:spPr>
                </pic:pic>
              </a:graphicData>
            </a:graphic>
          </wp:inline>
        </w:drawing>
      </w:r>
    </w:p>
    <w:p w:rsidR="00033884" w:rsidRDefault="00033884" w:rsidP="00A96CCA">
      <w:pPr>
        <w:spacing w:after="0"/>
        <w:ind w:right="10460"/>
        <w:jc w:val="center"/>
        <w:rPr>
          <w:rFonts w:asciiTheme="minorHAnsi" w:hAnsiTheme="minorHAnsi" w:cstheme="minorHAnsi"/>
          <w:lang w:val="fr-FR"/>
        </w:rPr>
      </w:pPr>
    </w:p>
    <w:p w:rsidR="00033884" w:rsidRDefault="00033884" w:rsidP="00A96CCA">
      <w:pPr>
        <w:spacing w:after="0"/>
        <w:ind w:right="10460"/>
        <w:jc w:val="center"/>
        <w:rPr>
          <w:rFonts w:asciiTheme="minorHAnsi" w:hAnsiTheme="minorHAnsi" w:cstheme="minorHAnsi"/>
          <w:lang w:val="fr-FR"/>
        </w:rPr>
      </w:pPr>
    </w:p>
    <w:p w:rsidR="00033884" w:rsidRDefault="00033884" w:rsidP="00A96CCA">
      <w:pPr>
        <w:spacing w:after="0"/>
        <w:ind w:right="10460"/>
        <w:jc w:val="center"/>
        <w:rPr>
          <w:rFonts w:asciiTheme="minorHAnsi" w:hAnsiTheme="minorHAnsi" w:cstheme="minorHAnsi"/>
          <w:lang w:val="fr-FR"/>
        </w:rPr>
      </w:pPr>
    </w:p>
    <w:p w:rsidR="00033884" w:rsidRDefault="00033884" w:rsidP="00A96CCA">
      <w:pPr>
        <w:spacing w:after="0"/>
        <w:ind w:right="10460"/>
        <w:jc w:val="center"/>
        <w:rPr>
          <w:rFonts w:asciiTheme="minorHAnsi" w:hAnsiTheme="minorHAnsi" w:cstheme="minorHAnsi"/>
          <w:lang w:val="fr-FR"/>
        </w:rPr>
      </w:pPr>
    </w:p>
    <w:p w:rsidR="00033884" w:rsidRDefault="00033884" w:rsidP="00A96CCA">
      <w:pPr>
        <w:spacing w:after="0"/>
        <w:ind w:right="10460"/>
        <w:jc w:val="center"/>
        <w:rPr>
          <w:rFonts w:asciiTheme="minorHAnsi" w:hAnsiTheme="minorHAnsi" w:cstheme="minorHAnsi"/>
          <w:lang w:val="fr-FR"/>
        </w:rPr>
      </w:pPr>
    </w:p>
    <w:p w:rsidR="00033884" w:rsidRDefault="00033884" w:rsidP="00A96CCA">
      <w:pPr>
        <w:spacing w:after="0"/>
        <w:ind w:right="10460"/>
        <w:jc w:val="center"/>
        <w:rPr>
          <w:rFonts w:asciiTheme="minorHAnsi" w:hAnsiTheme="minorHAnsi" w:cstheme="minorHAnsi"/>
          <w:lang w:val="fr-FR"/>
        </w:rPr>
      </w:pPr>
    </w:p>
    <w:p w:rsidR="00033884" w:rsidRPr="00C73365" w:rsidRDefault="00033884" w:rsidP="00033884">
      <w:pPr>
        <w:spacing w:after="0"/>
        <w:ind w:right="10460"/>
        <w:jc w:val="right"/>
        <w:rPr>
          <w:rFonts w:asciiTheme="minorHAnsi" w:hAnsiTheme="minorHAnsi" w:cstheme="minorHAnsi"/>
          <w:lang w:val="fr-FR"/>
        </w:rPr>
      </w:pPr>
    </w:p>
    <w:p w:rsidR="00033884" w:rsidRDefault="00033884">
      <w:pPr>
        <w:spacing w:after="160" w:line="259" w:lineRule="auto"/>
        <w:jc w:val="left"/>
        <w:rPr>
          <w:rFonts w:asciiTheme="minorHAnsi" w:hAnsiTheme="minorHAnsi" w:cstheme="minorHAnsi"/>
          <w:lang w:val="fr-FR"/>
        </w:rPr>
      </w:pPr>
      <w:r>
        <w:rPr>
          <w:rFonts w:asciiTheme="minorHAnsi" w:hAnsiTheme="minorHAnsi" w:cstheme="minorHAnsi"/>
          <w:lang w:val="fr-FR"/>
        </w:rPr>
        <w:br w:type="page"/>
      </w:r>
    </w:p>
    <w:p w:rsidR="00F46C7B" w:rsidRPr="00C73365" w:rsidRDefault="00F46C7B" w:rsidP="00A96CCA">
      <w:pPr>
        <w:spacing w:after="0"/>
        <w:ind w:right="10460"/>
        <w:rPr>
          <w:rFonts w:asciiTheme="minorHAnsi" w:hAnsiTheme="minorHAnsi" w:cstheme="minorHAnsi"/>
          <w:lang w:val="fr-FR"/>
        </w:rPr>
      </w:pPr>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Lorsque des informations financières figurant dans le document d’enregistrement ne sont pas tirées des états financiers vérifiés de l’émetteur, en indiquer la source et préciser qu’elles n’ont pas été vérifiées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Néant</w:t>
      </w:r>
    </w:p>
    <w:p w:rsidR="00F46C7B" w:rsidRPr="00C73365" w:rsidRDefault="00F46C7B" w:rsidP="00B13DC0">
      <w:pPr>
        <w:pStyle w:val="ConmainL2"/>
        <w:numPr>
          <w:ilvl w:val="1"/>
          <w:numId w:val="9"/>
        </w:numPr>
        <w:rPr>
          <w:rFonts w:asciiTheme="minorHAnsi" w:hAnsiTheme="minorHAnsi" w:cstheme="minorHAnsi"/>
          <w:sz w:val="22"/>
          <w:lang w:val="fr-FR"/>
        </w:rPr>
      </w:pPr>
      <w:bookmarkStart w:id="1456" w:name="_Toc402884190"/>
      <w:bookmarkStart w:id="1457" w:name="_Toc462673299"/>
      <w:bookmarkStart w:id="1458" w:name="_Toc467835648"/>
      <w:bookmarkStart w:id="1459" w:name="_Toc148342701"/>
      <w:bookmarkStart w:id="1460" w:name="_Toc512863967"/>
      <w:r w:rsidRPr="00C73365">
        <w:rPr>
          <w:rFonts w:asciiTheme="minorHAnsi" w:hAnsiTheme="minorHAnsi" w:cstheme="minorHAnsi"/>
          <w:sz w:val="22"/>
          <w:lang w:val="fr-FR"/>
        </w:rPr>
        <w:t>Date des dernières informations financières</w:t>
      </w:r>
      <w:bookmarkEnd w:id="1456"/>
      <w:bookmarkEnd w:id="1457"/>
      <w:bookmarkEnd w:id="1458"/>
      <w:bookmarkEnd w:id="1460"/>
    </w:p>
    <w:p w:rsidR="00F46C7B" w:rsidRPr="00C73365" w:rsidRDefault="00D14BEC" w:rsidP="004572A0">
      <w:pPr>
        <w:pStyle w:val="Date"/>
        <w:rPr>
          <w:rFonts w:asciiTheme="minorHAnsi" w:hAnsiTheme="minorHAnsi" w:cstheme="minorHAnsi"/>
          <w:lang w:val="fr-FR"/>
        </w:rPr>
      </w:pPr>
      <w:r w:rsidRPr="00C73365">
        <w:rPr>
          <w:rFonts w:asciiTheme="minorHAnsi" w:hAnsiTheme="minorHAnsi" w:cstheme="minorHAnsi"/>
          <w:lang w:val="fr-FR"/>
        </w:rPr>
        <w:t>31 décembre</w:t>
      </w:r>
      <w:r w:rsidR="00F46C7B" w:rsidRPr="00C73365">
        <w:rPr>
          <w:rFonts w:asciiTheme="minorHAnsi" w:hAnsiTheme="minorHAnsi" w:cstheme="minorHAnsi"/>
          <w:lang w:val="fr-FR"/>
        </w:rPr>
        <w:t xml:space="preserve"> </w:t>
      </w:r>
      <w:r w:rsidR="009E2C85" w:rsidRPr="00C73365">
        <w:rPr>
          <w:rFonts w:asciiTheme="minorHAnsi" w:hAnsiTheme="minorHAnsi" w:cstheme="minorHAnsi"/>
          <w:lang w:val="fr-FR"/>
        </w:rPr>
        <w:t>2017</w:t>
      </w:r>
    </w:p>
    <w:p w:rsidR="00F46C7B" w:rsidRPr="00C73365" w:rsidRDefault="00F46C7B" w:rsidP="00A96CCA">
      <w:pPr>
        <w:spacing w:after="0"/>
        <w:rPr>
          <w:rFonts w:asciiTheme="minorHAnsi" w:hAnsiTheme="minorHAnsi" w:cstheme="minorHAnsi"/>
          <w:szCs w:val="20"/>
          <w:lang w:val="fr-FR"/>
        </w:rPr>
      </w:pPr>
    </w:p>
    <w:p w:rsidR="00F46C7B" w:rsidRPr="00C73365" w:rsidRDefault="00F46C7B" w:rsidP="008D252A">
      <w:pPr>
        <w:pStyle w:val="ConmainL2"/>
        <w:numPr>
          <w:ilvl w:val="1"/>
          <w:numId w:val="9"/>
        </w:numPr>
        <w:rPr>
          <w:rFonts w:asciiTheme="minorHAnsi" w:hAnsiTheme="minorHAnsi" w:cstheme="minorHAnsi"/>
          <w:sz w:val="22"/>
          <w:lang w:val="fr-FR"/>
        </w:rPr>
      </w:pPr>
      <w:bookmarkStart w:id="1461" w:name="_Toc402884191"/>
      <w:bookmarkStart w:id="1462" w:name="_Toc462673300"/>
      <w:bookmarkStart w:id="1463" w:name="_Toc467835649"/>
      <w:bookmarkStart w:id="1464" w:name="_Toc512863968"/>
      <w:r w:rsidRPr="00C73365">
        <w:rPr>
          <w:rFonts w:asciiTheme="minorHAnsi" w:hAnsiTheme="minorHAnsi" w:cstheme="minorHAnsi"/>
          <w:sz w:val="22"/>
          <w:lang w:val="fr-FR"/>
        </w:rPr>
        <w:t>Politique de distribution des dividendes</w:t>
      </w:r>
      <w:bookmarkEnd w:id="1459"/>
      <w:bookmarkEnd w:id="1461"/>
      <w:bookmarkEnd w:id="1462"/>
      <w:bookmarkEnd w:id="1463"/>
      <w:bookmarkEnd w:id="1464"/>
    </w:p>
    <w:p w:rsidR="00F46C7B" w:rsidRPr="00C73365" w:rsidRDefault="00F46C7B" w:rsidP="009E5FDD">
      <w:pPr>
        <w:pStyle w:val="ConmainL3"/>
        <w:numPr>
          <w:ilvl w:val="2"/>
          <w:numId w:val="9"/>
        </w:numPr>
        <w:spacing w:after="0"/>
        <w:ind w:left="1440"/>
        <w:rPr>
          <w:rFonts w:asciiTheme="minorHAnsi" w:hAnsiTheme="minorHAnsi" w:cstheme="minorHAnsi"/>
          <w:b/>
          <w:color w:val="7030A0"/>
          <w:szCs w:val="20"/>
          <w:lang w:val="fr-FR"/>
        </w:rPr>
      </w:pPr>
      <w:r w:rsidRPr="00C73365">
        <w:rPr>
          <w:rFonts w:asciiTheme="minorHAnsi" w:hAnsiTheme="minorHAnsi" w:cstheme="minorHAnsi"/>
          <w:b/>
          <w:color w:val="7030A0"/>
          <w:lang w:val="fr-FR"/>
        </w:rPr>
        <w:t>Dividendes versés au cours des trois derniers exercices</w:t>
      </w:r>
      <w:r w:rsidRPr="00C73365">
        <w:rPr>
          <w:rFonts w:asciiTheme="minorHAnsi" w:hAnsiTheme="minorHAnsi" w:cstheme="minorHAnsi"/>
          <w:b/>
          <w:color w:val="7030A0"/>
          <w:szCs w:val="20"/>
          <w:lang w:val="fr-FR"/>
        </w:rPr>
        <w:t xml:space="preserve"> </w:t>
      </w:r>
      <w:r w:rsidRPr="00C73365">
        <w:rPr>
          <w:rFonts w:asciiTheme="minorHAnsi" w:hAnsiTheme="minorHAnsi" w:cstheme="minorHAnsi"/>
          <w:b/>
          <w:color w:val="7030A0"/>
          <w:szCs w:val="20"/>
          <w:lang w:val="fr-FR"/>
        </w:rPr>
        <w:tab/>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Néant</w:t>
      </w:r>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Politique de distribution des dividendes</w:t>
      </w:r>
    </w:p>
    <w:p w:rsidR="00F46C7B" w:rsidRPr="00C73365" w:rsidRDefault="00F46C7B" w:rsidP="004572A0">
      <w:pPr>
        <w:pStyle w:val="BodyTextIndent"/>
        <w:rPr>
          <w:rFonts w:asciiTheme="minorHAnsi" w:hAnsiTheme="minorHAnsi" w:cstheme="minorHAnsi"/>
          <w:lang w:val="fr-FR"/>
        </w:rPr>
        <w:sectPr w:rsidR="00F46C7B" w:rsidRPr="00C73365" w:rsidSect="007C607C">
          <w:type w:val="continuous"/>
          <w:pgSz w:w="11900" w:h="16840"/>
          <w:pgMar w:top="1134" w:right="1134" w:bottom="1134" w:left="1134" w:header="720" w:footer="720" w:gutter="0"/>
          <w:cols w:space="720" w:equalWidth="0">
            <w:col w:w="9269"/>
          </w:cols>
          <w:noEndnote/>
          <w:docGrid w:linePitch="299"/>
        </w:sect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La Société se positionne en tant que valeur de croissance et n’entend pas, à la date d’enregistrement du présent document de référence, adopter une politique de versement de dividendes réguliers.</w:t>
      </w:r>
    </w:p>
    <w:p w:rsidR="00F46C7B" w:rsidRPr="00C73365" w:rsidRDefault="00F46C7B" w:rsidP="004572A0">
      <w:pPr>
        <w:pStyle w:val="BodyText"/>
        <w:rPr>
          <w:rFonts w:asciiTheme="minorHAnsi" w:hAnsiTheme="minorHAnsi" w:cstheme="minorHAnsi"/>
          <w:lang w:val="fr-FR"/>
        </w:rPr>
        <w:sectPr w:rsidR="00F46C7B" w:rsidRPr="00C73365" w:rsidSect="007C607C">
          <w:type w:val="continuous"/>
          <w:pgSz w:w="11900" w:h="16840"/>
          <w:pgMar w:top="1134" w:right="1134" w:bottom="1134" w:left="1134" w:header="720" w:footer="720" w:gutter="0"/>
          <w:cols w:space="567"/>
          <w:noEndnote/>
          <w:docGrid w:linePitch="299"/>
        </w:sectPr>
      </w:pPr>
    </w:p>
    <w:p w:rsidR="00F46C7B" w:rsidRPr="00C73365" w:rsidRDefault="00F46C7B" w:rsidP="00A96CCA">
      <w:pPr>
        <w:autoSpaceDE w:val="0"/>
        <w:autoSpaceDN w:val="0"/>
        <w:adjustRightInd w:val="0"/>
        <w:spacing w:after="0"/>
        <w:rPr>
          <w:rFonts w:asciiTheme="minorHAnsi" w:hAnsiTheme="minorHAnsi" w:cstheme="minorHAnsi"/>
          <w:szCs w:val="20"/>
          <w:lang w:val="fr-FR"/>
        </w:rPr>
      </w:pPr>
    </w:p>
    <w:p w:rsidR="002C5B2A" w:rsidRPr="00C73365" w:rsidRDefault="002C5B2A" w:rsidP="008D252A">
      <w:pPr>
        <w:pStyle w:val="ConmainL2"/>
        <w:numPr>
          <w:ilvl w:val="1"/>
          <w:numId w:val="9"/>
        </w:numPr>
        <w:rPr>
          <w:rFonts w:asciiTheme="minorHAnsi" w:hAnsiTheme="minorHAnsi" w:cstheme="minorHAnsi"/>
          <w:sz w:val="22"/>
          <w:lang w:val="fr-FR"/>
        </w:rPr>
      </w:pPr>
      <w:bookmarkStart w:id="1465" w:name="_Toc475457076"/>
      <w:bookmarkStart w:id="1466" w:name="_Toc512863969"/>
      <w:bookmarkStart w:id="1467" w:name="_GoBack"/>
      <w:bookmarkEnd w:id="1467"/>
      <w:r w:rsidRPr="00C73365">
        <w:rPr>
          <w:rFonts w:asciiTheme="minorHAnsi" w:hAnsiTheme="minorHAnsi" w:cstheme="minorHAnsi"/>
          <w:sz w:val="22"/>
          <w:lang w:val="fr-FR"/>
        </w:rPr>
        <w:t>Tableau des résultats des exercices clos depuis la constitution de la société</w:t>
      </w:r>
      <w:bookmarkEnd w:id="1465"/>
      <w:bookmarkEnd w:id="1466"/>
      <w:r w:rsidRPr="00C73365">
        <w:rPr>
          <w:rFonts w:asciiTheme="minorHAnsi" w:hAnsiTheme="minorHAnsi" w:cstheme="minorHAnsi"/>
          <w:sz w:val="22"/>
          <w:lang w:val="fr-FR"/>
        </w:rPr>
        <w:t xml:space="preserve"> </w:t>
      </w:r>
    </w:p>
    <w:tbl>
      <w:tblPr>
        <w:tblW w:w="9699" w:type="dxa"/>
        <w:tblLook w:val="04A0" w:firstRow="1" w:lastRow="0" w:firstColumn="1" w:lastColumn="0" w:noHBand="0" w:noVBand="1"/>
      </w:tblPr>
      <w:tblGrid>
        <w:gridCol w:w="2097"/>
        <w:gridCol w:w="1486"/>
        <w:gridCol w:w="1486"/>
        <w:gridCol w:w="1486"/>
        <w:gridCol w:w="1486"/>
        <w:gridCol w:w="1658"/>
      </w:tblGrid>
      <w:tr w:rsidR="002D50CE" w:rsidRPr="00C73365" w:rsidTr="0032557C">
        <w:trPr>
          <w:trHeight w:val="857"/>
        </w:trPr>
        <w:tc>
          <w:tcPr>
            <w:tcW w:w="0" w:type="auto"/>
            <w:tcBorders>
              <w:top w:val="nil"/>
              <w:left w:val="nil"/>
              <w:bottom w:val="single" w:sz="8" w:space="0" w:color="7030A0"/>
              <w:right w:val="nil"/>
            </w:tcBorders>
            <w:shd w:val="clear" w:color="000000" w:fill="FFFFFF"/>
            <w:vAlign w:val="center"/>
            <w:hideMark/>
          </w:tcPr>
          <w:p w:rsidR="009E2C85" w:rsidRPr="00C73365" w:rsidRDefault="009E2C85" w:rsidP="00A96CCA">
            <w:pPr>
              <w:spacing w:after="0"/>
              <w:rPr>
                <w:rFonts w:asciiTheme="minorHAnsi" w:hAnsiTheme="minorHAnsi" w:cstheme="minorHAnsi"/>
                <w:color w:val="000000"/>
                <w:szCs w:val="20"/>
              </w:rPr>
            </w:pPr>
            <w:r w:rsidRPr="00C73365">
              <w:rPr>
                <w:rFonts w:asciiTheme="minorHAnsi" w:hAnsiTheme="minorHAnsi" w:cstheme="minorHAnsi"/>
                <w:color w:val="000000"/>
                <w:szCs w:val="20"/>
                <w:lang w:val="fr-FR"/>
              </w:rPr>
              <w:t>Nature des indications</w:t>
            </w:r>
          </w:p>
        </w:tc>
        <w:tc>
          <w:tcPr>
            <w:tcW w:w="0" w:type="auto"/>
            <w:tcBorders>
              <w:top w:val="nil"/>
              <w:left w:val="nil"/>
              <w:bottom w:val="single" w:sz="8" w:space="0" w:color="7030A0"/>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Exercice clos le 31 décembre 2013</w:t>
            </w:r>
          </w:p>
        </w:tc>
        <w:tc>
          <w:tcPr>
            <w:tcW w:w="0" w:type="auto"/>
            <w:tcBorders>
              <w:top w:val="nil"/>
              <w:left w:val="nil"/>
              <w:bottom w:val="single" w:sz="8" w:space="0" w:color="7030A0"/>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Exercice clos le 31 décembre 2014</w:t>
            </w:r>
          </w:p>
        </w:tc>
        <w:tc>
          <w:tcPr>
            <w:tcW w:w="0" w:type="auto"/>
            <w:tcBorders>
              <w:top w:val="nil"/>
              <w:left w:val="nil"/>
              <w:bottom w:val="single" w:sz="8" w:space="0" w:color="7030A0"/>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Exercice clos le 31 décembre 2015</w:t>
            </w:r>
          </w:p>
        </w:tc>
        <w:tc>
          <w:tcPr>
            <w:tcW w:w="0" w:type="auto"/>
            <w:tcBorders>
              <w:top w:val="nil"/>
              <w:left w:val="nil"/>
              <w:bottom w:val="single" w:sz="8" w:space="0" w:color="7030A0"/>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Exercice clos le 31 décembre 2016</w:t>
            </w:r>
          </w:p>
        </w:tc>
        <w:tc>
          <w:tcPr>
            <w:tcW w:w="0" w:type="auto"/>
            <w:tcBorders>
              <w:top w:val="nil"/>
              <w:left w:val="nil"/>
              <w:bottom w:val="single" w:sz="8" w:space="0" w:color="7030A0"/>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Exercice clos le 31 décembre 2017</w:t>
            </w:r>
          </w:p>
        </w:tc>
      </w:tr>
      <w:tr w:rsidR="002D50CE" w:rsidRPr="00F06F79" w:rsidTr="00F13A44">
        <w:trPr>
          <w:trHeight w:val="857"/>
        </w:trPr>
        <w:tc>
          <w:tcPr>
            <w:tcW w:w="0" w:type="auto"/>
            <w:tcBorders>
              <w:top w:val="nil"/>
              <w:left w:val="nil"/>
              <w:bottom w:val="single" w:sz="8" w:space="0" w:color="7030A0"/>
              <w:right w:val="nil"/>
            </w:tcBorders>
            <w:shd w:val="clear" w:color="000000" w:fill="FFFFFF"/>
            <w:vAlign w:val="center"/>
            <w:hideMark/>
          </w:tcPr>
          <w:p w:rsidR="009E2C85" w:rsidRPr="00C73365" w:rsidRDefault="009E2C85" w:rsidP="00A96CCA">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1. SITUATION FINANCIÈRE EN FIN D</w:t>
            </w:r>
            <w:r w:rsidR="004572A0" w:rsidRPr="00C73365">
              <w:rPr>
                <w:rFonts w:asciiTheme="minorHAnsi" w:hAnsiTheme="minorHAnsi" w:cstheme="minorHAnsi"/>
                <w:color w:val="000000"/>
                <w:szCs w:val="20"/>
                <w:lang w:val="fr-FR"/>
              </w:rPr>
              <w:t>’</w:t>
            </w:r>
            <w:r w:rsidRPr="00C73365">
              <w:rPr>
                <w:rFonts w:asciiTheme="minorHAnsi" w:hAnsiTheme="minorHAnsi" w:cstheme="minorHAnsi"/>
                <w:color w:val="000000"/>
                <w:szCs w:val="20"/>
                <w:lang w:val="fr-FR"/>
              </w:rPr>
              <w:t>EXERCICE:</w:t>
            </w:r>
          </w:p>
        </w:tc>
        <w:tc>
          <w:tcPr>
            <w:tcW w:w="0" w:type="auto"/>
            <w:tcBorders>
              <w:top w:val="nil"/>
              <w:left w:val="nil"/>
              <w:bottom w:val="single" w:sz="8" w:space="0" w:color="7030A0"/>
              <w:right w:val="nil"/>
            </w:tcBorders>
            <w:shd w:val="clear" w:color="000000" w:fill="FFFFFF"/>
            <w:vAlign w:val="center"/>
          </w:tcPr>
          <w:p w:rsidR="009E2C85" w:rsidRPr="0030056F" w:rsidRDefault="009E2C85" w:rsidP="00A96CCA">
            <w:pPr>
              <w:spacing w:after="0"/>
              <w:jc w:val="right"/>
              <w:rPr>
                <w:rFonts w:asciiTheme="minorHAnsi" w:hAnsiTheme="minorHAnsi" w:cstheme="minorHAnsi"/>
                <w:color w:val="000000"/>
                <w:szCs w:val="20"/>
                <w:lang w:val="fr-FR"/>
              </w:rPr>
            </w:pPr>
          </w:p>
        </w:tc>
        <w:tc>
          <w:tcPr>
            <w:tcW w:w="0" w:type="auto"/>
            <w:tcBorders>
              <w:top w:val="nil"/>
              <w:left w:val="nil"/>
              <w:bottom w:val="single" w:sz="8" w:space="0" w:color="7030A0"/>
              <w:right w:val="nil"/>
            </w:tcBorders>
            <w:shd w:val="clear" w:color="000000" w:fill="FFFFFF"/>
            <w:vAlign w:val="center"/>
          </w:tcPr>
          <w:p w:rsidR="009E2C85" w:rsidRPr="0030056F" w:rsidRDefault="009E2C85" w:rsidP="00A96CCA">
            <w:pPr>
              <w:spacing w:after="0"/>
              <w:jc w:val="right"/>
              <w:rPr>
                <w:rFonts w:asciiTheme="minorHAnsi" w:hAnsiTheme="minorHAnsi" w:cstheme="minorHAnsi"/>
                <w:color w:val="000000"/>
                <w:szCs w:val="20"/>
                <w:lang w:val="fr-FR"/>
              </w:rPr>
            </w:pPr>
          </w:p>
        </w:tc>
        <w:tc>
          <w:tcPr>
            <w:tcW w:w="0" w:type="auto"/>
            <w:tcBorders>
              <w:top w:val="nil"/>
              <w:left w:val="nil"/>
              <w:bottom w:val="single" w:sz="8" w:space="0" w:color="7030A0"/>
              <w:right w:val="nil"/>
            </w:tcBorders>
            <w:shd w:val="clear" w:color="000000" w:fill="FFFFFF"/>
            <w:vAlign w:val="center"/>
          </w:tcPr>
          <w:p w:rsidR="009E2C85" w:rsidRPr="0030056F" w:rsidRDefault="009E2C85" w:rsidP="00A96CCA">
            <w:pPr>
              <w:spacing w:after="0"/>
              <w:jc w:val="right"/>
              <w:rPr>
                <w:rFonts w:asciiTheme="minorHAnsi" w:hAnsiTheme="minorHAnsi" w:cstheme="minorHAnsi"/>
                <w:color w:val="000000"/>
                <w:szCs w:val="20"/>
                <w:lang w:val="fr-FR"/>
              </w:rPr>
            </w:pPr>
          </w:p>
        </w:tc>
        <w:tc>
          <w:tcPr>
            <w:tcW w:w="0" w:type="auto"/>
            <w:tcBorders>
              <w:top w:val="nil"/>
              <w:left w:val="nil"/>
              <w:bottom w:val="single" w:sz="8" w:space="0" w:color="7030A0"/>
              <w:right w:val="nil"/>
            </w:tcBorders>
            <w:shd w:val="clear" w:color="000000" w:fill="FFFFFF"/>
            <w:vAlign w:val="center"/>
          </w:tcPr>
          <w:p w:rsidR="009E2C85" w:rsidRPr="0030056F" w:rsidRDefault="009E2C85" w:rsidP="00A96CCA">
            <w:pPr>
              <w:spacing w:after="0"/>
              <w:jc w:val="right"/>
              <w:rPr>
                <w:rFonts w:asciiTheme="minorHAnsi" w:hAnsiTheme="minorHAnsi" w:cstheme="minorHAnsi"/>
                <w:color w:val="000000"/>
                <w:szCs w:val="20"/>
                <w:lang w:val="fr-FR"/>
              </w:rPr>
            </w:pPr>
          </w:p>
        </w:tc>
        <w:tc>
          <w:tcPr>
            <w:tcW w:w="0" w:type="auto"/>
            <w:tcBorders>
              <w:top w:val="nil"/>
              <w:left w:val="nil"/>
              <w:bottom w:val="single" w:sz="8" w:space="0" w:color="7030A0"/>
              <w:right w:val="nil"/>
            </w:tcBorders>
            <w:shd w:val="clear" w:color="000000" w:fill="FFFFFF"/>
            <w:vAlign w:val="center"/>
          </w:tcPr>
          <w:p w:rsidR="009E2C85" w:rsidRPr="0030056F" w:rsidRDefault="009E2C85" w:rsidP="00A96CCA">
            <w:pPr>
              <w:spacing w:after="0"/>
              <w:jc w:val="right"/>
              <w:rPr>
                <w:rFonts w:asciiTheme="minorHAnsi" w:hAnsiTheme="minorHAnsi" w:cstheme="minorHAnsi"/>
                <w:color w:val="000000"/>
                <w:szCs w:val="20"/>
                <w:lang w:val="fr-FR"/>
              </w:rPr>
            </w:pPr>
          </w:p>
        </w:tc>
      </w:tr>
      <w:tr w:rsidR="00F13A44" w:rsidRPr="00C73365" w:rsidTr="00F13A44">
        <w:trPr>
          <w:trHeight w:val="433"/>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rPr>
            </w:pPr>
            <w:r w:rsidRPr="00C73365">
              <w:rPr>
                <w:rFonts w:asciiTheme="minorHAnsi" w:hAnsiTheme="minorHAnsi" w:cstheme="minorHAnsi"/>
                <w:color w:val="000000"/>
                <w:szCs w:val="20"/>
                <w:lang w:val="fr-FR"/>
              </w:rPr>
              <w:t>a)  Capital social</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40 000,00</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69 150,00</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96 969,00</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97 020,89</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97 020,89</w:t>
            </w:r>
          </w:p>
        </w:tc>
      </w:tr>
      <w:tr w:rsidR="00F13A44" w:rsidRPr="00C73365" w:rsidTr="00F13A44">
        <w:trPr>
          <w:trHeight w:val="646"/>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rPr>
            </w:pPr>
            <w:r w:rsidRPr="00C73365">
              <w:rPr>
                <w:rFonts w:asciiTheme="minorHAnsi" w:hAnsiTheme="minorHAnsi" w:cstheme="minorHAnsi"/>
                <w:color w:val="000000"/>
                <w:szCs w:val="20"/>
                <w:lang w:val="fr-FR"/>
              </w:rPr>
              <w:t>b)  Nombre d’actions émises.</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 xml:space="preserve"> Aucune </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 xml:space="preserve">29 150 </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9 696 889,00</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5 200,00</w:t>
            </w:r>
          </w:p>
        </w:tc>
        <w:tc>
          <w:tcPr>
            <w:tcW w:w="0" w:type="auto"/>
            <w:tcBorders>
              <w:top w:val="nil"/>
              <w:left w:val="nil"/>
              <w:bottom w:val="single" w:sz="8" w:space="0" w:color="7030A0"/>
              <w:right w:val="nil"/>
            </w:tcBorders>
            <w:shd w:val="clear" w:color="000000" w:fill="FFFFFF"/>
            <w:vAlign w:val="center"/>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rPr>
              <w:t>202 140 </w:t>
            </w:r>
          </w:p>
        </w:tc>
      </w:tr>
      <w:tr w:rsidR="00F13A44" w:rsidRPr="00BE69CB" w:rsidTr="0032557C">
        <w:trPr>
          <w:trHeight w:val="857"/>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c)  Nombre d’obligations convertibles en actions.</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Aucune OCA</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Aucune OCA</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Aucune OCA</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Aucune OCA</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Aucune OCA</w:t>
            </w:r>
          </w:p>
        </w:tc>
      </w:tr>
      <w:tr w:rsidR="00F13A44" w:rsidRPr="00F06F79" w:rsidTr="0032557C">
        <w:trPr>
          <w:trHeight w:val="857"/>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II. RÉSULTAT GLOBAL DES OPÉRATIONS EFFECTIVES:</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 </w:t>
            </w:r>
          </w:p>
        </w:tc>
      </w:tr>
      <w:tr w:rsidR="00F13A44" w:rsidRPr="00C73365" w:rsidTr="0032557C">
        <w:trPr>
          <w:trHeight w:val="646"/>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a)  Chiffre d’affaires hors taxe.</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NEANT</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14 488,00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NEANT</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NEANT</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NEANT</w:t>
            </w:r>
          </w:p>
        </w:tc>
      </w:tr>
      <w:tr w:rsidR="00F13A44" w:rsidRPr="00C73365" w:rsidTr="0032557C">
        <w:trPr>
          <w:trHeight w:val="1070"/>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b)  Bénéfices avant impôt, amortissements et provisions</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-10 374,00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-5 070 511,65</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-18 255 705,00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-18 236 300,00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 w:val="22"/>
                <w:szCs w:val="22"/>
              </w:rPr>
            </w:pPr>
            <w:r w:rsidRPr="00C73365">
              <w:rPr>
                <w:rFonts w:asciiTheme="minorHAnsi" w:hAnsiTheme="minorHAnsi" w:cstheme="minorHAnsi"/>
                <w:color w:val="000000"/>
                <w:sz w:val="22"/>
                <w:szCs w:val="22"/>
              </w:rPr>
              <w:t>-14 149 986,49</w:t>
            </w:r>
          </w:p>
        </w:tc>
      </w:tr>
      <w:tr w:rsidR="00F13A44" w:rsidRPr="00C73365" w:rsidTr="0032557C">
        <w:trPr>
          <w:trHeight w:val="433"/>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c)  Impôts sur les bénéfices.</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NEANT</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778 732,00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2 834 015,00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3 518 771,00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2 691 529,00</w:t>
            </w:r>
          </w:p>
        </w:tc>
      </w:tr>
      <w:tr w:rsidR="00F13A44" w:rsidRPr="00C73365" w:rsidTr="0032557C">
        <w:trPr>
          <w:trHeight w:val="1070"/>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t>d)  Bénéfices après impôt, amortissements et provisions</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-10 374,00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-5 080 225,05</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-15 954 354,00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-14 307 513,00</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b/>
                <w:bCs/>
                <w:color w:val="7030A0"/>
                <w:szCs w:val="20"/>
              </w:rPr>
            </w:pPr>
          </w:p>
          <w:p w:rsidR="00F13A44" w:rsidRPr="00C73365" w:rsidRDefault="00F13A44" w:rsidP="00F13A44">
            <w:pPr>
              <w:spacing w:after="0"/>
              <w:jc w:val="right"/>
              <w:rPr>
                <w:rFonts w:asciiTheme="minorHAnsi" w:hAnsiTheme="minorHAnsi" w:cstheme="minorHAnsi"/>
                <w:bCs/>
                <w:color w:val="7030A0"/>
                <w:szCs w:val="20"/>
              </w:rPr>
            </w:pPr>
            <w:r w:rsidRPr="00C73365">
              <w:rPr>
                <w:rFonts w:asciiTheme="minorHAnsi" w:hAnsiTheme="minorHAnsi" w:cstheme="minorHAnsi"/>
                <w:bCs/>
                <w:color w:val="7030A0"/>
                <w:szCs w:val="20"/>
              </w:rPr>
              <w:t>-11 222 635,00</w:t>
            </w:r>
          </w:p>
          <w:p w:rsidR="00F13A44" w:rsidRPr="00C73365" w:rsidRDefault="00F13A44" w:rsidP="00F13A44">
            <w:pPr>
              <w:spacing w:after="0"/>
              <w:rPr>
                <w:rFonts w:asciiTheme="minorHAnsi" w:hAnsiTheme="minorHAnsi" w:cstheme="minorHAnsi"/>
                <w:color w:val="000000"/>
                <w:szCs w:val="20"/>
              </w:rPr>
            </w:pPr>
          </w:p>
        </w:tc>
      </w:tr>
      <w:tr w:rsidR="00F13A44" w:rsidRPr="00C73365" w:rsidTr="0032557C">
        <w:trPr>
          <w:trHeight w:val="857"/>
        </w:trPr>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rPr>
                <w:rFonts w:asciiTheme="minorHAnsi" w:hAnsiTheme="minorHAnsi" w:cstheme="minorHAnsi"/>
                <w:color w:val="000000"/>
                <w:szCs w:val="20"/>
                <w:lang w:val="fr-FR"/>
              </w:rPr>
            </w:pPr>
            <w:r w:rsidRPr="00C73365">
              <w:rPr>
                <w:rFonts w:asciiTheme="minorHAnsi" w:hAnsiTheme="minorHAnsi" w:cstheme="minorHAnsi"/>
                <w:color w:val="000000"/>
                <w:szCs w:val="20"/>
                <w:lang w:val="fr-FR"/>
              </w:rPr>
              <w:lastRenderedPageBreak/>
              <w:t>e)  Montant des bénéfices distribués (1),</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Aucune distribution</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Aucune distribution</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Aucune distribution</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Aucune distribution</w:t>
            </w:r>
          </w:p>
        </w:tc>
        <w:tc>
          <w:tcPr>
            <w:tcW w:w="0" w:type="auto"/>
            <w:tcBorders>
              <w:top w:val="nil"/>
              <w:left w:val="nil"/>
              <w:bottom w:val="single" w:sz="8" w:space="0" w:color="7030A0"/>
              <w:right w:val="nil"/>
            </w:tcBorders>
            <w:shd w:val="clear" w:color="000000" w:fill="FFFFFF"/>
            <w:vAlign w:val="center"/>
            <w:hideMark/>
          </w:tcPr>
          <w:p w:rsidR="00F13A44" w:rsidRPr="00C73365" w:rsidRDefault="00F13A44" w:rsidP="00F13A44">
            <w:pPr>
              <w:spacing w:after="0"/>
              <w:jc w:val="right"/>
              <w:rPr>
                <w:rFonts w:asciiTheme="minorHAnsi" w:hAnsiTheme="minorHAnsi" w:cstheme="minorHAnsi"/>
                <w:color w:val="000000"/>
                <w:szCs w:val="20"/>
              </w:rPr>
            </w:pPr>
            <w:r w:rsidRPr="00C73365">
              <w:rPr>
                <w:rFonts w:asciiTheme="minorHAnsi" w:hAnsiTheme="minorHAnsi" w:cstheme="minorHAnsi"/>
                <w:color w:val="000000"/>
                <w:szCs w:val="20"/>
                <w:lang w:val="fr-FR"/>
              </w:rPr>
              <w:t>Aucune distribution</w:t>
            </w:r>
          </w:p>
        </w:tc>
      </w:tr>
    </w:tbl>
    <w:p w:rsidR="003A42BB" w:rsidRPr="00C73365" w:rsidRDefault="003A42BB" w:rsidP="00A96CCA">
      <w:pPr>
        <w:spacing w:after="0"/>
        <w:rPr>
          <w:rFonts w:asciiTheme="minorHAnsi" w:hAnsiTheme="minorHAnsi" w:cstheme="minorHAnsi"/>
        </w:rPr>
      </w:pPr>
    </w:p>
    <w:p w:rsidR="009E2C85" w:rsidRPr="00C73365" w:rsidRDefault="009E2C85" w:rsidP="00A96CCA">
      <w:pPr>
        <w:spacing w:after="0"/>
        <w:rPr>
          <w:rFonts w:asciiTheme="minorHAnsi" w:hAnsiTheme="minorHAnsi" w:cstheme="minorHAnsi"/>
        </w:rPr>
      </w:pPr>
    </w:p>
    <w:p w:rsidR="00130C23" w:rsidRPr="00C73365" w:rsidRDefault="00130C23" w:rsidP="00A96CCA">
      <w:pPr>
        <w:spacing w:after="0"/>
        <w:rPr>
          <w:rFonts w:asciiTheme="minorHAnsi" w:hAnsiTheme="minorHAnsi" w:cstheme="minorHAnsi"/>
        </w:rPr>
      </w:pPr>
    </w:p>
    <w:tbl>
      <w:tblPr>
        <w:tblW w:w="9405" w:type="dxa"/>
        <w:tblCellMar>
          <w:left w:w="70" w:type="dxa"/>
          <w:right w:w="70" w:type="dxa"/>
        </w:tblCellMar>
        <w:tblLook w:val="04A0" w:firstRow="1" w:lastRow="0" w:firstColumn="1" w:lastColumn="0" w:noHBand="0" w:noVBand="1"/>
      </w:tblPr>
      <w:tblGrid>
        <w:gridCol w:w="2271"/>
        <w:gridCol w:w="608"/>
        <w:gridCol w:w="900"/>
        <w:gridCol w:w="733"/>
        <w:gridCol w:w="900"/>
        <w:gridCol w:w="733"/>
        <w:gridCol w:w="668"/>
        <w:gridCol w:w="963"/>
        <w:gridCol w:w="963"/>
        <w:gridCol w:w="668"/>
      </w:tblGrid>
      <w:tr w:rsidR="00DF49CE" w:rsidRPr="00C73365" w:rsidTr="00862F60">
        <w:trPr>
          <w:gridAfter w:val="1"/>
          <w:wAfter w:w="734" w:type="dxa"/>
          <w:trHeight w:val="705"/>
        </w:trPr>
        <w:tc>
          <w:tcPr>
            <w:tcW w:w="0" w:type="auto"/>
            <w:tcBorders>
              <w:top w:val="single" w:sz="12" w:space="0" w:color="7030A0"/>
              <w:left w:val="nil"/>
              <w:bottom w:val="single" w:sz="8" w:space="0" w:color="7030A0"/>
              <w:right w:val="nil"/>
            </w:tcBorders>
            <w:shd w:val="clear" w:color="000000" w:fill="FFFFFF"/>
            <w:vAlign w:val="center"/>
            <w:hideMark/>
          </w:tcPr>
          <w:p w:rsidR="009E2C85" w:rsidRPr="00C73365" w:rsidRDefault="009E2C85"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Nature des indications</w:t>
            </w:r>
          </w:p>
        </w:tc>
        <w:tc>
          <w:tcPr>
            <w:tcW w:w="0" w:type="auto"/>
            <w:gridSpan w:val="2"/>
            <w:tcBorders>
              <w:top w:val="single" w:sz="12" w:space="0" w:color="7030A0"/>
              <w:left w:val="nil"/>
              <w:bottom w:val="single" w:sz="8" w:space="0" w:color="7030A0"/>
              <w:right w:val="nil"/>
            </w:tcBorders>
            <w:shd w:val="clear" w:color="000000" w:fill="FFFFFF"/>
            <w:vAlign w:val="center"/>
            <w:hideMark/>
          </w:tcPr>
          <w:p w:rsidR="009E2C85" w:rsidRPr="00C73365" w:rsidRDefault="009E2C85"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Exercice clos le 31 décembre 2013</w:t>
            </w:r>
          </w:p>
        </w:tc>
        <w:tc>
          <w:tcPr>
            <w:tcW w:w="0" w:type="auto"/>
            <w:gridSpan w:val="2"/>
            <w:tcBorders>
              <w:top w:val="single" w:sz="12" w:space="0" w:color="7030A0"/>
              <w:left w:val="nil"/>
              <w:bottom w:val="single" w:sz="8" w:space="0" w:color="7030A0"/>
              <w:right w:val="nil"/>
            </w:tcBorders>
            <w:shd w:val="clear" w:color="000000" w:fill="FFFFFF"/>
            <w:vAlign w:val="center"/>
            <w:hideMark/>
          </w:tcPr>
          <w:p w:rsidR="009E2C85" w:rsidRPr="00C73365" w:rsidRDefault="009E2C85"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Exercice clos le</w:t>
            </w:r>
            <w:r w:rsidRPr="00C73365">
              <w:rPr>
                <w:rFonts w:asciiTheme="minorHAnsi" w:hAnsiTheme="minorHAnsi" w:cstheme="minorHAnsi"/>
                <w:b/>
                <w:bCs/>
                <w:color w:val="000000"/>
                <w:szCs w:val="20"/>
                <w:lang w:val="fr-FR" w:eastAsia="fr-FR"/>
              </w:rPr>
              <w:t xml:space="preserve"> </w:t>
            </w:r>
            <w:r w:rsidRPr="00C73365">
              <w:rPr>
                <w:rFonts w:asciiTheme="minorHAnsi" w:hAnsiTheme="minorHAnsi" w:cstheme="minorHAnsi"/>
                <w:color w:val="000000"/>
                <w:szCs w:val="20"/>
                <w:lang w:val="fr-FR" w:eastAsia="fr-FR"/>
              </w:rPr>
              <w:t>31 décembre 2014</w:t>
            </w:r>
          </w:p>
        </w:tc>
        <w:tc>
          <w:tcPr>
            <w:tcW w:w="0" w:type="auto"/>
            <w:gridSpan w:val="2"/>
            <w:tcBorders>
              <w:top w:val="single" w:sz="12" w:space="0" w:color="7030A0"/>
              <w:left w:val="nil"/>
              <w:bottom w:val="single" w:sz="8" w:space="0" w:color="7030A0"/>
              <w:right w:val="nil"/>
            </w:tcBorders>
            <w:shd w:val="clear" w:color="000000" w:fill="FFFFFF"/>
            <w:vAlign w:val="center"/>
            <w:hideMark/>
          </w:tcPr>
          <w:p w:rsidR="009E2C85" w:rsidRPr="00C73365" w:rsidRDefault="009E2C85"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Exercice clos le 31 décembre 2015</w:t>
            </w:r>
          </w:p>
        </w:tc>
        <w:tc>
          <w:tcPr>
            <w:tcW w:w="913" w:type="dxa"/>
            <w:tcBorders>
              <w:top w:val="single" w:sz="12" w:space="0" w:color="7030A0"/>
              <w:left w:val="nil"/>
              <w:bottom w:val="single" w:sz="8" w:space="0" w:color="7030A0"/>
              <w:right w:val="nil"/>
            </w:tcBorders>
            <w:shd w:val="clear" w:color="000000" w:fill="FFFFFF"/>
            <w:vAlign w:val="center"/>
            <w:hideMark/>
          </w:tcPr>
          <w:p w:rsidR="009E2C85" w:rsidRPr="00C73365" w:rsidRDefault="009E2C85"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Exercice clos le 31 décembre 2016</w:t>
            </w:r>
          </w:p>
        </w:tc>
        <w:tc>
          <w:tcPr>
            <w:tcW w:w="898" w:type="dxa"/>
            <w:tcBorders>
              <w:top w:val="single" w:sz="12" w:space="0" w:color="7030A0"/>
              <w:left w:val="nil"/>
              <w:bottom w:val="single" w:sz="8" w:space="0" w:color="7030A0"/>
              <w:right w:val="nil"/>
            </w:tcBorders>
            <w:shd w:val="clear" w:color="000000" w:fill="FFFFFF"/>
            <w:vAlign w:val="center"/>
          </w:tcPr>
          <w:p w:rsidR="009E2C85" w:rsidRPr="00C73365" w:rsidRDefault="009E2C85"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Exercice clos le 31 décembre 2017</w:t>
            </w:r>
          </w:p>
        </w:tc>
      </w:tr>
      <w:tr w:rsidR="00DF49CE" w:rsidRPr="00F06F79" w:rsidTr="00862F60">
        <w:trPr>
          <w:gridAfter w:val="1"/>
          <w:wAfter w:w="734" w:type="dxa"/>
          <w:trHeight w:val="457"/>
        </w:trPr>
        <w:tc>
          <w:tcPr>
            <w:tcW w:w="0" w:type="auto"/>
            <w:tcBorders>
              <w:top w:val="nil"/>
              <w:left w:val="nil"/>
              <w:bottom w:val="nil"/>
              <w:right w:val="nil"/>
            </w:tcBorders>
            <w:shd w:val="clear" w:color="000000" w:fill="FFFFFF"/>
            <w:vAlign w:val="center"/>
            <w:hideMark/>
          </w:tcPr>
          <w:p w:rsidR="009E2C85" w:rsidRPr="00C73365" w:rsidRDefault="009E2C85"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II. RÉSULTAT DES OPÉRATIONS RÉDUIT À UNE SEULE ACTION(2):</w:t>
            </w:r>
          </w:p>
        </w:tc>
        <w:tc>
          <w:tcPr>
            <w:tcW w:w="0" w:type="auto"/>
            <w:gridSpan w:val="2"/>
            <w:tcBorders>
              <w:top w:val="nil"/>
              <w:left w:val="nil"/>
              <w:bottom w:val="nil"/>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gridSpan w:val="2"/>
            <w:tcBorders>
              <w:top w:val="nil"/>
              <w:left w:val="nil"/>
              <w:bottom w:val="nil"/>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gridSpan w:val="2"/>
            <w:tcBorders>
              <w:top w:val="nil"/>
              <w:left w:val="nil"/>
              <w:bottom w:val="nil"/>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13" w:type="dxa"/>
            <w:tcBorders>
              <w:top w:val="nil"/>
              <w:left w:val="nil"/>
              <w:bottom w:val="nil"/>
              <w:right w:val="nil"/>
            </w:tcBorders>
            <w:shd w:val="clear" w:color="000000" w:fill="FFFFFF"/>
            <w:vAlign w:val="center"/>
            <w:hideMark/>
          </w:tcPr>
          <w:p w:rsidR="009E2C85" w:rsidRPr="00C73365" w:rsidRDefault="009E2C85" w:rsidP="00A96CCA">
            <w:pPr>
              <w:spacing w:after="0"/>
              <w:jc w:val="right"/>
              <w:rPr>
                <w:rFonts w:asciiTheme="minorHAnsi" w:hAnsiTheme="minorHAnsi" w:cstheme="minorHAnsi"/>
                <w:color w:val="000000"/>
                <w:sz w:val="22"/>
                <w:szCs w:val="22"/>
                <w:lang w:val="fr-FR" w:eastAsia="fr-FR"/>
              </w:rPr>
            </w:pPr>
            <w:r w:rsidRPr="00C73365">
              <w:rPr>
                <w:rFonts w:asciiTheme="minorHAnsi" w:hAnsiTheme="minorHAnsi" w:cstheme="minorHAnsi"/>
                <w:color w:val="000000"/>
                <w:sz w:val="22"/>
                <w:szCs w:val="22"/>
                <w:lang w:val="fr-FR" w:eastAsia="fr-FR"/>
              </w:rPr>
              <w:t> </w:t>
            </w:r>
          </w:p>
        </w:tc>
        <w:tc>
          <w:tcPr>
            <w:tcW w:w="898" w:type="dxa"/>
            <w:tcBorders>
              <w:top w:val="nil"/>
              <w:left w:val="nil"/>
              <w:bottom w:val="nil"/>
              <w:right w:val="nil"/>
            </w:tcBorders>
            <w:shd w:val="clear" w:color="000000" w:fill="FFFFFF"/>
            <w:vAlign w:val="center"/>
          </w:tcPr>
          <w:p w:rsidR="009E2C85" w:rsidRPr="00C73365" w:rsidRDefault="009E2C85" w:rsidP="00A96CCA">
            <w:pPr>
              <w:spacing w:after="0"/>
              <w:jc w:val="right"/>
              <w:rPr>
                <w:rFonts w:asciiTheme="minorHAnsi" w:hAnsiTheme="minorHAnsi" w:cstheme="minorHAnsi"/>
                <w:color w:val="000000"/>
                <w:sz w:val="22"/>
                <w:szCs w:val="22"/>
                <w:lang w:val="fr-FR" w:eastAsia="fr-FR"/>
              </w:rPr>
            </w:pPr>
            <w:r w:rsidRPr="00C73365">
              <w:rPr>
                <w:rFonts w:asciiTheme="minorHAnsi" w:hAnsiTheme="minorHAnsi" w:cstheme="minorHAnsi"/>
                <w:color w:val="000000"/>
                <w:sz w:val="22"/>
                <w:szCs w:val="22"/>
                <w:lang w:val="fr-FR" w:eastAsia="fr-FR"/>
              </w:rPr>
              <w:t> </w:t>
            </w:r>
          </w:p>
        </w:tc>
      </w:tr>
      <w:tr w:rsidR="00F8472A" w:rsidRPr="00C73365" w:rsidTr="00862F60">
        <w:trPr>
          <w:gridAfter w:val="1"/>
          <w:wAfter w:w="734" w:type="dxa"/>
          <w:trHeight w:val="457"/>
        </w:trPr>
        <w:tc>
          <w:tcPr>
            <w:tcW w:w="0" w:type="auto"/>
            <w:tcBorders>
              <w:top w:val="nil"/>
              <w:left w:val="nil"/>
              <w:bottom w:val="nil"/>
              <w:right w:val="nil"/>
            </w:tcBorders>
            <w:shd w:val="clear" w:color="000000" w:fill="FFFFFF"/>
            <w:vAlign w:val="center"/>
            <w:hideMark/>
          </w:tcPr>
          <w:p w:rsidR="00F8472A" w:rsidRPr="00C73365" w:rsidRDefault="00F8472A" w:rsidP="00CD1B32">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  Bénéfice après impôt, mais avant amortissements et provisions</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-0,26 €</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-62,06 €</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-1,07 €</w:t>
            </w:r>
          </w:p>
        </w:tc>
        <w:tc>
          <w:tcPr>
            <w:tcW w:w="913" w:type="dxa"/>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-1,52 € </w:t>
            </w:r>
          </w:p>
        </w:tc>
        <w:tc>
          <w:tcPr>
            <w:tcW w:w="898" w:type="dxa"/>
            <w:tcBorders>
              <w:top w:val="nil"/>
              <w:left w:val="nil"/>
              <w:bottom w:val="nil"/>
              <w:right w:val="nil"/>
            </w:tcBorders>
            <w:shd w:val="clear" w:color="000000" w:fill="FFFFFF"/>
            <w:vAlign w:val="center"/>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-1,16 € </w:t>
            </w:r>
          </w:p>
        </w:tc>
      </w:tr>
      <w:tr w:rsidR="00F8472A" w:rsidRPr="00C73365" w:rsidTr="00862F60">
        <w:trPr>
          <w:gridAfter w:val="1"/>
          <w:wAfter w:w="734" w:type="dxa"/>
          <w:trHeight w:val="237"/>
        </w:trPr>
        <w:tc>
          <w:tcPr>
            <w:tcW w:w="0" w:type="auto"/>
            <w:tcBorders>
              <w:top w:val="nil"/>
              <w:left w:val="nil"/>
              <w:bottom w:val="nil"/>
              <w:right w:val="nil"/>
            </w:tcBorders>
            <w:shd w:val="clear" w:color="000000" w:fill="FFFFFF"/>
            <w:vAlign w:val="center"/>
            <w:hideMark/>
          </w:tcPr>
          <w:p w:rsidR="00F8472A" w:rsidRPr="00C73365" w:rsidRDefault="00F8472A" w:rsidP="00CD1B32">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b)  Bénéfice après impôt, amortissements et provisions</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-0,26 €</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-73,47 €</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-1,64 €</w:t>
            </w:r>
          </w:p>
        </w:tc>
        <w:tc>
          <w:tcPr>
            <w:tcW w:w="913" w:type="dxa"/>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-1,47 €</w:t>
            </w:r>
          </w:p>
        </w:tc>
        <w:tc>
          <w:tcPr>
            <w:tcW w:w="898" w:type="dxa"/>
            <w:tcBorders>
              <w:top w:val="nil"/>
              <w:left w:val="nil"/>
              <w:bottom w:val="nil"/>
              <w:right w:val="nil"/>
            </w:tcBorders>
            <w:shd w:val="clear" w:color="000000" w:fill="FFFFFF"/>
            <w:vAlign w:val="center"/>
          </w:tcPr>
          <w:p w:rsidR="00F8472A" w:rsidRPr="00C73365" w:rsidRDefault="00F8472A" w:rsidP="00A96CCA">
            <w:pPr>
              <w:spacing w:after="0"/>
              <w:jc w:val="right"/>
              <w:rPr>
                <w:rFonts w:asciiTheme="minorHAnsi" w:hAnsiTheme="minorHAnsi" w:cstheme="minorHAnsi"/>
                <w:szCs w:val="20"/>
                <w:lang w:val="fr-FR" w:eastAsia="fr-FR"/>
              </w:rPr>
            </w:pPr>
            <w:r w:rsidRPr="00C73365">
              <w:rPr>
                <w:rFonts w:asciiTheme="minorHAnsi" w:hAnsiTheme="minorHAnsi" w:cstheme="minorHAnsi"/>
                <w:szCs w:val="20"/>
                <w:lang w:val="fr-FR" w:eastAsia="fr-FR"/>
              </w:rPr>
              <w:t>-1,13 €</w:t>
            </w:r>
          </w:p>
        </w:tc>
      </w:tr>
      <w:tr w:rsidR="00F8472A" w:rsidRPr="00C73365" w:rsidTr="00862F60">
        <w:trPr>
          <w:gridAfter w:val="1"/>
          <w:wAfter w:w="734" w:type="dxa"/>
          <w:trHeight w:val="457"/>
        </w:trPr>
        <w:tc>
          <w:tcPr>
            <w:tcW w:w="0" w:type="auto"/>
            <w:tcBorders>
              <w:top w:val="nil"/>
              <w:left w:val="nil"/>
              <w:bottom w:val="nil"/>
              <w:right w:val="nil"/>
            </w:tcBorders>
            <w:shd w:val="clear" w:color="000000" w:fill="FFFFFF"/>
            <w:vAlign w:val="center"/>
            <w:hideMark/>
          </w:tcPr>
          <w:p w:rsidR="00F8472A" w:rsidRPr="00C73365" w:rsidRDefault="00F8472A" w:rsidP="00CD1B32">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  Dividende versé à chaque action (1)</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Aucun dividende versé</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Aucun dividende versé</w:t>
            </w:r>
          </w:p>
        </w:tc>
        <w:tc>
          <w:tcPr>
            <w:tcW w:w="0" w:type="auto"/>
            <w:gridSpan w:val="2"/>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Aucun dividende versé</w:t>
            </w:r>
          </w:p>
        </w:tc>
        <w:tc>
          <w:tcPr>
            <w:tcW w:w="913" w:type="dxa"/>
            <w:tcBorders>
              <w:top w:val="nil"/>
              <w:left w:val="nil"/>
              <w:bottom w:val="nil"/>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Aucun dividende versé</w:t>
            </w:r>
          </w:p>
        </w:tc>
        <w:tc>
          <w:tcPr>
            <w:tcW w:w="898" w:type="dxa"/>
            <w:tcBorders>
              <w:top w:val="nil"/>
              <w:left w:val="nil"/>
              <w:bottom w:val="nil"/>
              <w:right w:val="nil"/>
            </w:tcBorders>
            <w:shd w:val="clear" w:color="000000" w:fill="FFFFFF"/>
            <w:vAlign w:val="center"/>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Aucun dividende versé</w:t>
            </w:r>
          </w:p>
        </w:tc>
      </w:tr>
      <w:tr w:rsidR="00F8472A" w:rsidRPr="00C73365" w:rsidTr="00862F60">
        <w:trPr>
          <w:gridAfter w:val="1"/>
          <w:wAfter w:w="734" w:type="dxa"/>
          <w:trHeight w:val="247"/>
        </w:trPr>
        <w:tc>
          <w:tcPr>
            <w:tcW w:w="0" w:type="auto"/>
            <w:tcBorders>
              <w:top w:val="nil"/>
              <w:left w:val="nil"/>
              <w:bottom w:val="single" w:sz="8" w:space="0" w:color="7030A0"/>
              <w:right w:val="nil"/>
            </w:tcBorders>
            <w:shd w:val="clear" w:color="000000" w:fill="FFFFFF"/>
            <w:vAlign w:val="center"/>
            <w:hideMark/>
          </w:tcPr>
          <w:p w:rsidR="00F8472A" w:rsidRPr="00C73365" w:rsidRDefault="00F8472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gridSpan w:val="2"/>
            <w:tcBorders>
              <w:top w:val="nil"/>
              <w:left w:val="nil"/>
              <w:bottom w:val="single" w:sz="8" w:space="0" w:color="7030A0"/>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gridSpan w:val="2"/>
            <w:tcBorders>
              <w:top w:val="nil"/>
              <w:left w:val="nil"/>
              <w:bottom w:val="single" w:sz="8" w:space="0" w:color="7030A0"/>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0" w:type="auto"/>
            <w:gridSpan w:val="2"/>
            <w:tcBorders>
              <w:top w:val="nil"/>
              <w:left w:val="nil"/>
              <w:bottom w:val="single" w:sz="8" w:space="0" w:color="7030A0"/>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913" w:type="dxa"/>
            <w:tcBorders>
              <w:top w:val="nil"/>
              <w:left w:val="nil"/>
              <w:bottom w:val="single" w:sz="8" w:space="0" w:color="7030A0"/>
              <w:right w:val="nil"/>
            </w:tcBorders>
            <w:shd w:val="clear" w:color="000000" w:fill="FFFFFF"/>
            <w:vAlign w:val="center"/>
            <w:hideMark/>
          </w:tcPr>
          <w:p w:rsidR="00F8472A" w:rsidRPr="00C73365" w:rsidRDefault="00F8472A"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898" w:type="dxa"/>
            <w:tcBorders>
              <w:top w:val="nil"/>
              <w:left w:val="nil"/>
              <w:bottom w:val="single" w:sz="8" w:space="0" w:color="7030A0"/>
              <w:right w:val="nil"/>
            </w:tcBorders>
            <w:shd w:val="clear" w:color="000000" w:fill="FFFFFF"/>
          </w:tcPr>
          <w:p w:rsidR="00F8472A" w:rsidRPr="00C73365" w:rsidRDefault="00F8472A" w:rsidP="00A96CCA">
            <w:pPr>
              <w:spacing w:after="0"/>
              <w:jc w:val="right"/>
              <w:rPr>
                <w:rFonts w:asciiTheme="minorHAnsi" w:hAnsiTheme="minorHAnsi" w:cstheme="minorHAnsi"/>
                <w:color w:val="000000"/>
                <w:szCs w:val="20"/>
                <w:lang w:val="fr-FR" w:eastAsia="fr-FR"/>
              </w:rPr>
            </w:pPr>
          </w:p>
        </w:tc>
      </w:tr>
      <w:tr w:rsidR="00F8472A" w:rsidRPr="00F06F79" w:rsidTr="00862F60">
        <w:trPr>
          <w:gridAfter w:val="1"/>
          <w:wAfter w:w="732" w:type="dxa"/>
          <w:trHeight w:val="237"/>
        </w:trPr>
        <w:tc>
          <w:tcPr>
            <w:tcW w:w="7775" w:type="dxa"/>
            <w:gridSpan w:val="8"/>
            <w:tcBorders>
              <w:top w:val="single" w:sz="8" w:space="0" w:color="7030A0"/>
              <w:left w:val="nil"/>
              <w:bottom w:val="nil"/>
              <w:right w:val="nil"/>
            </w:tcBorders>
            <w:shd w:val="clear" w:color="000000" w:fill="FFFFFF"/>
            <w:vAlign w:val="center"/>
            <w:hideMark/>
          </w:tcPr>
          <w:p w:rsidR="00CD1B32" w:rsidRDefault="00CD1B32" w:rsidP="00A96CCA">
            <w:pPr>
              <w:spacing w:after="0"/>
              <w:rPr>
                <w:rFonts w:asciiTheme="minorHAnsi" w:hAnsiTheme="minorHAnsi" w:cstheme="minorHAnsi"/>
                <w:b/>
                <w:bCs/>
                <w:color w:val="000000"/>
                <w:szCs w:val="20"/>
                <w:lang w:val="fr-FR" w:eastAsia="fr-FR"/>
              </w:rPr>
            </w:pPr>
          </w:p>
          <w:p w:rsidR="00CD1B32" w:rsidRDefault="00CD1B32" w:rsidP="00A96CCA">
            <w:pPr>
              <w:spacing w:after="0"/>
              <w:rPr>
                <w:rFonts w:asciiTheme="minorHAnsi" w:hAnsiTheme="minorHAnsi" w:cstheme="minorHAnsi"/>
                <w:b/>
                <w:bCs/>
                <w:color w:val="000000"/>
                <w:szCs w:val="20"/>
                <w:lang w:val="fr-FR" w:eastAsia="fr-FR"/>
              </w:rPr>
            </w:pPr>
          </w:p>
          <w:p w:rsidR="00F8472A" w:rsidRPr="00C73365" w:rsidRDefault="00F8472A" w:rsidP="00A96CCA">
            <w:pPr>
              <w:spacing w:after="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INFORMATIONS SUR LES DÉLAIS DE PAIEMENT</w:t>
            </w:r>
          </w:p>
        </w:tc>
        <w:tc>
          <w:tcPr>
            <w:tcW w:w="898" w:type="dxa"/>
            <w:tcBorders>
              <w:top w:val="single" w:sz="8" w:space="0" w:color="7030A0"/>
              <w:left w:val="nil"/>
              <w:bottom w:val="nil"/>
              <w:right w:val="nil"/>
            </w:tcBorders>
            <w:shd w:val="clear" w:color="000000" w:fill="FFFFFF"/>
          </w:tcPr>
          <w:p w:rsidR="00F8472A" w:rsidRPr="00C73365" w:rsidRDefault="00F8472A" w:rsidP="00A96CCA">
            <w:pPr>
              <w:spacing w:after="0"/>
              <w:rPr>
                <w:rFonts w:asciiTheme="minorHAnsi" w:hAnsiTheme="minorHAnsi" w:cstheme="minorHAnsi"/>
                <w:b/>
                <w:bCs/>
                <w:color w:val="000000"/>
                <w:szCs w:val="20"/>
                <w:lang w:val="fr-FR" w:eastAsia="fr-FR"/>
              </w:rPr>
            </w:pPr>
          </w:p>
        </w:tc>
      </w:tr>
      <w:tr w:rsidR="00F8472A" w:rsidRPr="00F06F79" w:rsidTr="00862F60">
        <w:trPr>
          <w:gridAfter w:val="1"/>
          <w:wAfter w:w="732" w:type="dxa"/>
          <w:trHeight w:val="457"/>
        </w:trPr>
        <w:tc>
          <w:tcPr>
            <w:tcW w:w="7775" w:type="dxa"/>
            <w:gridSpan w:val="8"/>
            <w:tcBorders>
              <w:top w:val="nil"/>
              <w:left w:val="nil"/>
              <w:bottom w:val="single" w:sz="12" w:space="0" w:color="7030A0"/>
              <w:right w:val="nil"/>
            </w:tcBorders>
            <w:shd w:val="clear" w:color="000000" w:fill="FFFFFF"/>
            <w:vAlign w:val="center"/>
            <w:hideMark/>
          </w:tcPr>
          <w:p w:rsidR="00F8472A" w:rsidRDefault="00F8472A"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Décomposition, à la clôture des deux derniers exercices du solde des dettes à l’égard des fournisseurs, par date d’échéance</w:t>
            </w:r>
          </w:p>
          <w:p w:rsidR="00862F60" w:rsidRPr="00C73365" w:rsidRDefault="00862F60" w:rsidP="00A96CCA">
            <w:pPr>
              <w:spacing w:after="0"/>
              <w:rPr>
                <w:rFonts w:asciiTheme="minorHAnsi" w:hAnsiTheme="minorHAnsi" w:cstheme="minorHAnsi"/>
                <w:color w:val="000000"/>
                <w:szCs w:val="20"/>
                <w:lang w:val="fr-FR" w:eastAsia="fr-FR"/>
              </w:rPr>
            </w:pPr>
          </w:p>
        </w:tc>
        <w:tc>
          <w:tcPr>
            <w:tcW w:w="898" w:type="dxa"/>
            <w:tcBorders>
              <w:top w:val="nil"/>
              <w:left w:val="nil"/>
              <w:bottom w:val="single" w:sz="12" w:space="0" w:color="7030A0"/>
              <w:right w:val="nil"/>
            </w:tcBorders>
            <w:shd w:val="clear" w:color="000000" w:fill="FFFFFF"/>
          </w:tcPr>
          <w:p w:rsidR="00F8472A" w:rsidRPr="00C73365" w:rsidRDefault="00F8472A" w:rsidP="00A96CCA">
            <w:pPr>
              <w:spacing w:after="0"/>
              <w:rPr>
                <w:rFonts w:asciiTheme="minorHAnsi" w:hAnsiTheme="minorHAnsi" w:cstheme="minorHAnsi"/>
                <w:color w:val="000000"/>
                <w:szCs w:val="20"/>
                <w:lang w:val="fr-FR" w:eastAsia="fr-FR"/>
              </w:rPr>
            </w:pPr>
          </w:p>
        </w:tc>
      </w:tr>
      <w:tr w:rsidR="00862F60" w:rsidRPr="00F06F79" w:rsidTr="00862F60">
        <w:trPr>
          <w:trHeight w:hRule="exact" w:val="840"/>
        </w:trPr>
        <w:tc>
          <w:tcPr>
            <w:tcW w:w="2879" w:type="dxa"/>
            <w:gridSpan w:val="2"/>
            <w:tcBorders>
              <w:top w:val="single" w:sz="12" w:space="0" w:color="7030A0"/>
              <w:left w:val="nil"/>
              <w:bottom w:val="single" w:sz="8" w:space="0" w:color="7030A0"/>
              <w:right w:val="nil"/>
            </w:tcBorders>
            <w:shd w:val="clear" w:color="000000" w:fill="FFFFFF"/>
            <w:noWrap/>
            <w:vAlign w:val="center"/>
            <w:hideMark/>
          </w:tcPr>
          <w:p w:rsidR="00862F60" w:rsidRPr="00862F60" w:rsidRDefault="00862F60" w:rsidP="00862F60">
            <w:pPr>
              <w:spacing w:after="0"/>
              <w:rPr>
                <w:rFonts w:cs="Calibri"/>
                <w:color w:val="000000"/>
                <w:szCs w:val="20"/>
                <w:lang w:val="fr-FR" w:eastAsia="fr-FR"/>
              </w:rPr>
            </w:pPr>
            <w:r w:rsidRPr="00862F60">
              <w:rPr>
                <w:rFonts w:cs="Calibri"/>
                <w:color w:val="000000"/>
                <w:szCs w:val="20"/>
                <w:lang w:val="fr-FR" w:eastAsia="fr-FR"/>
              </w:rPr>
              <w:t>Echéances</w:t>
            </w:r>
          </w:p>
        </w:tc>
        <w:tc>
          <w:tcPr>
            <w:tcW w:w="1632" w:type="dxa"/>
            <w:gridSpan w:val="2"/>
            <w:tcBorders>
              <w:top w:val="single" w:sz="12" w:space="0" w:color="7030A0"/>
              <w:left w:val="nil"/>
              <w:bottom w:val="single" w:sz="8" w:space="0" w:color="7030A0"/>
              <w:right w:val="nil"/>
            </w:tcBorders>
            <w:shd w:val="clear" w:color="000000" w:fill="FFFFFF"/>
            <w:vAlign w:val="center"/>
            <w:hideMark/>
          </w:tcPr>
          <w:p w:rsidR="00862F60" w:rsidRPr="00862F60" w:rsidRDefault="00862F60" w:rsidP="00862F60">
            <w:pPr>
              <w:spacing w:after="0"/>
              <w:jc w:val="center"/>
              <w:rPr>
                <w:rFonts w:cs="Calibri"/>
                <w:color w:val="000000"/>
                <w:szCs w:val="20"/>
                <w:lang w:val="fr-FR" w:eastAsia="fr-FR"/>
              </w:rPr>
            </w:pPr>
            <w:r w:rsidRPr="00862F60">
              <w:rPr>
                <w:rFonts w:cs="Calibri"/>
                <w:color w:val="000000"/>
                <w:szCs w:val="20"/>
                <w:lang w:val="fr-FR" w:eastAsia="fr-FR"/>
              </w:rPr>
              <w:t>Montant des dettes au 31 décembre 2014</w:t>
            </w:r>
          </w:p>
        </w:tc>
        <w:tc>
          <w:tcPr>
            <w:tcW w:w="1632" w:type="dxa"/>
            <w:gridSpan w:val="2"/>
            <w:tcBorders>
              <w:top w:val="single" w:sz="12" w:space="0" w:color="7030A0"/>
              <w:left w:val="nil"/>
              <w:bottom w:val="single" w:sz="8" w:space="0" w:color="7030A0"/>
              <w:right w:val="nil"/>
            </w:tcBorders>
            <w:shd w:val="clear" w:color="000000" w:fill="FFFFFF"/>
            <w:vAlign w:val="center"/>
            <w:hideMark/>
          </w:tcPr>
          <w:p w:rsidR="00862F60" w:rsidRPr="00862F60" w:rsidRDefault="00862F60" w:rsidP="00862F60">
            <w:pPr>
              <w:spacing w:after="0"/>
              <w:jc w:val="center"/>
              <w:rPr>
                <w:rFonts w:cs="Calibri"/>
                <w:color w:val="000000"/>
                <w:szCs w:val="20"/>
                <w:lang w:val="fr-FR" w:eastAsia="fr-FR"/>
              </w:rPr>
            </w:pPr>
            <w:r w:rsidRPr="00862F60">
              <w:rPr>
                <w:rFonts w:cs="Calibri"/>
                <w:color w:val="000000"/>
                <w:szCs w:val="20"/>
                <w:lang w:val="fr-FR" w:eastAsia="fr-FR"/>
              </w:rPr>
              <w:t>Montant des dettes au 31 décembre 2015</w:t>
            </w:r>
          </w:p>
        </w:tc>
        <w:tc>
          <w:tcPr>
            <w:tcW w:w="1631" w:type="dxa"/>
            <w:gridSpan w:val="2"/>
            <w:tcBorders>
              <w:top w:val="single" w:sz="12" w:space="0" w:color="7030A0"/>
              <w:left w:val="nil"/>
              <w:bottom w:val="single" w:sz="8" w:space="0" w:color="7030A0"/>
              <w:right w:val="nil"/>
            </w:tcBorders>
            <w:shd w:val="clear" w:color="000000" w:fill="FFFFFF"/>
            <w:vAlign w:val="center"/>
            <w:hideMark/>
          </w:tcPr>
          <w:p w:rsidR="00862F60" w:rsidRPr="00862F60" w:rsidRDefault="00862F60" w:rsidP="00862F60">
            <w:pPr>
              <w:spacing w:after="0"/>
              <w:jc w:val="center"/>
              <w:rPr>
                <w:rFonts w:cs="Calibri"/>
                <w:color w:val="000000"/>
                <w:szCs w:val="20"/>
                <w:lang w:val="fr-FR" w:eastAsia="fr-FR"/>
              </w:rPr>
            </w:pPr>
            <w:r w:rsidRPr="00862F60">
              <w:rPr>
                <w:rFonts w:cs="Calibri"/>
                <w:color w:val="000000"/>
                <w:szCs w:val="20"/>
                <w:lang w:val="fr-FR" w:eastAsia="fr-FR"/>
              </w:rPr>
              <w:t>Montant des dettes au 31 décembre 2016</w:t>
            </w:r>
          </w:p>
        </w:tc>
        <w:tc>
          <w:tcPr>
            <w:tcW w:w="1631" w:type="dxa"/>
            <w:gridSpan w:val="2"/>
            <w:tcBorders>
              <w:top w:val="single" w:sz="12" w:space="0" w:color="7030A0"/>
              <w:left w:val="nil"/>
              <w:bottom w:val="single" w:sz="8" w:space="0" w:color="7030A0"/>
              <w:right w:val="nil"/>
            </w:tcBorders>
            <w:shd w:val="clear" w:color="000000" w:fill="FFFFFF"/>
            <w:vAlign w:val="center"/>
            <w:hideMark/>
          </w:tcPr>
          <w:p w:rsidR="00862F60" w:rsidRPr="00862F60" w:rsidRDefault="00862F60" w:rsidP="00862F60">
            <w:pPr>
              <w:spacing w:after="0"/>
              <w:jc w:val="center"/>
              <w:rPr>
                <w:rFonts w:cs="Calibri"/>
                <w:color w:val="000000"/>
                <w:szCs w:val="20"/>
                <w:lang w:val="fr-FR" w:eastAsia="fr-FR"/>
              </w:rPr>
            </w:pPr>
            <w:r w:rsidRPr="00862F60">
              <w:rPr>
                <w:rFonts w:cs="Calibri"/>
                <w:color w:val="000000"/>
                <w:szCs w:val="20"/>
                <w:lang w:val="fr-FR" w:eastAsia="fr-FR"/>
              </w:rPr>
              <w:t>Montant des dettes au 31 décembre 2017</w:t>
            </w:r>
          </w:p>
        </w:tc>
      </w:tr>
      <w:tr w:rsidR="00862F60" w:rsidRPr="00862F60" w:rsidTr="00862F60">
        <w:trPr>
          <w:trHeight w:val="296"/>
        </w:trPr>
        <w:tc>
          <w:tcPr>
            <w:tcW w:w="2879" w:type="dxa"/>
            <w:gridSpan w:val="2"/>
            <w:tcBorders>
              <w:top w:val="nil"/>
              <w:left w:val="nil"/>
              <w:bottom w:val="nil"/>
              <w:right w:val="nil"/>
            </w:tcBorders>
            <w:shd w:val="clear" w:color="auto" w:fill="auto"/>
            <w:noWrap/>
            <w:vAlign w:val="center"/>
            <w:hideMark/>
          </w:tcPr>
          <w:p w:rsidR="00862F60" w:rsidRPr="00862F60" w:rsidRDefault="00862F60" w:rsidP="00862F60">
            <w:pPr>
              <w:spacing w:after="0"/>
              <w:rPr>
                <w:rFonts w:cs="Calibri"/>
                <w:color w:val="000000"/>
                <w:szCs w:val="20"/>
                <w:lang w:val="fr-FR" w:eastAsia="fr-FR"/>
              </w:rPr>
            </w:pPr>
            <w:r w:rsidRPr="00862F60">
              <w:rPr>
                <w:rFonts w:cs="Calibri"/>
                <w:color w:val="000000"/>
                <w:szCs w:val="20"/>
                <w:lang w:val="fr-FR" w:eastAsia="fr-FR"/>
              </w:rPr>
              <w:t>Provision factures non parvenues</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545 K€</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1 059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332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662 K€</w:t>
            </w:r>
          </w:p>
        </w:tc>
      </w:tr>
      <w:tr w:rsidR="00862F60" w:rsidRPr="00862F60" w:rsidTr="00862F60">
        <w:trPr>
          <w:trHeight w:val="296"/>
        </w:trPr>
        <w:tc>
          <w:tcPr>
            <w:tcW w:w="2879" w:type="dxa"/>
            <w:gridSpan w:val="2"/>
            <w:tcBorders>
              <w:top w:val="nil"/>
              <w:left w:val="nil"/>
              <w:bottom w:val="nil"/>
              <w:right w:val="nil"/>
            </w:tcBorders>
            <w:shd w:val="clear" w:color="auto" w:fill="auto"/>
            <w:noWrap/>
            <w:vAlign w:val="center"/>
            <w:hideMark/>
          </w:tcPr>
          <w:p w:rsidR="00862F60" w:rsidRPr="00862F60" w:rsidRDefault="00862F60" w:rsidP="00862F60">
            <w:pPr>
              <w:spacing w:after="0"/>
              <w:rPr>
                <w:rFonts w:cs="Calibri"/>
                <w:color w:val="000000"/>
                <w:szCs w:val="20"/>
                <w:lang w:val="fr-FR" w:eastAsia="fr-FR"/>
              </w:rPr>
            </w:pPr>
            <w:r w:rsidRPr="00862F60">
              <w:rPr>
                <w:rFonts w:cs="Calibri"/>
                <w:color w:val="000000"/>
                <w:szCs w:val="20"/>
                <w:lang w:val="fr-FR" w:eastAsia="fr-FR"/>
              </w:rPr>
              <w:t>Factures non échues</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424 K€</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1 072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1 412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2 682 K€</w:t>
            </w:r>
          </w:p>
        </w:tc>
      </w:tr>
      <w:tr w:rsidR="00862F60" w:rsidRPr="00862F60" w:rsidTr="00862F60">
        <w:trPr>
          <w:trHeight w:val="296"/>
        </w:trPr>
        <w:tc>
          <w:tcPr>
            <w:tcW w:w="2879" w:type="dxa"/>
            <w:gridSpan w:val="2"/>
            <w:tcBorders>
              <w:top w:val="nil"/>
              <w:left w:val="nil"/>
              <w:bottom w:val="nil"/>
              <w:right w:val="nil"/>
            </w:tcBorders>
            <w:shd w:val="clear" w:color="auto" w:fill="auto"/>
            <w:noWrap/>
            <w:vAlign w:val="center"/>
            <w:hideMark/>
          </w:tcPr>
          <w:p w:rsidR="00862F60" w:rsidRPr="00862F60" w:rsidRDefault="00862F60" w:rsidP="00862F60">
            <w:pPr>
              <w:spacing w:after="0"/>
              <w:rPr>
                <w:rFonts w:cs="Calibri"/>
                <w:color w:val="000000"/>
                <w:szCs w:val="20"/>
                <w:lang w:val="fr-FR" w:eastAsia="fr-FR"/>
              </w:rPr>
            </w:pPr>
            <w:r w:rsidRPr="00862F60">
              <w:rPr>
                <w:rFonts w:cs="Calibri"/>
                <w:color w:val="000000"/>
                <w:szCs w:val="20"/>
                <w:lang w:val="fr-FR" w:eastAsia="fr-FR"/>
              </w:rPr>
              <w:t>Factures échues de 1 à 30 jours</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34 K€</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224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288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451 K€</w:t>
            </w:r>
          </w:p>
        </w:tc>
      </w:tr>
      <w:tr w:rsidR="00862F60" w:rsidRPr="00862F60" w:rsidTr="00862F60">
        <w:trPr>
          <w:trHeight w:val="296"/>
        </w:trPr>
        <w:tc>
          <w:tcPr>
            <w:tcW w:w="2879" w:type="dxa"/>
            <w:gridSpan w:val="2"/>
            <w:tcBorders>
              <w:top w:val="nil"/>
              <w:left w:val="nil"/>
              <w:bottom w:val="nil"/>
              <w:right w:val="nil"/>
            </w:tcBorders>
            <w:shd w:val="clear" w:color="auto" w:fill="auto"/>
            <w:noWrap/>
            <w:vAlign w:val="center"/>
            <w:hideMark/>
          </w:tcPr>
          <w:p w:rsidR="00862F60" w:rsidRPr="00862F60" w:rsidRDefault="00862F60" w:rsidP="00862F60">
            <w:pPr>
              <w:spacing w:after="0"/>
              <w:rPr>
                <w:rFonts w:cs="Calibri"/>
                <w:color w:val="000000"/>
                <w:szCs w:val="20"/>
                <w:lang w:val="fr-FR" w:eastAsia="fr-FR"/>
              </w:rPr>
            </w:pPr>
            <w:r w:rsidRPr="00862F60">
              <w:rPr>
                <w:rFonts w:cs="Calibri"/>
                <w:color w:val="000000"/>
                <w:szCs w:val="20"/>
                <w:lang w:val="fr-FR" w:eastAsia="fr-FR"/>
              </w:rPr>
              <w:t>Factures échues de 31 à 60 jours</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12 K€</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123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405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330 K€</w:t>
            </w:r>
          </w:p>
        </w:tc>
      </w:tr>
      <w:tr w:rsidR="00862F60" w:rsidRPr="00862F60" w:rsidTr="00862F60">
        <w:trPr>
          <w:trHeight w:val="296"/>
        </w:trPr>
        <w:tc>
          <w:tcPr>
            <w:tcW w:w="2879" w:type="dxa"/>
            <w:gridSpan w:val="2"/>
            <w:tcBorders>
              <w:top w:val="nil"/>
              <w:left w:val="nil"/>
              <w:bottom w:val="nil"/>
              <w:right w:val="nil"/>
            </w:tcBorders>
            <w:shd w:val="clear" w:color="auto" w:fill="auto"/>
            <w:noWrap/>
            <w:vAlign w:val="center"/>
            <w:hideMark/>
          </w:tcPr>
          <w:p w:rsidR="00862F60" w:rsidRPr="00862F60" w:rsidRDefault="00862F60" w:rsidP="00862F60">
            <w:pPr>
              <w:spacing w:after="0"/>
              <w:rPr>
                <w:rFonts w:cs="Calibri"/>
                <w:color w:val="000000"/>
                <w:szCs w:val="20"/>
                <w:lang w:val="fr-FR" w:eastAsia="fr-FR"/>
              </w:rPr>
            </w:pPr>
            <w:r w:rsidRPr="00862F60">
              <w:rPr>
                <w:rFonts w:cs="Calibri"/>
                <w:color w:val="000000"/>
                <w:szCs w:val="20"/>
                <w:lang w:val="fr-FR" w:eastAsia="fr-FR"/>
              </w:rPr>
              <w:t>Factures échues de 61 à 90 jours</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0.3 k€</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7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w:t>
            </w:r>
          </w:p>
        </w:tc>
      </w:tr>
      <w:tr w:rsidR="00862F60" w:rsidRPr="00862F60" w:rsidTr="00862F60">
        <w:trPr>
          <w:trHeight w:val="306"/>
        </w:trPr>
        <w:tc>
          <w:tcPr>
            <w:tcW w:w="2879" w:type="dxa"/>
            <w:gridSpan w:val="2"/>
            <w:tcBorders>
              <w:top w:val="nil"/>
              <w:left w:val="nil"/>
              <w:bottom w:val="nil"/>
              <w:right w:val="nil"/>
            </w:tcBorders>
            <w:shd w:val="clear" w:color="auto" w:fill="auto"/>
            <w:noWrap/>
            <w:vAlign w:val="center"/>
            <w:hideMark/>
          </w:tcPr>
          <w:p w:rsidR="00862F60" w:rsidRPr="00862F60" w:rsidRDefault="00862F60" w:rsidP="00862F60">
            <w:pPr>
              <w:spacing w:after="0"/>
              <w:rPr>
                <w:rFonts w:cs="Calibri"/>
                <w:color w:val="000000"/>
                <w:szCs w:val="20"/>
                <w:lang w:val="fr-FR" w:eastAsia="fr-FR"/>
              </w:rPr>
            </w:pPr>
            <w:r w:rsidRPr="00862F60">
              <w:rPr>
                <w:rFonts w:cs="Calibri"/>
                <w:color w:val="000000"/>
                <w:szCs w:val="20"/>
                <w:lang w:val="fr-FR" w:eastAsia="fr-FR"/>
              </w:rPr>
              <w:t>Factures échues à plus de 90 jours</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35 K€</w:t>
            </w:r>
          </w:p>
        </w:tc>
        <w:tc>
          <w:tcPr>
            <w:tcW w:w="1632"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323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135 K€</w:t>
            </w:r>
          </w:p>
        </w:tc>
        <w:tc>
          <w:tcPr>
            <w:tcW w:w="1631" w:type="dxa"/>
            <w:gridSpan w:val="2"/>
            <w:tcBorders>
              <w:top w:val="nil"/>
              <w:left w:val="nil"/>
              <w:bottom w:val="nil"/>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 xml:space="preserve"> 94 K€</w:t>
            </w:r>
          </w:p>
        </w:tc>
      </w:tr>
      <w:tr w:rsidR="00862F60" w:rsidRPr="00862F60" w:rsidTr="00862F60">
        <w:trPr>
          <w:trHeight w:hRule="exact" w:val="306"/>
        </w:trPr>
        <w:tc>
          <w:tcPr>
            <w:tcW w:w="2879" w:type="dxa"/>
            <w:gridSpan w:val="2"/>
            <w:tcBorders>
              <w:top w:val="single" w:sz="8" w:space="0" w:color="7030A0"/>
              <w:left w:val="nil"/>
              <w:bottom w:val="single" w:sz="8" w:space="0" w:color="7030A0"/>
              <w:right w:val="nil"/>
            </w:tcBorders>
            <w:shd w:val="clear" w:color="auto" w:fill="auto"/>
            <w:noWrap/>
            <w:vAlign w:val="center"/>
            <w:hideMark/>
          </w:tcPr>
          <w:p w:rsidR="00862F60" w:rsidRPr="00862F60" w:rsidRDefault="00862F60" w:rsidP="00862F60">
            <w:pPr>
              <w:spacing w:after="0"/>
              <w:rPr>
                <w:rFonts w:cs="Calibri"/>
                <w:b/>
                <w:bCs/>
                <w:color w:val="000000"/>
                <w:szCs w:val="20"/>
                <w:lang w:val="fr-FR" w:eastAsia="fr-FR"/>
              </w:rPr>
            </w:pPr>
            <w:r w:rsidRPr="00862F60">
              <w:rPr>
                <w:rFonts w:cs="Calibri"/>
                <w:b/>
                <w:bCs/>
                <w:color w:val="000000"/>
                <w:szCs w:val="20"/>
                <w:lang w:val="fr-FR" w:eastAsia="fr-FR"/>
              </w:rPr>
              <w:t>Total</w:t>
            </w:r>
          </w:p>
        </w:tc>
        <w:tc>
          <w:tcPr>
            <w:tcW w:w="1632" w:type="dxa"/>
            <w:gridSpan w:val="2"/>
            <w:tcBorders>
              <w:top w:val="single" w:sz="8" w:space="0" w:color="7030A0"/>
              <w:left w:val="nil"/>
              <w:bottom w:val="single" w:sz="8" w:space="0" w:color="7030A0"/>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1 050 K€</w:t>
            </w:r>
          </w:p>
        </w:tc>
        <w:tc>
          <w:tcPr>
            <w:tcW w:w="1632" w:type="dxa"/>
            <w:gridSpan w:val="2"/>
            <w:tcBorders>
              <w:top w:val="single" w:sz="8" w:space="0" w:color="7030A0"/>
              <w:left w:val="nil"/>
              <w:bottom w:val="single" w:sz="8" w:space="0" w:color="7030A0"/>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2 808 K€</w:t>
            </w:r>
          </w:p>
        </w:tc>
        <w:tc>
          <w:tcPr>
            <w:tcW w:w="1631" w:type="dxa"/>
            <w:gridSpan w:val="2"/>
            <w:tcBorders>
              <w:top w:val="single" w:sz="8" w:space="0" w:color="7030A0"/>
              <w:left w:val="nil"/>
              <w:bottom w:val="single" w:sz="8" w:space="0" w:color="7030A0"/>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2 571 K€</w:t>
            </w:r>
          </w:p>
        </w:tc>
        <w:tc>
          <w:tcPr>
            <w:tcW w:w="1631" w:type="dxa"/>
            <w:gridSpan w:val="2"/>
            <w:tcBorders>
              <w:top w:val="single" w:sz="8" w:space="0" w:color="7030A0"/>
              <w:left w:val="nil"/>
              <w:bottom w:val="single" w:sz="8" w:space="0" w:color="7030A0"/>
              <w:right w:val="nil"/>
            </w:tcBorders>
            <w:shd w:val="clear" w:color="auto" w:fill="auto"/>
            <w:noWrap/>
            <w:vAlign w:val="bottom"/>
            <w:hideMark/>
          </w:tcPr>
          <w:p w:rsidR="00862F60" w:rsidRPr="00862F60" w:rsidRDefault="00862F60" w:rsidP="00862F60">
            <w:pPr>
              <w:spacing w:after="0"/>
              <w:jc w:val="center"/>
              <w:rPr>
                <w:rFonts w:cs="Calibri"/>
                <w:color w:val="000000"/>
                <w:sz w:val="22"/>
                <w:szCs w:val="22"/>
                <w:lang w:val="fr-FR" w:eastAsia="fr-FR"/>
              </w:rPr>
            </w:pPr>
            <w:r w:rsidRPr="00862F60">
              <w:rPr>
                <w:rFonts w:cs="Calibri"/>
                <w:color w:val="000000"/>
                <w:sz w:val="22"/>
                <w:szCs w:val="22"/>
                <w:lang w:val="fr-FR" w:eastAsia="fr-FR"/>
              </w:rPr>
              <w:t>4 219 K€</w:t>
            </w:r>
          </w:p>
        </w:tc>
      </w:tr>
    </w:tbl>
    <w:p w:rsidR="00631786" w:rsidRPr="00C73365" w:rsidRDefault="00631786" w:rsidP="00A96CCA">
      <w:pPr>
        <w:pStyle w:val="ConmainL2"/>
        <w:numPr>
          <w:ilvl w:val="0"/>
          <w:numId w:val="0"/>
        </w:numPr>
        <w:spacing w:after="0"/>
        <w:ind w:left="360" w:hanging="360"/>
        <w:outlineLvl w:val="9"/>
        <w:rPr>
          <w:rFonts w:asciiTheme="minorHAnsi" w:hAnsiTheme="minorHAnsi" w:cstheme="minorHAnsi"/>
          <w:lang w:val="fr-FR"/>
        </w:rPr>
      </w:pPr>
    </w:p>
    <w:p w:rsidR="00123919" w:rsidRPr="00C73365" w:rsidRDefault="00123919" w:rsidP="008D252A">
      <w:pPr>
        <w:pStyle w:val="ConmainL2"/>
        <w:numPr>
          <w:ilvl w:val="1"/>
          <w:numId w:val="9"/>
        </w:numPr>
        <w:rPr>
          <w:rFonts w:asciiTheme="minorHAnsi" w:hAnsiTheme="minorHAnsi" w:cstheme="minorHAnsi"/>
          <w:sz w:val="22"/>
          <w:lang w:val="fr-FR"/>
        </w:rPr>
      </w:pPr>
      <w:bookmarkStart w:id="1468" w:name="_Toc148342702"/>
      <w:bookmarkStart w:id="1469" w:name="_Toc402884192"/>
      <w:bookmarkStart w:id="1470" w:name="_Toc462673301"/>
      <w:bookmarkStart w:id="1471" w:name="_Toc467835650"/>
      <w:bookmarkStart w:id="1472" w:name="_Toc512863970"/>
      <w:r w:rsidRPr="00C73365">
        <w:rPr>
          <w:rFonts w:asciiTheme="minorHAnsi" w:hAnsiTheme="minorHAnsi" w:cstheme="minorHAnsi"/>
          <w:sz w:val="22"/>
          <w:lang w:val="fr-FR"/>
        </w:rPr>
        <w:t>Procédures judiciaires et d’arbitrage</w:t>
      </w:r>
      <w:bookmarkEnd w:id="1468"/>
      <w:bookmarkEnd w:id="1469"/>
      <w:bookmarkEnd w:id="1470"/>
      <w:bookmarkEnd w:id="1471"/>
      <w:bookmarkEnd w:id="1472"/>
    </w:p>
    <w:p w:rsidR="007F1850" w:rsidRPr="001479F8" w:rsidRDefault="007F1850" w:rsidP="001479F8">
      <w:pPr>
        <w:rPr>
          <w:szCs w:val="20"/>
          <w:lang w:val="fr-FR"/>
        </w:rPr>
      </w:pPr>
      <w:bookmarkStart w:id="1473" w:name="_Hlk510193372"/>
      <w:bookmarkStart w:id="1474" w:name="_Toc148342703"/>
      <w:r w:rsidRPr="001479F8">
        <w:rPr>
          <w:szCs w:val="20"/>
          <w:lang w:val="fr-FR"/>
        </w:rPr>
        <w:t>La Société n’a été impliquée au cours de l’exercice 2017 dans aucune procédure gouvernementale, judiciaire ou d’arbitrage (y compris toute procédure dont l’émetteur a connaissance, qui est en suspens ou dont il est menacé) qui pourrait avoir ou a eu récemment des effets significatifs sur la situation financière ou la rentabilité de la Société.</w:t>
      </w:r>
    </w:p>
    <w:bookmarkEnd w:id="1473"/>
    <w:p w:rsidR="007F1850" w:rsidRPr="00C73365" w:rsidRDefault="007F1850" w:rsidP="004572A0">
      <w:pPr>
        <w:pStyle w:val="ListContinue"/>
        <w:rPr>
          <w:rFonts w:asciiTheme="minorHAnsi" w:hAnsiTheme="minorHAnsi" w:cstheme="minorHAnsi"/>
          <w:lang w:val="fr-FR"/>
        </w:rPr>
        <w:sectPr w:rsidR="007F1850" w:rsidRPr="00C73365" w:rsidSect="007C607C">
          <w:type w:val="continuous"/>
          <w:pgSz w:w="11900" w:h="16840"/>
          <w:pgMar w:top="1134" w:right="1134" w:bottom="1134" w:left="1134" w:header="720" w:footer="720" w:gutter="0"/>
          <w:cols w:space="720" w:equalWidth="0">
            <w:col w:w="9269"/>
          </w:cols>
          <w:noEndnote/>
          <w:docGrid w:linePitch="299"/>
        </w:sectPr>
      </w:pPr>
    </w:p>
    <w:p w:rsidR="00A15CBF" w:rsidRPr="00C73365" w:rsidRDefault="00A15CBF" w:rsidP="00A96CCA">
      <w:pPr>
        <w:spacing w:after="0"/>
        <w:rPr>
          <w:rFonts w:asciiTheme="minorHAnsi" w:hAnsiTheme="minorHAnsi" w:cstheme="minorHAnsi"/>
          <w:color w:val="7030A0"/>
          <w:sz w:val="18"/>
          <w:szCs w:val="18"/>
          <w:lang w:val="fr-FR"/>
        </w:rPr>
      </w:pPr>
    </w:p>
    <w:p w:rsidR="003A42BB" w:rsidRPr="001479F8" w:rsidRDefault="00123919" w:rsidP="001479F8">
      <w:pPr>
        <w:pStyle w:val="ConmainL2"/>
        <w:numPr>
          <w:ilvl w:val="1"/>
          <w:numId w:val="9"/>
        </w:numPr>
        <w:rPr>
          <w:rFonts w:asciiTheme="minorHAnsi" w:hAnsiTheme="minorHAnsi" w:cstheme="minorHAnsi"/>
          <w:sz w:val="22"/>
          <w:lang w:val="fr-FR"/>
        </w:rPr>
      </w:pPr>
      <w:bookmarkStart w:id="1475" w:name="_Toc476153050"/>
      <w:bookmarkStart w:id="1476" w:name="_Toc476153169"/>
      <w:bookmarkStart w:id="1477" w:name="_Toc476153288"/>
      <w:bookmarkStart w:id="1478" w:name="_Toc476153411"/>
      <w:bookmarkStart w:id="1479" w:name="_Toc476153529"/>
      <w:bookmarkStart w:id="1480" w:name="_Toc402884193"/>
      <w:bookmarkStart w:id="1481" w:name="_Toc462673302"/>
      <w:bookmarkStart w:id="1482" w:name="_Toc467835651"/>
      <w:bookmarkStart w:id="1483" w:name="_Toc512863971"/>
      <w:bookmarkEnd w:id="1475"/>
      <w:bookmarkEnd w:id="1476"/>
      <w:bookmarkEnd w:id="1477"/>
      <w:bookmarkEnd w:id="1478"/>
      <w:bookmarkEnd w:id="1479"/>
      <w:r w:rsidRPr="00C73365">
        <w:rPr>
          <w:rFonts w:asciiTheme="minorHAnsi" w:hAnsiTheme="minorHAnsi" w:cstheme="minorHAnsi"/>
          <w:sz w:val="22"/>
          <w:lang w:val="fr-FR"/>
        </w:rPr>
        <w:t>Changement significatif de la situation financière ou commerciale</w:t>
      </w:r>
      <w:bookmarkEnd w:id="1474"/>
      <w:bookmarkEnd w:id="1480"/>
      <w:bookmarkEnd w:id="1481"/>
      <w:bookmarkEnd w:id="1482"/>
      <w:bookmarkEnd w:id="1483"/>
    </w:p>
    <w:p w:rsidR="00123919" w:rsidRDefault="00123919" w:rsidP="001D15EF">
      <w:pPr>
        <w:pStyle w:val="ListContinue"/>
        <w:ind w:left="0"/>
        <w:rPr>
          <w:rFonts w:asciiTheme="minorHAnsi" w:hAnsiTheme="minorHAnsi" w:cstheme="minorHAnsi"/>
          <w:lang w:val="fr-FR"/>
        </w:rPr>
      </w:pPr>
      <w:r w:rsidRPr="00C73365">
        <w:rPr>
          <w:rFonts w:asciiTheme="minorHAnsi" w:hAnsiTheme="minorHAnsi" w:cstheme="minorHAnsi"/>
          <w:lang w:val="fr-FR"/>
        </w:rPr>
        <w:t>Il n’y a pas eu d’événement susceptible d’impacter la situation financière ou commerciale depuis la clôture des comptes jusqu’à la date du présent document.</w:t>
      </w:r>
    </w:p>
    <w:p w:rsidR="001479F8" w:rsidRPr="00C73365" w:rsidRDefault="001479F8" w:rsidP="004572A0">
      <w:pPr>
        <w:pStyle w:val="ListContinue"/>
        <w:rPr>
          <w:rFonts w:asciiTheme="minorHAnsi" w:hAnsiTheme="minorHAnsi" w:cstheme="minorHAnsi"/>
          <w:lang w:val="fr-FR"/>
        </w:rPr>
      </w:pPr>
    </w:p>
    <w:p w:rsidR="00123919" w:rsidRPr="001D15EF" w:rsidRDefault="00123919" w:rsidP="008D252A">
      <w:pPr>
        <w:pStyle w:val="ConmainL2"/>
        <w:numPr>
          <w:ilvl w:val="1"/>
          <w:numId w:val="9"/>
        </w:numPr>
        <w:rPr>
          <w:rFonts w:asciiTheme="minorHAnsi" w:hAnsiTheme="minorHAnsi" w:cstheme="minorHAnsi"/>
          <w:sz w:val="22"/>
          <w:lang w:val="fr-FR"/>
        </w:rPr>
      </w:pPr>
      <w:bookmarkStart w:id="1484" w:name="_Toc475457074"/>
      <w:bookmarkStart w:id="1485" w:name="_Toc512863972"/>
      <w:r w:rsidRPr="001D15EF">
        <w:rPr>
          <w:rFonts w:asciiTheme="minorHAnsi" w:hAnsiTheme="minorHAnsi" w:cstheme="minorHAnsi"/>
          <w:sz w:val="22"/>
          <w:lang w:val="fr-FR"/>
        </w:rPr>
        <w:t>Ev</w:t>
      </w:r>
      <w:r w:rsidR="001D15EF">
        <w:rPr>
          <w:rFonts w:asciiTheme="minorHAnsi" w:hAnsiTheme="minorHAnsi" w:cstheme="minorHAnsi"/>
          <w:sz w:val="22"/>
          <w:lang w:val="fr-FR"/>
        </w:rPr>
        <w:t>é</w:t>
      </w:r>
      <w:r w:rsidRPr="001D15EF">
        <w:rPr>
          <w:rFonts w:asciiTheme="minorHAnsi" w:hAnsiTheme="minorHAnsi" w:cstheme="minorHAnsi"/>
          <w:sz w:val="22"/>
          <w:lang w:val="fr-FR"/>
        </w:rPr>
        <w:t>nements postérieurs à la clôture</w:t>
      </w:r>
      <w:bookmarkEnd w:id="1484"/>
      <w:bookmarkEnd w:id="1485"/>
    </w:p>
    <w:p w:rsidR="001D15EF" w:rsidRPr="001D15EF" w:rsidRDefault="001D15EF" w:rsidP="001D15EF">
      <w:pPr>
        <w:rPr>
          <w:lang w:val="fr-FR"/>
        </w:rPr>
      </w:pPr>
      <w:r w:rsidRPr="001D15EF">
        <w:rPr>
          <w:lang w:val="fr-FR"/>
        </w:rPr>
        <w:t>Néant</w:t>
      </w:r>
      <w:r w:rsidR="00EC7E72">
        <w:rPr>
          <w:lang w:val="fr-FR"/>
        </w:rPr>
        <w:t>.</w:t>
      </w:r>
    </w:p>
    <w:p w:rsidR="00B740A8" w:rsidRPr="00C73365" w:rsidRDefault="00B740A8" w:rsidP="00B740A8">
      <w:pPr>
        <w:pStyle w:val="ConmainL1"/>
        <w:numPr>
          <w:ilvl w:val="0"/>
          <w:numId w:val="9"/>
        </w:numPr>
        <w:rPr>
          <w:rFonts w:asciiTheme="minorHAnsi" w:hAnsiTheme="minorHAnsi" w:cstheme="minorHAnsi"/>
          <w:sz w:val="22"/>
          <w:lang w:val="fr-FR"/>
        </w:rPr>
      </w:pPr>
      <w:bookmarkStart w:id="1486" w:name="_Toc401594143"/>
      <w:bookmarkStart w:id="1487" w:name="_Toc462673303"/>
      <w:bookmarkStart w:id="1488" w:name="_Toc467835652"/>
      <w:bookmarkStart w:id="1489" w:name="_Toc482695328"/>
      <w:bookmarkStart w:id="1490" w:name="_Toc512863973"/>
      <w:r w:rsidRPr="00C73365">
        <w:rPr>
          <w:rFonts w:asciiTheme="minorHAnsi" w:hAnsiTheme="minorHAnsi" w:cstheme="minorHAnsi"/>
          <w:sz w:val="22"/>
          <w:lang w:val="fr-FR"/>
        </w:rPr>
        <w:lastRenderedPageBreak/>
        <w:t>INFORMATIONS COMPLEMENTAIRES</w:t>
      </w:r>
      <w:bookmarkEnd w:id="1486"/>
      <w:bookmarkEnd w:id="1487"/>
      <w:bookmarkEnd w:id="1488"/>
      <w:bookmarkEnd w:id="1489"/>
      <w:bookmarkEnd w:id="1490"/>
    </w:p>
    <w:p w:rsidR="00B740A8" w:rsidRPr="00C73365" w:rsidRDefault="00B740A8" w:rsidP="001D15EF">
      <w:pPr>
        <w:rPr>
          <w:lang w:val="fr-FR"/>
        </w:rPr>
      </w:pPr>
      <w:r w:rsidRPr="00C73365">
        <w:rPr>
          <w:lang w:val="fr-FR"/>
        </w:rPr>
        <w:t>Le descriptif ci-dessous tient compte des modifications statutaires décidées par l’assemblée générale mixte du 20 février 2015, dont certaines sont sous condition suspensive de la première cotation des actions de la Société sur le marché Euronext Paris.</w:t>
      </w:r>
    </w:p>
    <w:p w:rsidR="00B740A8" w:rsidRPr="00C73365" w:rsidRDefault="00B740A8" w:rsidP="00434C49">
      <w:pPr>
        <w:pStyle w:val="ConmainL2"/>
        <w:numPr>
          <w:ilvl w:val="1"/>
          <w:numId w:val="102"/>
        </w:numPr>
        <w:rPr>
          <w:rFonts w:asciiTheme="minorHAnsi" w:hAnsiTheme="minorHAnsi" w:cstheme="minorHAnsi"/>
          <w:sz w:val="22"/>
          <w:lang w:val="fr-FR"/>
        </w:rPr>
      </w:pPr>
      <w:bookmarkStart w:id="1491" w:name="_Toc401594144"/>
      <w:bookmarkStart w:id="1492" w:name="_Toc462673304"/>
      <w:bookmarkStart w:id="1493" w:name="_Toc467835653"/>
      <w:bookmarkStart w:id="1494" w:name="_Toc482695329"/>
      <w:bookmarkStart w:id="1495" w:name="_Toc512863974"/>
      <w:r w:rsidRPr="00C73365">
        <w:rPr>
          <w:rFonts w:asciiTheme="minorHAnsi" w:hAnsiTheme="minorHAnsi" w:cstheme="minorHAnsi"/>
          <w:sz w:val="22"/>
          <w:lang w:val="fr-FR"/>
        </w:rPr>
        <w:t>Capital social</w:t>
      </w:r>
      <w:bookmarkEnd w:id="1491"/>
      <w:bookmarkEnd w:id="1492"/>
      <w:bookmarkEnd w:id="1493"/>
      <w:bookmarkEnd w:id="1494"/>
      <w:bookmarkEnd w:id="1495"/>
      <w:r w:rsidRPr="00C73365">
        <w:rPr>
          <w:rFonts w:asciiTheme="minorHAnsi" w:hAnsiTheme="minorHAnsi" w:cstheme="minorHAnsi"/>
          <w:sz w:val="22"/>
          <w:lang w:val="fr-FR"/>
        </w:rPr>
        <w:t xml:space="preserve"> </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bookmarkStart w:id="1496" w:name="_Toc290245453"/>
      <w:bookmarkStart w:id="1497" w:name="_Toc290293376"/>
      <w:bookmarkStart w:id="1498" w:name="_Toc290295010"/>
      <w:bookmarkStart w:id="1499" w:name="_Toc291712778"/>
      <w:bookmarkStart w:id="1500" w:name="_Toc292267616"/>
      <w:bookmarkStart w:id="1501" w:name="_Toc292876536"/>
      <w:bookmarkStart w:id="1502" w:name="_Toc293328372"/>
      <w:bookmarkStart w:id="1503" w:name="_Toc299090768"/>
      <w:bookmarkStart w:id="1504" w:name="_Toc299093067"/>
      <w:bookmarkStart w:id="1505" w:name="_Toc299094552"/>
      <w:r w:rsidRPr="00C73365">
        <w:rPr>
          <w:rFonts w:asciiTheme="minorHAnsi" w:hAnsiTheme="minorHAnsi" w:cstheme="minorHAnsi"/>
          <w:b/>
          <w:color w:val="7030A0"/>
          <w:lang w:val="fr-FR"/>
        </w:rPr>
        <w:t>Montant du capital social</w:t>
      </w:r>
      <w:bookmarkEnd w:id="1496"/>
      <w:bookmarkEnd w:id="1497"/>
      <w:bookmarkEnd w:id="1498"/>
      <w:bookmarkEnd w:id="1499"/>
      <w:bookmarkEnd w:id="1500"/>
      <w:bookmarkEnd w:id="1501"/>
      <w:bookmarkEnd w:id="1502"/>
      <w:bookmarkEnd w:id="1503"/>
      <w:bookmarkEnd w:id="1504"/>
      <w:bookmarkEnd w:id="1505"/>
    </w:p>
    <w:p w:rsidR="00B740A8" w:rsidRPr="00C73365" w:rsidRDefault="00B740A8" w:rsidP="001D15EF">
      <w:pPr>
        <w:rPr>
          <w:lang w:val="fr-FR"/>
        </w:rPr>
      </w:pPr>
      <w:bookmarkStart w:id="1506" w:name="_Toc290245454"/>
      <w:bookmarkStart w:id="1507" w:name="_Toc290293377"/>
      <w:bookmarkStart w:id="1508" w:name="_Toc290295011"/>
      <w:bookmarkStart w:id="1509" w:name="_Toc291712779"/>
      <w:bookmarkStart w:id="1510" w:name="_Toc292267617"/>
      <w:bookmarkStart w:id="1511" w:name="_Toc292876537"/>
      <w:bookmarkStart w:id="1512" w:name="_Toc293328373"/>
      <w:bookmarkStart w:id="1513" w:name="_Toc299090769"/>
      <w:bookmarkStart w:id="1514" w:name="_Toc299093068"/>
      <w:bookmarkStart w:id="1515" w:name="_Toc299094553"/>
      <w:r w:rsidRPr="00C73365">
        <w:rPr>
          <w:lang w:val="fr-FR"/>
        </w:rPr>
        <w:t>Au 31 mars 2018, le capital social s’élève à quatre-vingt-dix-neuf mille quatre cent quarante-deux et trente et un cents (99.442,31 €).</w:t>
      </w:r>
    </w:p>
    <w:p w:rsidR="00B740A8" w:rsidRPr="00C73365" w:rsidRDefault="00B740A8" w:rsidP="001D15EF">
      <w:pPr>
        <w:rPr>
          <w:lang w:val="fr-FR"/>
        </w:rPr>
      </w:pPr>
      <w:r w:rsidRPr="00C73365">
        <w:rPr>
          <w:lang w:val="fr-FR"/>
        </w:rPr>
        <w:t>Il est divisé en neuf millions neuf cent quarante-quatre mille deux cent trente et un (9.944.231) actions de un (1) centime d’euro (0,01 €) de valeur nominale chacune, entièrement libérées, toute de même catégorie.</w:t>
      </w:r>
    </w:p>
    <w:p w:rsidR="00B740A8" w:rsidRPr="00C73365" w:rsidRDefault="00B740A8" w:rsidP="00434C49">
      <w:pPr>
        <w:pStyle w:val="ConmainL3"/>
        <w:numPr>
          <w:ilvl w:val="2"/>
          <w:numId w:val="102"/>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Titres non représentatifs du capital</w:t>
      </w:r>
      <w:bookmarkEnd w:id="1506"/>
      <w:bookmarkEnd w:id="1507"/>
      <w:bookmarkEnd w:id="1508"/>
      <w:bookmarkEnd w:id="1509"/>
      <w:bookmarkEnd w:id="1510"/>
      <w:bookmarkEnd w:id="1511"/>
      <w:bookmarkEnd w:id="1512"/>
      <w:bookmarkEnd w:id="1513"/>
      <w:bookmarkEnd w:id="1514"/>
      <w:bookmarkEnd w:id="1515"/>
    </w:p>
    <w:p w:rsidR="00B740A8" w:rsidRPr="00C73365" w:rsidRDefault="00B740A8" w:rsidP="00B740A8">
      <w:pPr>
        <w:pStyle w:val="NormalWeb"/>
        <w:spacing w:before="0" w:beforeAutospacing="0" w:after="0" w:afterAutospacing="0"/>
        <w:rPr>
          <w:rFonts w:asciiTheme="minorHAnsi" w:hAnsiTheme="minorHAnsi" w:cstheme="minorHAnsi"/>
          <w:lang w:val="fr-FR"/>
        </w:rPr>
      </w:pPr>
    </w:p>
    <w:p w:rsidR="00B740A8" w:rsidRPr="00C73365" w:rsidRDefault="00B740A8" w:rsidP="001D15EF">
      <w:pPr>
        <w:rPr>
          <w:lang w:val="fr-FR"/>
        </w:rPr>
      </w:pPr>
      <w:r w:rsidRPr="00C73365">
        <w:rPr>
          <w:lang w:val="fr-FR"/>
        </w:rPr>
        <w:t>A la date d’enregistrement du présent document de référence, il n’existe pas de titres non représentatifs du capital.</w:t>
      </w:r>
    </w:p>
    <w:p w:rsidR="00B740A8" w:rsidRPr="00C73365" w:rsidRDefault="00B740A8" w:rsidP="00434C49">
      <w:pPr>
        <w:pStyle w:val="ConmainL3"/>
        <w:keepLines/>
        <w:numPr>
          <w:ilvl w:val="2"/>
          <w:numId w:val="102"/>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Etat des nantissements, garanties et sûretés pesant sur les actions de la Société</w:t>
      </w:r>
    </w:p>
    <w:p w:rsidR="00B740A8" w:rsidRPr="00C73365" w:rsidRDefault="00B740A8" w:rsidP="00B740A8">
      <w:pPr>
        <w:keepNext/>
        <w:keepLines/>
        <w:rPr>
          <w:rFonts w:asciiTheme="minorHAnsi" w:hAnsiTheme="minorHAnsi" w:cstheme="minorHAnsi"/>
          <w:szCs w:val="22"/>
          <w:lang w:val="fr-FR"/>
        </w:rPr>
      </w:pPr>
    </w:p>
    <w:p w:rsidR="00B740A8" w:rsidRPr="00C73365" w:rsidRDefault="00B740A8" w:rsidP="001D15EF">
      <w:pPr>
        <w:rPr>
          <w:lang w:val="fr-FR"/>
        </w:rPr>
      </w:pPr>
      <w:r w:rsidRPr="00C73365">
        <w:rPr>
          <w:lang w:val="fr-FR"/>
        </w:rPr>
        <w:t>A la date d’enregistrement du présent document de référence, la Société n’a consenti aucun nantissement, ni aucune autre garantie ou sûreté quelle qu’elle soit, sur les titres composant son capital social ou sur ses actifs sociaux.</w:t>
      </w:r>
    </w:p>
    <w:p w:rsidR="00B740A8" w:rsidRPr="00C73365" w:rsidRDefault="00B740A8" w:rsidP="00434C49">
      <w:pPr>
        <w:pStyle w:val="ConmainL3"/>
        <w:numPr>
          <w:ilvl w:val="2"/>
          <w:numId w:val="102"/>
        </w:numPr>
        <w:spacing w:after="0"/>
        <w:ind w:left="1440"/>
        <w:rPr>
          <w:rFonts w:asciiTheme="minorHAnsi" w:hAnsiTheme="minorHAnsi" w:cstheme="minorHAnsi"/>
          <w:b/>
          <w:color w:val="7030A0"/>
          <w:lang w:val="fr-FR"/>
        </w:rPr>
      </w:pPr>
      <w:bookmarkStart w:id="1516" w:name="_Toc290245455"/>
      <w:bookmarkStart w:id="1517" w:name="_Toc290293378"/>
      <w:bookmarkStart w:id="1518" w:name="_Toc290295012"/>
      <w:bookmarkStart w:id="1519" w:name="_Toc291712780"/>
      <w:bookmarkStart w:id="1520" w:name="_Toc292267618"/>
      <w:bookmarkStart w:id="1521" w:name="_Toc292876538"/>
      <w:bookmarkStart w:id="1522" w:name="_Toc293328374"/>
      <w:bookmarkStart w:id="1523" w:name="_Toc299090770"/>
      <w:bookmarkStart w:id="1524" w:name="_Toc299093069"/>
      <w:bookmarkStart w:id="1525" w:name="_Toc299094554"/>
      <w:r w:rsidRPr="00C73365">
        <w:rPr>
          <w:rFonts w:asciiTheme="minorHAnsi" w:hAnsiTheme="minorHAnsi" w:cstheme="minorHAnsi"/>
          <w:b/>
          <w:color w:val="7030A0"/>
          <w:lang w:val="fr-FR"/>
        </w:rPr>
        <w:t>Acquisition par la Société de ses propres actions</w:t>
      </w:r>
      <w:bookmarkEnd w:id="1516"/>
      <w:bookmarkEnd w:id="1517"/>
      <w:bookmarkEnd w:id="1518"/>
      <w:bookmarkEnd w:id="1519"/>
      <w:bookmarkEnd w:id="1520"/>
      <w:bookmarkEnd w:id="1521"/>
      <w:bookmarkEnd w:id="1522"/>
      <w:bookmarkEnd w:id="1523"/>
      <w:bookmarkEnd w:id="1524"/>
      <w:bookmarkEnd w:id="1525"/>
    </w:p>
    <w:p w:rsidR="00B740A8" w:rsidRPr="00C73365" w:rsidRDefault="00B740A8" w:rsidP="001D15EF">
      <w:pPr>
        <w:rPr>
          <w:lang w:val="fr-FR"/>
        </w:rPr>
      </w:pPr>
      <w:bookmarkStart w:id="1526" w:name="_Toc290245456"/>
      <w:bookmarkStart w:id="1527" w:name="_Toc290293379"/>
      <w:bookmarkStart w:id="1528" w:name="_Toc290295013"/>
      <w:bookmarkStart w:id="1529" w:name="_Toc291712781"/>
      <w:bookmarkStart w:id="1530" w:name="_Toc292267619"/>
      <w:bookmarkStart w:id="1531" w:name="_Toc292876539"/>
      <w:bookmarkStart w:id="1532" w:name="_Toc293328375"/>
      <w:bookmarkStart w:id="1533" w:name="_Toc299090771"/>
      <w:bookmarkStart w:id="1534" w:name="_Toc299093070"/>
      <w:bookmarkStart w:id="1535" w:name="_Toc299094555"/>
    </w:p>
    <w:p w:rsidR="00B740A8" w:rsidRPr="00C73365" w:rsidRDefault="00B740A8" w:rsidP="001D15EF">
      <w:pPr>
        <w:rPr>
          <w:color w:val="000000"/>
          <w:lang w:val="fr-FR"/>
        </w:rPr>
      </w:pPr>
      <w:r w:rsidRPr="00C73365">
        <w:rPr>
          <w:lang w:val="fr-FR"/>
        </w:rPr>
        <w:t xml:space="preserve">Au 31 décembre 2017, la Société détenait 34.050 de ses propres actions, soit 0,34% du capital social, acquises pour un prix de revient unitaire compris entre 9,33 et 3,91 euros </w:t>
      </w:r>
      <w:r w:rsidRPr="00C73365">
        <w:rPr>
          <w:color w:val="000000"/>
          <w:lang w:val="fr-FR"/>
        </w:rPr>
        <w:t>entre le 26 juin 2015 et le 31 décembre 2016</w:t>
      </w:r>
      <w:r w:rsidRPr="00C73365">
        <w:rPr>
          <w:lang w:val="fr-FR"/>
        </w:rPr>
        <w:t xml:space="preserve"> dans le cadre d’un contrat de liquidité avec Tradition Securities and Futures</w:t>
      </w:r>
      <w:r w:rsidRPr="00C73365">
        <w:rPr>
          <w:lang w:val="fr-FR" w:eastAsia="fr-FR"/>
        </w:rPr>
        <w:t xml:space="preserve"> </w:t>
      </w:r>
      <w:r w:rsidRPr="00C73365">
        <w:rPr>
          <w:lang w:val="fr-FR"/>
        </w:rPr>
        <w:t>conforme à la Charte de déontologie modifiée par l’Association des Marchés financiers le 8 mars 2011 et à la décision de l’Association des Marchés financiers du 21 mars 2011 relative aux contrats de liquidité.</w:t>
      </w:r>
      <w:r w:rsidRPr="00C73365">
        <w:rPr>
          <w:color w:val="000000"/>
          <w:lang w:val="fr-FR"/>
        </w:rPr>
        <w:t xml:space="preserve"> </w:t>
      </w:r>
    </w:p>
    <w:p w:rsidR="00B740A8" w:rsidRPr="00C73365" w:rsidRDefault="00B740A8" w:rsidP="001D15EF">
      <w:pPr>
        <w:rPr>
          <w:lang w:val="fr-FR"/>
        </w:rPr>
      </w:pPr>
      <w:r w:rsidRPr="00C73365">
        <w:rPr>
          <w:szCs w:val="22"/>
          <w:lang w:val="fr-FR"/>
        </w:rPr>
        <w:t>L’assemblée générale</w:t>
      </w:r>
      <w:r w:rsidRPr="00C73365">
        <w:rPr>
          <w:lang w:val="fr-FR"/>
        </w:rPr>
        <w:t xml:space="preserve"> mixte de la Société réunie le </w:t>
      </w:r>
      <w:r w:rsidRPr="00C73365">
        <w:rPr>
          <w:szCs w:val="22"/>
          <w:lang w:val="fr-FR"/>
        </w:rPr>
        <w:t>23 juin 2017</w:t>
      </w:r>
      <w:r w:rsidRPr="00C73365">
        <w:rPr>
          <w:lang w:val="fr-FR"/>
        </w:rPr>
        <w:t xml:space="preserve"> a consenti une nouvelle délégation au conseil d’administration, pour une durée de 18 mois à compter de </w:t>
      </w:r>
      <w:r w:rsidRPr="00C73365">
        <w:rPr>
          <w:szCs w:val="22"/>
          <w:lang w:val="fr-FR"/>
        </w:rPr>
        <w:t>l’assemblée</w:t>
      </w:r>
      <w:r w:rsidRPr="00C73365">
        <w:rPr>
          <w:lang w:val="fr-FR"/>
        </w:rPr>
        <w:t xml:space="preserve"> à l’effet de mettre en œuvre un programme de rachat des actions de la Société dans le cadre des dispositions de l’article L. 225-209 du Code de commerce et conformément au Règlement Général de l’Autorité des marchés financiers (AMF) dans les conditions décrites ci-dessous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b/>
          <w:lang w:val="fr-FR"/>
        </w:rPr>
        <w:t>Nombre maximum d’actions pouvant être achetées</w:t>
      </w:r>
      <w:r w:rsidRPr="00C73365">
        <w:rPr>
          <w:rFonts w:asciiTheme="minorHAnsi" w:hAnsiTheme="minorHAnsi" w:cstheme="minorHAnsi"/>
          <w:lang w:val="fr-FR"/>
        </w:rPr>
        <w:t> : 10% du capital social à la date du rachat des actions. Lorsque les actions sont acquises dans le but de favoriser l’animation et la liquidité des titres, le nombre d’actions pris en compte pour le calcul de la limite de 10 % prévue ci-dessus correspond au nombre d’actions achetées, déduction faite du nombre d’actions revendues pendant la durée de l’autorisation.</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Objectifs des rachats d’actions :</w:t>
      </w:r>
    </w:p>
    <w:p w:rsidR="00B740A8" w:rsidRPr="00C73365" w:rsidRDefault="00B740A8" w:rsidP="00B740A8">
      <w:pPr>
        <w:pStyle w:val="ListParagraph"/>
        <w:numPr>
          <w:ilvl w:val="0"/>
          <w:numId w:val="51"/>
        </w:numPr>
        <w:spacing w:after="0"/>
        <w:rPr>
          <w:rFonts w:asciiTheme="minorHAnsi" w:hAnsiTheme="minorHAnsi" w:cstheme="minorHAnsi"/>
          <w:szCs w:val="20"/>
          <w:lang w:val="fr-FR"/>
        </w:rPr>
      </w:pPr>
      <w:r w:rsidRPr="00C73365">
        <w:rPr>
          <w:rFonts w:asciiTheme="minorHAnsi" w:hAnsiTheme="minorHAnsi" w:cstheme="minorHAnsi"/>
          <w:szCs w:val="20"/>
          <w:lang w:val="fr-FR"/>
        </w:rPr>
        <w:t>favoriser l’animation et la liquidité des titres de la Société dans le cadre d’un contrat de liquidité à conclure avec un prestataire de services d’investissement indépendant, conforme à la charte de déontologie reconnue par l’AMF ;</w:t>
      </w:r>
    </w:p>
    <w:p w:rsidR="00B740A8" w:rsidRPr="00C73365" w:rsidRDefault="00B740A8" w:rsidP="00B740A8">
      <w:pPr>
        <w:pStyle w:val="ListParagraph"/>
        <w:numPr>
          <w:ilvl w:val="0"/>
          <w:numId w:val="51"/>
        </w:numPr>
        <w:spacing w:after="0"/>
        <w:rPr>
          <w:rFonts w:asciiTheme="minorHAnsi" w:hAnsiTheme="minorHAnsi" w:cstheme="minorHAnsi"/>
          <w:szCs w:val="20"/>
          <w:lang w:val="fr-FR"/>
        </w:rPr>
      </w:pPr>
      <w:r w:rsidRPr="00C73365">
        <w:rPr>
          <w:rFonts w:asciiTheme="minorHAnsi" w:hAnsiTheme="minorHAnsi" w:cstheme="minorHAnsi"/>
          <w:szCs w:val="20"/>
          <w:lang w:val="fr-FR"/>
        </w:rPr>
        <w:t>permettre d’honorer des obligations liées à des programmes d’options sur actions, d’attribution d’actions gratuites, d’épargne salariale ou autres allocations d’actions aux salariés de la Société ou d’une entreprise associée ;</w:t>
      </w:r>
    </w:p>
    <w:p w:rsidR="00B740A8" w:rsidRPr="00C73365" w:rsidRDefault="00B740A8" w:rsidP="00434C49">
      <w:pPr>
        <w:pStyle w:val="ListParagraph"/>
        <w:numPr>
          <w:ilvl w:val="0"/>
          <w:numId w:val="52"/>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 xml:space="preserve">remettre des actions à l’occasion de l’exercice de droits attachés à des valeurs mobilières donnant accès au capital ;  </w:t>
      </w:r>
    </w:p>
    <w:p w:rsidR="00B740A8" w:rsidRPr="00C73365" w:rsidRDefault="00B740A8" w:rsidP="00434C49">
      <w:pPr>
        <w:pStyle w:val="ListParagraph"/>
        <w:numPr>
          <w:ilvl w:val="0"/>
          <w:numId w:val="52"/>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acheter des actions pour conservation et remise ultérieure à l’échange ou en paiement dans le cadre d’opérations éventuelles de croissance externe ; ou</w:t>
      </w:r>
    </w:p>
    <w:p w:rsidR="00B740A8" w:rsidRPr="00C73365" w:rsidRDefault="00B740A8" w:rsidP="00434C49">
      <w:pPr>
        <w:pStyle w:val="ListParagraph"/>
        <w:numPr>
          <w:ilvl w:val="0"/>
          <w:numId w:val="52"/>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annuler tout ou partie des titres ainsi rachetés ; ou</w:t>
      </w:r>
    </w:p>
    <w:p w:rsidR="00B740A8" w:rsidRPr="00C73365" w:rsidRDefault="00B740A8" w:rsidP="00434C49">
      <w:pPr>
        <w:pStyle w:val="ListParagraph"/>
        <w:numPr>
          <w:ilvl w:val="0"/>
          <w:numId w:val="52"/>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 xml:space="preserve">plus, généralement, opérer dans tout but qui viendrait à être autorisé par la loi ou toute pratique de marché qui viendrait à être admise par les autorités de marché, étant précisé que, dans une telle hypothèse, la Société informerait ses actionnaires par voie de communiqué.  </w:t>
      </w:r>
    </w:p>
    <w:p w:rsidR="00B740A8" w:rsidRPr="00C73365" w:rsidRDefault="00B740A8" w:rsidP="00B740A8">
      <w:pPr>
        <w:autoSpaceDE w:val="0"/>
        <w:autoSpaceDN w:val="0"/>
        <w:adjustRightInd w:val="0"/>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b/>
          <w:lang w:val="fr-FR"/>
        </w:rPr>
        <w:t>Prix d’achat maximum </w:t>
      </w:r>
      <w:r w:rsidRPr="00C73365">
        <w:rPr>
          <w:rFonts w:asciiTheme="minorHAnsi" w:hAnsiTheme="minorHAnsi" w:cstheme="minorHAnsi"/>
          <w:lang w:val="fr-FR"/>
        </w:rPr>
        <w:t>:</w:t>
      </w:r>
      <w:r w:rsidRPr="00C73365">
        <w:rPr>
          <w:rFonts w:asciiTheme="minorHAnsi" w:hAnsiTheme="minorHAnsi" w:cstheme="minorHAnsi"/>
          <w:b/>
          <w:lang w:val="fr-FR"/>
        </w:rPr>
        <w:t xml:space="preserve"> </w:t>
      </w:r>
      <w:r w:rsidRPr="00C73365">
        <w:rPr>
          <w:rFonts w:asciiTheme="minorHAnsi" w:hAnsiTheme="minorHAnsi" w:cstheme="minorHAnsi"/>
          <w:szCs w:val="22"/>
          <w:lang w:val="fr-FR"/>
        </w:rPr>
        <w:t>42 euros</w:t>
      </w:r>
      <w:r w:rsidRPr="00C73365">
        <w:rPr>
          <w:rFonts w:asciiTheme="minorHAnsi" w:hAnsiTheme="minorHAnsi" w:cstheme="minorHAnsi"/>
          <w:lang w:val="fr-FR"/>
        </w:rPr>
        <w:t xml:space="preserve"> par action hors frais et commissions et ajustements éventuels afin de tenir compte d’opérations sur le capital.</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Il est précisé que le nombre d’actions acquises par la Société en vue de leur conservation et de leur remise ultérieure en paiement ou en échange dans le cadre d’une opération de fusion, de scission ou d’apport ne peut excéder </w:t>
      </w:r>
      <w:r w:rsidRPr="00C73365">
        <w:rPr>
          <w:rFonts w:asciiTheme="minorHAnsi" w:hAnsiTheme="minorHAnsi" w:cstheme="minorHAnsi"/>
          <w:szCs w:val="22"/>
          <w:lang w:val="fr-FR"/>
        </w:rPr>
        <w:t>5</w:t>
      </w:r>
      <w:r w:rsidRPr="00C73365">
        <w:rPr>
          <w:rFonts w:asciiTheme="minorHAnsi" w:hAnsiTheme="minorHAnsi" w:cstheme="minorHAnsi"/>
          <w:lang w:val="fr-FR"/>
        </w:rPr>
        <w:t>% de son capital.</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Montant maximum des fonds pouvant être consacrés au rachat d’actions : </w:t>
      </w:r>
      <w:r w:rsidRPr="00C73365">
        <w:rPr>
          <w:rFonts w:asciiTheme="minorHAnsi" w:hAnsiTheme="minorHAnsi" w:cstheme="minorHAnsi"/>
          <w:szCs w:val="22"/>
          <w:lang w:val="fr-FR"/>
        </w:rPr>
        <w:t>5.000.000</w:t>
      </w:r>
      <w:r w:rsidRPr="00C73365">
        <w:rPr>
          <w:rFonts w:asciiTheme="minorHAnsi" w:hAnsiTheme="minorHAnsi" w:cstheme="minorHAnsi"/>
          <w:lang w:val="fr-FR"/>
        </w:rPr>
        <w:t xml:space="preserve"> euros</w:t>
      </w:r>
    </w:p>
    <w:p w:rsidR="00B740A8" w:rsidRPr="00C73365" w:rsidRDefault="00B740A8" w:rsidP="00B740A8">
      <w:pPr>
        <w:pStyle w:val="NormalWeb"/>
        <w:widowControl w:val="0"/>
        <w:spacing w:after="0" w:afterAutospacing="0"/>
        <w:rPr>
          <w:rFonts w:asciiTheme="minorHAnsi" w:hAnsiTheme="minorHAnsi" w:cstheme="minorHAnsi"/>
          <w:lang w:val="fr-FR"/>
        </w:rPr>
      </w:pPr>
      <w:r w:rsidRPr="00C73365">
        <w:rPr>
          <w:rFonts w:asciiTheme="minorHAnsi" w:hAnsiTheme="minorHAnsi" w:cstheme="minorHAnsi"/>
          <w:lang w:val="fr-FR"/>
        </w:rPr>
        <w:t>Les actions ainsi rachetées pourront être annulées.</w:t>
      </w:r>
    </w:p>
    <w:p w:rsidR="00B740A8" w:rsidRPr="00C73365" w:rsidRDefault="00B740A8" w:rsidP="00B740A8">
      <w:pPr>
        <w:pStyle w:val="NormalWeb"/>
        <w:widowControl w:val="0"/>
        <w:rPr>
          <w:rFonts w:asciiTheme="minorHAnsi" w:hAnsiTheme="minorHAnsi" w:cstheme="minorHAnsi"/>
          <w:lang w:val="fr-FR"/>
        </w:rPr>
      </w:pPr>
      <w:r w:rsidRPr="00C73365">
        <w:rPr>
          <w:rFonts w:asciiTheme="minorHAnsi" w:hAnsiTheme="minorHAnsi" w:cstheme="minorHAnsi"/>
          <w:lang w:val="fr-FR"/>
        </w:rPr>
        <w:t xml:space="preserve">Il est rappelé que la Société est tenue aux obligations de communication suivantes en matière de rachat d’actions : </w:t>
      </w:r>
    </w:p>
    <w:p w:rsidR="00B740A8" w:rsidRPr="00C73365" w:rsidRDefault="00B740A8" w:rsidP="00B740A8">
      <w:pPr>
        <w:pStyle w:val="NormalWeb"/>
        <w:keepNext/>
        <w:keepLines/>
        <w:rPr>
          <w:rFonts w:asciiTheme="minorHAnsi" w:hAnsiTheme="minorHAnsi" w:cstheme="minorHAnsi"/>
          <w:i/>
          <w:lang w:val="fr-FR"/>
        </w:rPr>
      </w:pPr>
      <w:r w:rsidRPr="00C73365">
        <w:rPr>
          <w:rFonts w:asciiTheme="minorHAnsi" w:hAnsiTheme="minorHAnsi" w:cstheme="minorHAnsi"/>
          <w:i/>
          <w:lang w:val="fr-FR"/>
        </w:rPr>
        <w:t xml:space="preserve">Préalablement à la mise en œuvre du programme de rachat : </w:t>
      </w:r>
    </w:p>
    <w:p w:rsidR="00B740A8" w:rsidRPr="001D15EF" w:rsidRDefault="00B740A8" w:rsidP="00434C49">
      <w:pPr>
        <w:pStyle w:val="ListParagraph"/>
        <w:numPr>
          <w:ilvl w:val="0"/>
          <w:numId w:val="107"/>
        </w:numPr>
        <w:rPr>
          <w:lang w:val="fr-FR"/>
        </w:rPr>
      </w:pPr>
      <w:r w:rsidRPr="001D15EF">
        <w:rPr>
          <w:lang w:val="fr-FR"/>
        </w:rPr>
        <w:t xml:space="preserve">Publication d’un descriptif du programme de rachat d’actions (diffusion effective et intégrale par voie électronique par un diffuseur professionnel et mise en ligne sur le site Internet de la Société) sauf lorsque le rapport financier annuel ou le document de référence comprend l’intégralité des informations devant figurer dans le descriptif. </w:t>
      </w:r>
    </w:p>
    <w:p w:rsidR="00B740A8" w:rsidRPr="00C73365" w:rsidRDefault="00B740A8" w:rsidP="00B740A8">
      <w:pPr>
        <w:pStyle w:val="NormalWeb"/>
        <w:widowControl w:val="0"/>
        <w:rPr>
          <w:rFonts w:asciiTheme="minorHAnsi" w:hAnsiTheme="minorHAnsi" w:cstheme="minorHAnsi"/>
          <w:i/>
          <w:lang w:val="fr-FR"/>
        </w:rPr>
      </w:pPr>
      <w:r w:rsidRPr="00C73365">
        <w:rPr>
          <w:rFonts w:asciiTheme="minorHAnsi" w:hAnsiTheme="minorHAnsi" w:cstheme="minorHAnsi"/>
          <w:i/>
          <w:lang w:val="fr-FR"/>
        </w:rPr>
        <w:t>Pendant la réalisation du programme de rachat :</w:t>
      </w:r>
    </w:p>
    <w:p w:rsidR="00B740A8" w:rsidRPr="001D15EF" w:rsidRDefault="00B740A8" w:rsidP="00434C49">
      <w:pPr>
        <w:pStyle w:val="ListParagraph"/>
        <w:numPr>
          <w:ilvl w:val="0"/>
          <w:numId w:val="107"/>
        </w:numPr>
        <w:rPr>
          <w:lang w:val="fr-FR"/>
        </w:rPr>
      </w:pPr>
      <w:r w:rsidRPr="001D15EF">
        <w:rPr>
          <w:lang w:val="fr-FR"/>
        </w:rPr>
        <w:t>Publication des transactions à J+7 par mise en ligne sur le site Internet de la Société (hors transactions réalisées dans le cadre d’un contrat de liquidité) ; et</w:t>
      </w:r>
    </w:p>
    <w:p w:rsidR="00B740A8" w:rsidRPr="001D15EF" w:rsidRDefault="00B740A8" w:rsidP="00434C49">
      <w:pPr>
        <w:pStyle w:val="ListParagraph"/>
        <w:numPr>
          <w:ilvl w:val="0"/>
          <w:numId w:val="107"/>
        </w:numPr>
        <w:rPr>
          <w:lang w:val="fr-FR"/>
        </w:rPr>
      </w:pPr>
      <w:r w:rsidRPr="001D15EF">
        <w:rPr>
          <w:lang w:val="fr-FR"/>
        </w:rPr>
        <w:t>Déclarations mensuelles de la Société à l’AMF.</w:t>
      </w:r>
    </w:p>
    <w:p w:rsidR="00B740A8" w:rsidRPr="00C73365" w:rsidRDefault="00B740A8" w:rsidP="00B740A8">
      <w:pPr>
        <w:pStyle w:val="NormalWeb"/>
        <w:widowControl w:val="0"/>
        <w:rPr>
          <w:rFonts w:asciiTheme="minorHAnsi" w:hAnsiTheme="minorHAnsi" w:cstheme="minorHAnsi"/>
          <w:i/>
          <w:lang w:val="fr-FR"/>
        </w:rPr>
      </w:pPr>
      <w:r w:rsidRPr="00C73365">
        <w:rPr>
          <w:rFonts w:asciiTheme="minorHAnsi" w:hAnsiTheme="minorHAnsi" w:cstheme="minorHAnsi"/>
          <w:i/>
          <w:lang w:val="fr-FR"/>
        </w:rPr>
        <w:t>Chaque année :</w:t>
      </w:r>
    </w:p>
    <w:p w:rsidR="00B740A8" w:rsidRPr="001D15EF" w:rsidRDefault="00B740A8" w:rsidP="00434C49">
      <w:pPr>
        <w:pStyle w:val="ListParagraph"/>
        <w:numPr>
          <w:ilvl w:val="0"/>
          <w:numId w:val="108"/>
        </w:numPr>
        <w:rPr>
          <w:szCs w:val="22"/>
          <w:lang w:val="fr-FR"/>
        </w:rPr>
      </w:pPr>
      <w:r w:rsidRPr="001D15EF">
        <w:rPr>
          <w:lang w:val="fr-FR"/>
        </w:rPr>
        <w:t>Présentation du bilan de la mise en œuvre du programme de rachat et de l’utilisation des actions acquises dans le rapport du conseil d’administration à l’assemblée générale</w:t>
      </w:r>
      <w:r w:rsidRPr="001D15EF">
        <w:rPr>
          <w:szCs w:val="22"/>
          <w:lang w:val="fr-FR"/>
        </w:rPr>
        <w:t xml:space="preserve">. </w:t>
      </w:r>
    </w:p>
    <w:p w:rsidR="00B740A8" w:rsidRPr="00C73365" w:rsidRDefault="00B740A8" w:rsidP="00434C49">
      <w:pPr>
        <w:pStyle w:val="ConmainL3"/>
        <w:numPr>
          <w:ilvl w:val="2"/>
          <w:numId w:val="102"/>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Valeurs mobilières convertibles, échangeables ou assorties de bons de souscription</w:t>
      </w:r>
    </w:p>
    <w:p w:rsidR="00B740A8" w:rsidRPr="00C73365" w:rsidRDefault="00B740A8" w:rsidP="00B740A8">
      <w:pPr>
        <w:rPr>
          <w:rFonts w:asciiTheme="minorHAnsi" w:hAnsiTheme="minorHAnsi" w:cstheme="minorHAnsi"/>
          <w:b/>
          <w:color w:val="7030A0"/>
          <w:lang w:val="fr-FR"/>
        </w:rPr>
      </w:pPr>
    </w:p>
    <w:bookmarkEnd w:id="1526"/>
    <w:bookmarkEnd w:id="1527"/>
    <w:bookmarkEnd w:id="1528"/>
    <w:bookmarkEnd w:id="1529"/>
    <w:bookmarkEnd w:id="1530"/>
    <w:bookmarkEnd w:id="1531"/>
    <w:bookmarkEnd w:id="1532"/>
    <w:bookmarkEnd w:id="1533"/>
    <w:bookmarkEnd w:id="1534"/>
    <w:bookmarkEnd w:id="1535"/>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dilution potentielle associée aux instruments financiers (BCE, BSA) émis au profit des actionnaires et/ou salariés, représente </w:t>
      </w:r>
      <w:r w:rsidR="001066DF">
        <w:rPr>
          <w:rFonts w:asciiTheme="minorHAnsi" w:hAnsiTheme="minorHAnsi" w:cstheme="minorHAnsi"/>
          <w:lang w:val="fr-FR"/>
        </w:rPr>
        <w:t xml:space="preserve">au total </w:t>
      </w:r>
      <w:r w:rsidR="004E343B">
        <w:rPr>
          <w:rFonts w:asciiTheme="minorHAnsi" w:hAnsiTheme="minorHAnsi" w:cstheme="minorHAnsi"/>
          <w:lang w:val="fr-FR"/>
        </w:rPr>
        <w:t xml:space="preserve">1.652.698 </w:t>
      </w:r>
      <w:r w:rsidRPr="00C73365">
        <w:rPr>
          <w:rFonts w:asciiTheme="minorHAnsi" w:hAnsiTheme="minorHAnsi" w:cstheme="minorHAnsi"/>
          <w:lang w:val="fr-FR"/>
        </w:rPr>
        <w:t>actions, générant alors une dilution</w:t>
      </w:r>
      <w:r w:rsidR="008710C4">
        <w:rPr>
          <w:rFonts w:asciiTheme="minorHAnsi" w:hAnsiTheme="minorHAnsi" w:cstheme="minorHAnsi"/>
          <w:lang w:val="fr-FR"/>
        </w:rPr>
        <w:t xml:space="preserve"> hypothétique</w:t>
      </w:r>
      <w:r w:rsidRPr="00C73365">
        <w:rPr>
          <w:rFonts w:asciiTheme="minorHAnsi" w:hAnsiTheme="minorHAnsi" w:cstheme="minorHAnsi"/>
          <w:lang w:val="fr-FR"/>
        </w:rPr>
        <w:t xml:space="preserve"> égale à </w:t>
      </w:r>
      <w:r w:rsidR="004E343B">
        <w:rPr>
          <w:rFonts w:asciiTheme="minorHAnsi" w:hAnsiTheme="minorHAnsi" w:cstheme="minorHAnsi"/>
          <w:lang w:val="fr-FR"/>
        </w:rPr>
        <w:t>14,3</w:t>
      </w:r>
      <w:r w:rsidRPr="00C73365">
        <w:rPr>
          <w:rFonts w:asciiTheme="minorHAnsi" w:hAnsiTheme="minorHAnsi" w:cstheme="minorHAnsi"/>
          <w:lang w:val="fr-FR"/>
        </w:rPr>
        <w:t>% sur la base du capital social au 31 mars 2018.</w:t>
      </w:r>
      <w:r w:rsidR="008710C4">
        <w:rPr>
          <w:rFonts w:asciiTheme="minorHAnsi" w:hAnsiTheme="minorHAnsi" w:cstheme="minorHAnsi"/>
          <w:lang w:val="fr-FR"/>
        </w:rPr>
        <w:t xml:space="preserve">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Au 31 mars 2018, la Société a émis les titres donnant accès au capital suivants</w:t>
      </w:r>
      <w:r w:rsidR="004E343B">
        <w:rPr>
          <w:rFonts w:asciiTheme="minorHAnsi" w:hAnsiTheme="minorHAnsi" w:cstheme="minorHAnsi"/>
          <w:lang w:val="fr-FR"/>
        </w:rPr>
        <w:t xml:space="preserve"> </w:t>
      </w:r>
      <w:r w:rsidRPr="00C73365">
        <w:rPr>
          <w:rFonts w:asciiTheme="minorHAnsi" w:hAnsiTheme="minorHAnsi" w:cstheme="minorHAnsi"/>
          <w:lang w:val="fr-FR"/>
        </w:rPr>
        <w:t>:</w:t>
      </w:r>
    </w:p>
    <w:p w:rsidR="00B740A8" w:rsidRPr="00C73365" w:rsidRDefault="00B740A8" w:rsidP="00B740A8">
      <w:pPr>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sectPr w:rsidR="00B740A8" w:rsidRPr="00C73365" w:rsidSect="00D1541A">
          <w:footerReference w:type="default" r:id="rId102"/>
          <w:pgSz w:w="11900" w:h="16840"/>
          <w:pgMar w:top="1134" w:right="1134" w:bottom="1134" w:left="1134" w:header="720" w:footer="720" w:gutter="0"/>
          <w:cols w:space="720" w:equalWidth="0">
            <w:col w:w="9269"/>
          </w:cols>
          <w:noEndnote/>
          <w:docGrid w:linePitch="299"/>
        </w:sectPr>
      </w:pPr>
    </w:p>
    <w:p w:rsidR="00B740A8" w:rsidRPr="00574C55" w:rsidRDefault="00B740A8" w:rsidP="00574C55">
      <w:pPr>
        <w:pStyle w:val="BodyText"/>
        <w:rPr>
          <w:rFonts w:asciiTheme="minorHAnsi" w:hAnsiTheme="minorHAnsi" w:cstheme="minorHAnsi"/>
          <w:b/>
          <w:lang w:val="fr-FR"/>
        </w:rPr>
      </w:pPr>
      <w:bookmarkStart w:id="1536" w:name="_Toc290245460"/>
      <w:bookmarkStart w:id="1537" w:name="_Toc290293383"/>
      <w:bookmarkStart w:id="1538" w:name="_Toc290295017"/>
      <w:bookmarkStart w:id="1539" w:name="_Toc291712785"/>
      <w:bookmarkStart w:id="1540" w:name="_Toc292267623"/>
      <w:bookmarkStart w:id="1541" w:name="_Toc292876543"/>
      <w:bookmarkStart w:id="1542" w:name="_Toc293328379"/>
      <w:bookmarkStart w:id="1543" w:name="_Toc299090772"/>
      <w:bookmarkStart w:id="1544" w:name="_Toc299093071"/>
      <w:bookmarkStart w:id="1545" w:name="_Toc299094556"/>
      <w:bookmarkStart w:id="1546" w:name="_Ref288657163"/>
      <w:r w:rsidRPr="00C73365">
        <w:rPr>
          <w:rFonts w:asciiTheme="minorHAnsi" w:hAnsiTheme="minorHAnsi" w:cstheme="minorHAnsi"/>
          <w:b/>
          <w:lang w:val="fr-FR"/>
        </w:rPr>
        <w:lastRenderedPageBreak/>
        <w:t>Information sur les bons de souscription de part de créa</w:t>
      </w:r>
      <w:r w:rsidR="004834A9">
        <w:rPr>
          <w:rFonts w:asciiTheme="minorHAnsi" w:hAnsiTheme="minorHAnsi" w:cstheme="minorHAnsi"/>
          <w:b/>
          <w:lang w:val="fr-FR"/>
        </w:rPr>
        <w:t>teurs d’entreprise (« </w:t>
      </w:r>
      <w:r w:rsidR="00656913">
        <w:rPr>
          <w:rFonts w:asciiTheme="minorHAnsi" w:hAnsiTheme="minorHAnsi" w:cstheme="minorHAnsi"/>
          <w:b/>
          <w:lang w:val="fr-FR"/>
        </w:rPr>
        <w:t>BCE</w:t>
      </w:r>
      <w:r w:rsidR="004834A9">
        <w:rPr>
          <w:rFonts w:asciiTheme="minorHAnsi" w:hAnsiTheme="minorHAnsi" w:cstheme="minorHAnsi"/>
          <w:b/>
          <w:lang w:val="fr-FR"/>
        </w:rPr>
        <w:t xml:space="preserve"> ») </w:t>
      </w:r>
    </w:p>
    <w:tbl>
      <w:tblPr>
        <w:tblStyle w:val="Grilledutableau3"/>
        <w:tblW w:w="14737" w:type="dxa"/>
        <w:tblBorders>
          <w:top w:val="single" w:sz="4" w:space="0" w:color="7030A0"/>
          <w:left w:val="single" w:sz="4" w:space="0" w:color="7030A0"/>
          <w:bottom w:val="single" w:sz="4" w:space="0" w:color="7030A0"/>
          <w:right w:val="single" w:sz="4" w:space="0" w:color="7030A0"/>
        </w:tblBorders>
        <w:tblLayout w:type="fixed"/>
        <w:tblLook w:val="04A0" w:firstRow="1" w:lastRow="0" w:firstColumn="1" w:lastColumn="0" w:noHBand="0" w:noVBand="1"/>
      </w:tblPr>
      <w:tblGrid>
        <w:gridCol w:w="1129"/>
        <w:gridCol w:w="800"/>
        <w:gridCol w:w="800"/>
        <w:gridCol w:w="801"/>
        <w:gridCol w:w="800"/>
        <w:gridCol w:w="801"/>
        <w:gridCol w:w="800"/>
        <w:gridCol w:w="801"/>
        <w:gridCol w:w="800"/>
        <w:gridCol w:w="801"/>
        <w:gridCol w:w="800"/>
        <w:gridCol w:w="801"/>
        <w:gridCol w:w="800"/>
        <w:gridCol w:w="801"/>
        <w:gridCol w:w="800"/>
        <w:gridCol w:w="801"/>
        <w:gridCol w:w="800"/>
        <w:gridCol w:w="801"/>
      </w:tblGrid>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Catégorie</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w:t>
            </w:r>
            <w:r w:rsidR="00574C55">
              <w:rPr>
                <w:rFonts w:asciiTheme="minorHAnsi" w:hAnsiTheme="minorHAnsi" w:cstheme="minorHAnsi"/>
                <w:b/>
                <w:sz w:val="16"/>
                <w:szCs w:val="16"/>
              </w:rPr>
              <w:t>1</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BCE-2014-2</w:t>
            </w:r>
          </w:p>
        </w:tc>
        <w:tc>
          <w:tcPr>
            <w:tcW w:w="801"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BCE-2014-3</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BCE-2014-4</w:t>
            </w:r>
          </w:p>
        </w:tc>
        <w:tc>
          <w:tcPr>
            <w:tcW w:w="801"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BCE-2014-5</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BCE-2014-6</w:t>
            </w:r>
          </w:p>
        </w:tc>
        <w:tc>
          <w:tcPr>
            <w:tcW w:w="801"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BCE-2014-7</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BCE-2015-9 (G)</w:t>
            </w:r>
          </w:p>
        </w:tc>
        <w:tc>
          <w:tcPr>
            <w:tcW w:w="801"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BCE-2015-9 (S)</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BCE-2015-9 (D)</w:t>
            </w:r>
          </w:p>
        </w:tc>
        <w:tc>
          <w:tcPr>
            <w:tcW w:w="801" w:type="dxa"/>
          </w:tcPr>
          <w:p w:rsidR="00B740A8" w:rsidRPr="00C73365" w:rsidRDefault="00B740A8">
            <w:pPr>
              <w:rPr>
                <w:rFonts w:asciiTheme="minorHAnsi" w:hAnsiTheme="minorHAnsi" w:cstheme="minorHAnsi"/>
                <w:b/>
                <w:sz w:val="16"/>
                <w:szCs w:val="16"/>
              </w:rPr>
            </w:pPr>
            <w:r w:rsidRPr="00C73365">
              <w:rPr>
                <w:rFonts w:asciiTheme="minorHAnsi" w:hAnsiTheme="minorHAnsi" w:cstheme="minorHAnsi"/>
                <w:b/>
                <w:sz w:val="16"/>
                <w:szCs w:val="16"/>
              </w:rPr>
              <w:t xml:space="preserve">BCE-2015-9 </w:t>
            </w:r>
            <w:r w:rsidR="00574C55">
              <w:rPr>
                <w:rFonts w:asciiTheme="minorHAnsi" w:hAnsiTheme="minorHAnsi" w:cstheme="minorHAnsi"/>
                <w:b/>
                <w:sz w:val="16"/>
                <w:szCs w:val="16"/>
              </w:rPr>
              <w:t>(C)</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BCE-2016-1</w:t>
            </w:r>
          </w:p>
        </w:tc>
        <w:tc>
          <w:tcPr>
            <w:tcW w:w="801"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BCE-2017-1</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BCE-2017-2</w:t>
            </w:r>
          </w:p>
        </w:tc>
        <w:tc>
          <w:tcPr>
            <w:tcW w:w="801"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 2017-3</w:t>
            </w:r>
          </w:p>
        </w:tc>
        <w:tc>
          <w:tcPr>
            <w:tcW w:w="800"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BCE-2017-4</w:t>
            </w:r>
          </w:p>
        </w:tc>
        <w:tc>
          <w:tcPr>
            <w:tcW w:w="801"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BCE-2017-5</w:t>
            </w: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Date d</w:t>
            </w:r>
            <w:r w:rsidR="004572A0" w:rsidRPr="00C73365">
              <w:rPr>
                <w:rFonts w:asciiTheme="minorHAnsi" w:hAnsiTheme="minorHAnsi" w:cstheme="minorHAnsi"/>
                <w:b/>
                <w:sz w:val="16"/>
                <w:szCs w:val="16"/>
              </w:rPr>
              <w:t>’</w:t>
            </w:r>
            <w:r w:rsidRPr="00C73365">
              <w:rPr>
                <w:rFonts w:asciiTheme="minorHAnsi" w:hAnsiTheme="minorHAnsi" w:cstheme="minorHAnsi"/>
                <w:b/>
                <w:sz w:val="16"/>
                <w:szCs w:val="16"/>
              </w:rPr>
              <w:t>expiration</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11/03/</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11/03/</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11/03</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11/03/</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11/03/</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11/03/</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23/06/</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2024</w:t>
            </w:r>
          </w:p>
        </w:tc>
        <w:tc>
          <w:tcPr>
            <w:tcW w:w="800" w:type="dxa"/>
          </w:tcPr>
          <w:p w:rsidR="00B740A8" w:rsidRPr="00C73365" w:rsidRDefault="00B740A8" w:rsidP="00D1541A">
            <w:pPr>
              <w:jc w:val="center"/>
              <w:rPr>
                <w:rFonts w:asciiTheme="minorHAnsi" w:hAnsiTheme="minorHAnsi" w:cstheme="minorHAnsi"/>
                <w:sz w:val="14"/>
                <w:szCs w:val="14"/>
              </w:rPr>
            </w:pPr>
            <w:r w:rsidRPr="00C73365">
              <w:rPr>
                <w:rFonts w:asciiTheme="minorHAnsi" w:hAnsiTheme="minorHAnsi" w:cstheme="minorHAnsi"/>
                <w:sz w:val="14"/>
                <w:szCs w:val="14"/>
              </w:rPr>
              <w:t>Caduc</w:t>
            </w:r>
          </w:p>
        </w:tc>
        <w:tc>
          <w:tcPr>
            <w:tcW w:w="801" w:type="dxa"/>
          </w:tcPr>
          <w:p w:rsidR="00B740A8" w:rsidRPr="00C73365" w:rsidRDefault="00B740A8" w:rsidP="00D1541A">
            <w:pPr>
              <w:jc w:val="center"/>
              <w:rPr>
                <w:rFonts w:asciiTheme="minorHAnsi" w:hAnsiTheme="minorHAnsi" w:cstheme="minorHAnsi"/>
                <w:sz w:val="14"/>
                <w:szCs w:val="14"/>
              </w:rPr>
            </w:pPr>
            <w:r w:rsidRPr="00C73365">
              <w:rPr>
                <w:rFonts w:asciiTheme="minorHAnsi" w:hAnsiTheme="minorHAnsi" w:cstheme="minorHAnsi"/>
                <w:sz w:val="14"/>
                <w:szCs w:val="14"/>
              </w:rPr>
              <w:t>Caduc</w:t>
            </w:r>
          </w:p>
        </w:tc>
        <w:tc>
          <w:tcPr>
            <w:tcW w:w="800" w:type="dxa"/>
          </w:tcPr>
          <w:p w:rsidR="00B740A8" w:rsidRPr="00C73365" w:rsidRDefault="00B740A8" w:rsidP="00D1541A">
            <w:pPr>
              <w:jc w:val="center"/>
              <w:rPr>
                <w:rFonts w:asciiTheme="minorHAnsi" w:hAnsiTheme="minorHAnsi" w:cstheme="minorHAnsi"/>
                <w:sz w:val="14"/>
                <w:szCs w:val="14"/>
              </w:rPr>
            </w:pPr>
            <w:r w:rsidRPr="00C73365">
              <w:rPr>
                <w:rFonts w:asciiTheme="minorHAnsi" w:hAnsiTheme="minorHAnsi" w:cstheme="minorHAnsi"/>
                <w:sz w:val="14"/>
                <w:szCs w:val="14"/>
              </w:rPr>
              <w:t>Caduc</w:t>
            </w:r>
          </w:p>
        </w:tc>
        <w:tc>
          <w:tcPr>
            <w:tcW w:w="801" w:type="dxa"/>
          </w:tcPr>
          <w:p w:rsidR="00B740A8" w:rsidRPr="00C73365" w:rsidRDefault="00B740A8" w:rsidP="00D1541A">
            <w:pPr>
              <w:jc w:val="center"/>
              <w:rPr>
                <w:rFonts w:asciiTheme="minorHAnsi" w:hAnsiTheme="minorHAnsi" w:cstheme="minorHAnsi"/>
                <w:sz w:val="14"/>
                <w:szCs w:val="14"/>
              </w:rPr>
            </w:pPr>
            <w:r w:rsidRPr="00C73365">
              <w:rPr>
                <w:rFonts w:asciiTheme="minorHAnsi" w:hAnsiTheme="minorHAnsi" w:cstheme="minorHAnsi"/>
                <w:sz w:val="14"/>
                <w:szCs w:val="14"/>
              </w:rPr>
              <w:t>Caduc</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7/11/</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2026</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23/01/</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2027</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20/11/</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2027</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20/11/</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2027</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20/11/</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2027</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20/11/</w:t>
            </w:r>
          </w:p>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2027</w:t>
            </w:r>
          </w:p>
        </w:tc>
      </w:tr>
      <w:tr w:rsidR="00B740A8" w:rsidRPr="00C73365" w:rsidTr="00D1541A">
        <w:trPr>
          <w:trHeight w:val="20"/>
        </w:trPr>
        <w:tc>
          <w:tcPr>
            <w:tcW w:w="1129" w:type="dxa"/>
          </w:tcPr>
          <w:p w:rsidR="00B740A8" w:rsidRPr="00C73365" w:rsidRDefault="00B740A8" w:rsidP="007816CF">
            <w:pPr>
              <w:jc w:val="left"/>
              <w:rPr>
                <w:rFonts w:asciiTheme="minorHAnsi" w:hAnsiTheme="minorHAnsi" w:cstheme="minorHAnsi"/>
                <w:b/>
                <w:sz w:val="16"/>
                <w:szCs w:val="16"/>
                <w:lang w:val="fr-FR"/>
              </w:rPr>
            </w:pPr>
            <w:r w:rsidRPr="00C73365">
              <w:rPr>
                <w:rFonts w:asciiTheme="minorHAnsi" w:hAnsiTheme="minorHAnsi" w:cstheme="minorHAnsi"/>
                <w:b/>
                <w:sz w:val="16"/>
                <w:szCs w:val="16"/>
                <w:lang w:val="fr-FR"/>
              </w:rPr>
              <w:t>Prix de souscription ou d</w:t>
            </w:r>
            <w:r w:rsidR="004572A0" w:rsidRPr="00C73365">
              <w:rPr>
                <w:rFonts w:asciiTheme="minorHAnsi" w:hAnsiTheme="minorHAnsi" w:cstheme="minorHAnsi"/>
                <w:b/>
                <w:sz w:val="16"/>
                <w:szCs w:val="16"/>
                <w:lang w:val="fr-FR"/>
              </w:rPr>
              <w:t>’</w:t>
            </w:r>
            <w:r w:rsidRPr="00C73365">
              <w:rPr>
                <w:rFonts w:asciiTheme="minorHAnsi" w:hAnsiTheme="minorHAnsi" w:cstheme="minorHAnsi"/>
                <w:b/>
                <w:sz w:val="16"/>
                <w:szCs w:val="16"/>
                <w:lang w:val="fr-FR"/>
              </w:rPr>
              <w:t>achat</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Prix d’exercice par action</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0,01</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0,01</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0,01</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0,01</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0,01,</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0,01</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12,5</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17,79</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17,79</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17,79</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17,79</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7,44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6,39</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11,14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11,14</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11,14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11,14</w:t>
            </w: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Modalités d’exercice</w:t>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 xml:space="preserve">Réalisation d’objectifs </w:t>
            </w:r>
            <w:r w:rsidRPr="00C73365">
              <w:rPr>
                <w:rFonts w:asciiTheme="minorHAnsi" w:hAnsiTheme="minorHAnsi" w:cstheme="minorHAnsi"/>
                <w:sz w:val="13"/>
                <w:szCs w:val="13"/>
              </w:rPr>
              <w:br/>
              <w:t>Note (1)</w:t>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highlight w:val="yellow"/>
              </w:rPr>
              <w:br/>
            </w:r>
            <w:r w:rsidRPr="00C73365">
              <w:rPr>
                <w:rFonts w:asciiTheme="minorHAnsi" w:hAnsiTheme="minorHAnsi" w:cstheme="minorHAnsi"/>
                <w:sz w:val="13"/>
                <w:szCs w:val="13"/>
              </w:rPr>
              <w:t>Note (2)</w:t>
            </w:r>
          </w:p>
        </w:tc>
        <w:tc>
          <w:tcPr>
            <w:tcW w:w="801" w:type="dxa"/>
          </w:tcPr>
          <w:p w:rsidR="00B740A8" w:rsidRPr="00C73365" w:rsidRDefault="00B740A8" w:rsidP="00D1541A">
            <w:pPr>
              <w:rPr>
                <w:rFonts w:asciiTheme="minorHAnsi" w:hAnsiTheme="minorHAnsi" w:cstheme="minorHAnsi"/>
                <w:sz w:val="13"/>
                <w:szCs w:val="13"/>
              </w:rPr>
            </w:pP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 xml:space="preserve">Réalisation d’objectifs </w:t>
            </w:r>
            <w:r w:rsidRPr="00C73365">
              <w:rPr>
                <w:rFonts w:asciiTheme="minorHAnsi" w:hAnsiTheme="minorHAnsi" w:cstheme="minorHAnsi"/>
                <w:sz w:val="13"/>
                <w:szCs w:val="13"/>
              </w:rPr>
              <w:br/>
              <w:t>Note (3)</w:t>
            </w:r>
          </w:p>
        </w:tc>
        <w:tc>
          <w:tcPr>
            <w:tcW w:w="801"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 xml:space="preserve">Réalisation d’objectifs </w:t>
            </w:r>
            <w:r w:rsidRPr="00C73365">
              <w:rPr>
                <w:rFonts w:asciiTheme="minorHAnsi" w:hAnsiTheme="minorHAnsi" w:cstheme="minorHAnsi"/>
                <w:sz w:val="13"/>
                <w:szCs w:val="13"/>
              </w:rPr>
              <w:br/>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 xml:space="preserve">Réalisation d’objectifs </w:t>
            </w:r>
            <w:r w:rsidRPr="00C73365">
              <w:rPr>
                <w:rFonts w:asciiTheme="minorHAnsi" w:hAnsiTheme="minorHAnsi" w:cstheme="minorHAnsi"/>
                <w:sz w:val="13"/>
                <w:szCs w:val="13"/>
              </w:rPr>
              <w:br/>
              <w:t>Note (4)</w:t>
            </w:r>
          </w:p>
        </w:tc>
        <w:tc>
          <w:tcPr>
            <w:tcW w:w="801"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 xml:space="preserve">Réalisation d’objectifs </w:t>
            </w:r>
            <w:r w:rsidRPr="00C73365">
              <w:rPr>
                <w:rFonts w:asciiTheme="minorHAnsi" w:hAnsiTheme="minorHAnsi" w:cstheme="minorHAnsi"/>
                <w:sz w:val="13"/>
                <w:szCs w:val="13"/>
              </w:rPr>
              <w:br/>
              <w:t>Note (5)</w:t>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p>
        </w:tc>
        <w:tc>
          <w:tcPr>
            <w:tcW w:w="801"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p>
        </w:tc>
        <w:tc>
          <w:tcPr>
            <w:tcW w:w="801"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Note (6)</w:t>
            </w:r>
          </w:p>
        </w:tc>
        <w:tc>
          <w:tcPr>
            <w:tcW w:w="801"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r w:rsidRPr="00C73365">
              <w:rPr>
                <w:rFonts w:asciiTheme="minorHAnsi" w:hAnsiTheme="minorHAnsi" w:cstheme="minorHAnsi"/>
                <w:sz w:val="13"/>
                <w:szCs w:val="13"/>
              </w:rPr>
              <w:br/>
              <w:t>Note (7)</w:t>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r w:rsidRPr="00C73365">
              <w:rPr>
                <w:rFonts w:asciiTheme="minorHAnsi" w:hAnsiTheme="minorHAnsi" w:cstheme="minorHAnsi"/>
                <w:sz w:val="13"/>
                <w:szCs w:val="13"/>
              </w:rPr>
              <w:br/>
              <w:t>Note (8)</w:t>
            </w:r>
          </w:p>
        </w:tc>
        <w:tc>
          <w:tcPr>
            <w:tcW w:w="801"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r w:rsidRPr="00C73365">
              <w:rPr>
                <w:rFonts w:asciiTheme="minorHAnsi" w:hAnsiTheme="minorHAnsi" w:cstheme="minorHAnsi"/>
                <w:sz w:val="13"/>
                <w:szCs w:val="13"/>
              </w:rPr>
              <w:br/>
              <w:t>Note (9)</w:t>
            </w:r>
          </w:p>
        </w:tc>
        <w:tc>
          <w:tcPr>
            <w:tcW w:w="800"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r w:rsidRPr="00C73365">
              <w:rPr>
                <w:rFonts w:asciiTheme="minorHAnsi" w:hAnsiTheme="minorHAnsi" w:cstheme="minorHAnsi"/>
                <w:sz w:val="13"/>
                <w:szCs w:val="13"/>
              </w:rPr>
              <w:br/>
              <w:t>Note (10)</w:t>
            </w:r>
          </w:p>
        </w:tc>
        <w:tc>
          <w:tcPr>
            <w:tcW w:w="801" w:type="dxa"/>
          </w:tcPr>
          <w:p w:rsidR="00B740A8" w:rsidRPr="00C73365" w:rsidRDefault="00B740A8" w:rsidP="00D1541A">
            <w:pPr>
              <w:rPr>
                <w:rFonts w:asciiTheme="minorHAnsi" w:hAnsiTheme="minorHAnsi" w:cstheme="minorHAnsi"/>
                <w:sz w:val="13"/>
                <w:szCs w:val="13"/>
              </w:rPr>
            </w:pPr>
            <w:r w:rsidRPr="00C73365">
              <w:rPr>
                <w:rFonts w:asciiTheme="minorHAnsi" w:hAnsiTheme="minorHAnsi" w:cstheme="minorHAnsi"/>
                <w:sz w:val="13"/>
                <w:szCs w:val="13"/>
              </w:rPr>
              <w:t>Réalisation d’objectifs</w:t>
            </w:r>
            <w:r w:rsidRPr="00C73365">
              <w:rPr>
                <w:rFonts w:asciiTheme="minorHAnsi" w:hAnsiTheme="minorHAnsi" w:cstheme="minorHAnsi"/>
                <w:sz w:val="13"/>
                <w:szCs w:val="13"/>
              </w:rPr>
              <w:br/>
              <w:t>Note (11)</w:t>
            </w: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Nombre d’actions souscrites</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highlight w:val="yellow"/>
              </w:rPr>
            </w:pPr>
            <w:r w:rsidRPr="00C73365">
              <w:rPr>
                <w:rFonts w:asciiTheme="minorHAnsi" w:hAnsiTheme="minorHAnsi" w:cstheme="minorHAnsi"/>
                <w:sz w:val="14"/>
                <w:szCs w:val="14"/>
              </w:rPr>
              <w:t>80</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000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21</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355</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10</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000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800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2.50</w:t>
            </w:r>
            <w:r w:rsidR="009F5279">
              <w:rPr>
                <w:rFonts w:asciiTheme="minorHAnsi" w:hAnsiTheme="minorHAnsi" w:cstheme="minorHAnsi"/>
                <w:sz w:val="14"/>
                <w:szCs w:val="14"/>
              </w:rPr>
              <w:t>2</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Bénéficiaires</w:t>
            </w:r>
          </w:p>
        </w:tc>
        <w:tc>
          <w:tcPr>
            <w:tcW w:w="800"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Philippe Pouletty</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275</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000</w:t>
            </w: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Hartmut Ehrlich</w:t>
            </w:r>
          </w:p>
        </w:tc>
        <w:tc>
          <w:tcPr>
            <w:tcW w:w="800"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195</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000</w:t>
            </w: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150</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000</w:t>
            </w: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rPr>
            </w:pPr>
            <w:r w:rsidRPr="00C73365">
              <w:rPr>
                <w:rFonts w:asciiTheme="minorHAnsi" w:hAnsiTheme="minorHAnsi" w:cstheme="minorHAnsi"/>
                <w:b/>
                <w:sz w:val="16"/>
                <w:szCs w:val="16"/>
              </w:rPr>
              <w:t>Autres</w:t>
            </w:r>
          </w:p>
        </w:tc>
        <w:tc>
          <w:tcPr>
            <w:tcW w:w="800"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88</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400</w:t>
            </w: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52</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500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66</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000</w:t>
            </w: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p>
        </w:tc>
        <w:tc>
          <w:tcPr>
            <w:tcW w:w="800" w:type="dxa"/>
          </w:tcPr>
          <w:p w:rsidR="00B740A8" w:rsidRPr="00C73365" w:rsidRDefault="009F5279" w:rsidP="00D1541A">
            <w:pPr>
              <w:rPr>
                <w:rFonts w:asciiTheme="minorHAnsi" w:hAnsiTheme="minorHAnsi" w:cstheme="minorHAnsi"/>
                <w:sz w:val="14"/>
                <w:szCs w:val="14"/>
              </w:rPr>
            </w:pPr>
            <w:r>
              <w:rPr>
                <w:rFonts w:asciiTheme="minorHAnsi" w:hAnsiTheme="minorHAnsi" w:cstheme="minorHAnsi"/>
                <w:sz w:val="14"/>
                <w:szCs w:val="14"/>
              </w:rPr>
              <w:t>74</w:t>
            </w:r>
            <w:r w:rsidR="00E036DA">
              <w:rPr>
                <w:rFonts w:asciiTheme="minorHAnsi" w:hAnsiTheme="minorHAnsi" w:cstheme="minorHAnsi"/>
                <w:sz w:val="14"/>
                <w:szCs w:val="14"/>
              </w:rPr>
              <w:t xml:space="preserve"> </w:t>
            </w:r>
            <w:r>
              <w:rPr>
                <w:rFonts w:asciiTheme="minorHAnsi" w:hAnsiTheme="minorHAnsi" w:cstheme="minorHAnsi"/>
                <w:sz w:val="14"/>
                <w:szCs w:val="14"/>
              </w:rPr>
              <w:t>831</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374</w:t>
            </w:r>
          </w:p>
        </w:tc>
        <w:tc>
          <w:tcPr>
            <w:tcW w:w="800" w:type="dxa"/>
          </w:tcPr>
          <w:p w:rsidR="00B740A8" w:rsidRPr="00C73365" w:rsidRDefault="00B740A8" w:rsidP="00D1541A">
            <w:pPr>
              <w:rPr>
                <w:rFonts w:asciiTheme="minorHAnsi" w:hAnsiTheme="minorHAnsi" w:cstheme="minorHAnsi"/>
                <w:sz w:val="14"/>
                <w:szCs w:val="14"/>
              </w:rPr>
            </w:pP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101</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061</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374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374</w:t>
            </w:r>
          </w:p>
        </w:tc>
      </w:tr>
      <w:tr w:rsidR="00B740A8" w:rsidRPr="00C73365" w:rsidTr="00D1541A">
        <w:trPr>
          <w:trHeight w:val="20"/>
        </w:trPr>
        <w:tc>
          <w:tcPr>
            <w:tcW w:w="1129" w:type="dxa"/>
          </w:tcPr>
          <w:p w:rsidR="00B740A8" w:rsidRPr="00C73365" w:rsidRDefault="00B740A8" w:rsidP="006A487E">
            <w:pPr>
              <w:rPr>
                <w:rFonts w:asciiTheme="minorHAnsi" w:hAnsiTheme="minorHAnsi" w:cstheme="minorHAnsi"/>
                <w:b/>
                <w:sz w:val="16"/>
                <w:szCs w:val="16"/>
                <w:lang w:val="fr-FR"/>
              </w:rPr>
            </w:pPr>
            <w:r w:rsidRPr="00C73365">
              <w:rPr>
                <w:rFonts w:asciiTheme="minorHAnsi" w:hAnsiTheme="minorHAnsi" w:cstheme="minorHAnsi"/>
                <w:b/>
                <w:sz w:val="16"/>
                <w:szCs w:val="16"/>
                <w:lang w:val="fr-FR"/>
              </w:rPr>
              <w:t>Nombre cumulé de BCE annulés ou caduques</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626</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169</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990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33</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687</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374</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33</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687</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374</w:t>
            </w:r>
          </w:p>
        </w:tc>
        <w:tc>
          <w:tcPr>
            <w:tcW w:w="800" w:type="dxa"/>
          </w:tcPr>
          <w:p w:rsidR="00B740A8" w:rsidRPr="00C73365" w:rsidRDefault="009F5279" w:rsidP="00D1541A">
            <w:pPr>
              <w:rPr>
                <w:rFonts w:asciiTheme="minorHAnsi" w:hAnsiTheme="minorHAnsi" w:cstheme="minorHAnsi"/>
                <w:sz w:val="14"/>
                <w:szCs w:val="14"/>
              </w:rPr>
            </w:pPr>
            <w:r>
              <w:rPr>
                <w:rFonts w:asciiTheme="minorHAnsi" w:hAnsiTheme="minorHAnsi" w:cstheme="minorHAnsi"/>
                <w:sz w:val="14"/>
                <w:szCs w:val="14"/>
              </w:rPr>
              <w:t>6</w:t>
            </w:r>
            <w:r w:rsidR="00E036DA">
              <w:rPr>
                <w:rFonts w:asciiTheme="minorHAnsi" w:hAnsiTheme="minorHAnsi" w:cstheme="minorHAnsi"/>
                <w:sz w:val="14"/>
                <w:szCs w:val="14"/>
              </w:rPr>
              <w:t xml:space="preserve"> </w:t>
            </w:r>
            <w:r>
              <w:rPr>
                <w:rFonts w:asciiTheme="minorHAnsi" w:hAnsiTheme="minorHAnsi" w:cstheme="minorHAnsi"/>
                <w:sz w:val="14"/>
                <w:szCs w:val="14"/>
              </w:rPr>
              <w:t>667</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r>
      <w:tr w:rsidR="00B740A8" w:rsidRPr="00C73365" w:rsidTr="00D1541A">
        <w:trPr>
          <w:trHeight w:val="20"/>
        </w:trPr>
        <w:tc>
          <w:tcPr>
            <w:tcW w:w="1129" w:type="dxa"/>
          </w:tcPr>
          <w:p w:rsidR="00B740A8" w:rsidRPr="00C73365" w:rsidRDefault="00B740A8" w:rsidP="00D1541A">
            <w:pPr>
              <w:rPr>
                <w:rFonts w:asciiTheme="minorHAnsi" w:hAnsiTheme="minorHAnsi" w:cstheme="minorHAnsi"/>
                <w:b/>
                <w:sz w:val="16"/>
                <w:szCs w:val="16"/>
                <w:lang w:val="fr-FR"/>
              </w:rPr>
            </w:pPr>
            <w:r w:rsidRPr="00C73365">
              <w:rPr>
                <w:rFonts w:asciiTheme="minorHAnsi" w:hAnsiTheme="minorHAnsi" w:cstheme="minorHAnsi"/>
                <w:b/>
                <w:sz w:val="16"/>
                <w:szCs w:val="16"/>
                <w:lang w:val="fr-FR"/>
              </w:rPr>
              <w:t>BCE à la date du présent document de référence</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2</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750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950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884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525</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660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0</w:t>
            </w:r>
          </w:p>
        </w:tc>
        <w:tc>
          <w:tcPr>
            <w:tcW w:w="800" w:type="dxa"/>
          </w:tcPr>
          <w:p w:rsidR="00B740A8" w:rsidRPr="00C73365" w:rsidRDefault="009F5279" w:rsidP="00D1541A">
            <w:pPr>
              <w:rPr>
                <w:rFonts w:asciiTheme="minorHAnsi" w:hAnsiTheme="minorHAnsi" w:cstheme="minorHAnsi"/>
                <w:sz w:val="14"/>
                <w:szCs w:val="14"/>
              </w:rPr>
            </w:pPr>
            <w:r>
              <w:rPr>
                <w:rFonts w:asciiTheme="minorHAnsi" w:hAnsiTheme="minorHAnsi" w:cstheme="minorHAnsi"/>
                <w:sz w:val="14"/>
                <w:szCs w:val="14"/>
              </w:rPr>
              <w:t>74 831</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9F5279">
              <w:rPr>
                <w:rFonts w:asciiTheme="minorHAnsi" w:hAnsiTheme="minorHAnsi" w:cstheme="minorHAnsi"/>
                <w:sz w:val="14"/>
                <w:szCs w:val="14"/>
              </w:rPr>
              <w:t xml:space="preserve"> </w:t>
            </w:r>
            <w:r w:rsidRPr="00C73365">
              <w:rPr>
                <w:rFonts w:asciiTheme="minorHAnsi" w:hAnsiTheme="minorHAnsi" w:cstheme="minorHAnsi"/>
                <w:sz w:val="14"/>
                <w:szCs w:val="14"/>
              </w:rPr>
              <w:t>374</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150</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000</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101</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061</w:t>
            </w:r>
          </w:p>
        </w:tc>
        <w:tc>
          <w:tcPr>
            <w:tcW w:w="800"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374</w:t>
            </w:r>
          </w:p>
        </w:tc>
        <w:tc>
          <w:tcPr>
            <w:tcW w:w="801" w:type="dxa"/>
          </w:tcPr>
          <w:p w:rsidR="00B740A8" w:rsidRPr="00C73365" w:rsidRDefault="00B740A8" w:rsidP="00D1541A">
            <w:pPr>
              <w:rPr>
                <w:rFonts w:asciiTheme="minorHAnsi" w:hAnsiTheme="minorHAnsi" w:cstheme="minorHAnsi"/>
                <w:sz w:val="14"/>
                <w:szCs w:val="14"/>
              </w:rPr>
            </w:pPr>
            <w:r w:rsidRPr="00C73365">
              <w:rPr>
                <w:rFonts w:asciiTheme="minorHAnsi" w:hAnsiTheme="minorHAnsi" w:cstheme="minorHAnsi"/>
                <w:sz w:val="14"/>
                <w:szCs w:val="14"/>
              </w:rPr>
              <w:t>67</w:t>
            </w:r>
            <w:r w:rsidR="00E036DA">
              <w:rPr>
                <w:rFonts w:asciiTheme="minorHAnsi" w:hAnsiTheme="minorHAnsi" w:cstheme="minorHAnsi"/>
                <w:sz w:val="14"/>
                <w:szCs w:val="14"/>
              </w:rPr>
              <w:t xml:space="preserve"> </w:t>
            </w:r>
            <w:r w:rsidRPr="00C73365">
              <w:rPr>
                <w:rFonts w:asciiTheme="minorHAnsi" w:hAnsiTheme="minorHAnsi" w:cstheme="minorHAnsi"/>
                <w:sz w:val="14"/>
                <w:szCs w:val="14"/>
              </w:rPr>
              <w:t>374</w:t>
            </w:r>
          </w:p>
        </w:tc>
      </w:tr>
      <w:tr w:rsidR="00574C55" w:rsidRPr="00C73365" w:rsidTr="00D1541A">
        <w:trPr>
          <w:trHeight w:val="20"/>
        </w:trPr>
        <w:tc>
          <w:tcPr>
            <w:tcW w:w="1129" w:type="dxa"/>
          </w:tcPr>
          <w:p w:rsidR="00574C55" w:rsidRPr="00C73365" w:rsidRDefault="00574C55" w:rsidP="00D1541A">
            <w:pPr>
              <w:rPr>
                <w:rFonts w:asciiTheme="minorHAnsi" w:hAnsiTheme="minorHAnsi" w:cstheme="minorHAnsi"/>
                <w:b/>
                <w:sz w:val="16"/>
                <w:szCs w:val="16"/>
                <w:lang w:val="fr-FR"/>
              </w:rPr>
            </w:pPr>
            <w:r>
              <w:rPr>
                <w:rFonts w:asciiTheme="minorHAnsi" w:hAnsiTheme="minorHAnsi" w:cstheme="minorHAnsi"/>
                <w:b/>
                <w:sz w:val="16"/>
                <w:szCs w:val="16"/>
                <w:lang w:val="fr-FR"/>
              </w:rPr>
              <w:t>BCE exerçables au 31/03/2018</w:t>
            </w:r>
            <w:r w:rsidR="00B45F64">
              <w:rPr>
                <w:rFonts w:asciiTheme="minorHAnsi" w:hAnsiTheme="minorHAnsi" w:cstheme="minorHAnsi"/>
                <w:b/>
                <w:sz w:val="16"/>
                <w:szCs w:val="16"/>
                <w:lang w:val="fr-FR"/>
              </w:rPr>
              <w:t>*</w:t>
            </w:r>
          </w:p>
        </w:tc>
        <w:tc>
          <w:tcPr>
            <w:tcW w:w="800" w:type="dxa"/>
          </w:tcPr>
          <w:p w:rsidR="00574C55" w:rsidRPr="00C73365" w:rsidRDefault="00E036DA" w:rsidP="00D1541A">
            <w:pPr>
              <w:rPr>
                <w:rFonts w:asciiTheme="minorHAnsi" w:hAnsiTheme="minorHAnsi" w:cstheme="minorHAnsi"/>
                <w:sz w:val="14"/>
                <w:szCs w:val="14"/>
              </w:rPr>
            </w:pPr>
            <w:r>
              <w:rPr>
                <w:rFonts w:asciiTheme="minorHAnsi" w:hAnsiTheme="minorHAnsi" w:cstheme="minorHAnsi"/>
                <w:sz w:val="14"/>
                <w:szCs w:val="14"/>
              </w:rPr>
              <w:t xml:space="preserve">2 </w:t>
            </w:r>
            <w:r w:rsidR="00574C55">
              <w:rPr>
                <w:rFonts w:asciiTheme="minorHAnsi" w:hAnsiTheme="minorHAnsi" w:cstheme="minorHAnsi"/>
                <w:sz w:val="14"/>
                <w:szCs w:val="14"/>
              </w:rPr>
              <w:t>750</w:t>
            </w:r>
          </w:p>
        </w:tc>
        <w:tc>
          <w:tcPr>
            <w:tcW w:w="800" w:type="dxa"/>
          </w:tcPr>
          <w:p w:rsidR="00574C55" w:rsidRPr="00C73365" w:rsidRDefault="00E036DA" w:rsidP="00D1541A">
            <w:pPr>
              <w:rPr>
                <w:rFonts w:asciiTheme="minorHAnsi" w:hAnsiTheme="minorHAnsi" w:cstheme="minorHAnsi"/>
                <w:sz w:val="14"/>
                <w:szCs w:val="14"/>
              </w:rPr>
            </w:pPr>
            <w:r>
              <w:rPr>
                <w:rFonts w:asciiTheme="minorHAnsi" w:hAnsiTheme="minorHAnsi" w:cstheme="minorHAnsi"/>
                <w:sz w:val="14"/>
                <w:szCs w:val="14"/>
              </w:rPr>
              <w:t xml:space="preserve">1 </w:t>
            </w:r>
            <w:r w:rsidR="00574C55">
              <w:rPr>
                <w:rFonts w:asciiTheme="minorHAnsi" w:hAnsiTheme="minorHAnsi" w:cstheme="minorHAnsi"/>
                <w:sz w:val="14"/>
                <w:szCs w:val="14"/>
              </w:rPr>
              <w:t>950</w:t>
            </w:r>
          </w:p>
        </w:tc>
        <w:tc>
          <w:tcPr>
            <w:tcW w:w="801"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0</w:t>
            </w:r>
          </w:p>
        </w:tc>
        <w:tc>
          <w:tcPr>
            <w:tcW w:w="800"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884</w:t>
            </w:r>
          </w:p>
        </w:tc>
        <w:tc>
          <w:tcPr>
            <w:tcW w:w="801"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0</w:t>
            </w:r>
          </w:p>
        </w:tc>
        <w:tc>
          <w:tcPr>
            <w:tcW w:w="800"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525</w:t>
            </w:r>
          </w:p>
        </w:tc>
        <w:tc>
          <w:tcPr>
            <w:tcW w:w="801"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660</w:t>
            </w:r>
          </w:p>
        </w:tc>
        <w:tc>
          <w:tcPr>
            <w:tcW w:w="800"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0</w:t>
            </w:r>
          </w:p>
        </w:tc>
        <w:tc>
          <w:tcPr>
            <w:tcW w:w="801"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0</w:t>
            </w:r>
          </w:p>
        </w:tc>
        <w:tc>
          <w:tcPr>
            <w:tcW w:w="800"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0</w:t>
            </w:r>
          </w:p>
        </w:tc>
        <w:tc>
          <w:tcPr>
            <w:tcW w:w="801" w:type="dxa"/>
          </w:tcPr>
          <w:p w:rsidR="00574C55" w:rsidRPr="00C73365" w:rsidRDefault="00574C55" w:rsidP="00D1541A">
            <w:pPr>
              <w:rPr>
                <w:rFonts w:asciiTheme="minorHAnsi" w:hAnsiTheme="minorHAnsi" w:cstheme="minorHAnsi"/>
                <w:sz w:val="14"/>
                <w:szCs w:val="14"/>
              </w:rPr>
            </w:pPr>
            <w:r>
              <w:rPr>
                <w:rFonts w:asciiTheme="minorHAnsi" w:hAnsiTheme="minorHAnsi" w:cstheme="minorHAnsi"/>
                <w:sz w:val="14"/>
                <w:szCs w:val="14"/>
              </w:rPr>
              <w:t>0</w:t>
            </w:r>
          </w:p>
        </w:tc>
        <w:tc>
          <w:tcPr>
            <w:tcW w:w="800" w:type="dxa"/>
          </w:tcPr>
          <w:p w:rsidR="00574C55" w:rsidRDefault="00E036DA" w:rsidP="00D1541A">
            <w:pPr>
              <w:rPr>
                <w:rFonts w:asciiTheme="minorHAnsi" w:hAnsiTheme="minorHAnsi" w:cstheme="minorHAnsi"/>
                <w:sz w:val="14"/>
                <w:szCs w:val="14"/>
              </w:rPr>
            </w:pPr>
            <w:r>
              <w:rPr>
                <w:rFonts w:asciiTheme="minorHAnsi" w:hAnsiTheme="minorHAnsi" w:cstheme="minorHAnsi"/>
                <w:sz w:val="14"/>
                <w:szCs w:val="14"/>
              </w:rPr>
              <w:t xml:space="preserve">26 </w:t>
            </w:r>
            <w:r w:rsidR="00574C55">
              <w:rPr>
                <w:rFonts w:asciiTheme="minorHAnsi" w:hAnsiTheme="minorHAnsi" w:cstheme="minorHAnsi"/>
                <w:sz w:val="14"/>
                <w:szCs w:val="14"/>
              </w:rPr>
              <w:t>503</w:t>
            </w:r>
          </w:p>
        </w:tc>
        <w:tc>
          <w:tcPr>
            <w:tcW w:w="801" w:type="dxa"/>
          </w:tcPr>
          <w:p w:rsidR="00574C55" w:rsidRPr="00C73365" w:rsidRDefault="00E036DA" w:rsidP="00D1541A">
            <w:pPr>
              <w:rPr>
                <w:rFonts w:asciiTheme="minorHAnsi" w:hAnsiTheme="minorHAnsi" w:cstheme="minorHAnsi"/>
                <w:sz w:val="14"/>
                <w:szCs w:val="14"/>
              </w:rPr>
            </w:pPr>
            <w:r>
              <w:rPr>
                <w:rFonts w:asciiTheme="minorHAnsi" w:hAnsiTheme="minorHAnsi" w:cstheme="minorHAnsi"/>
                <w:sz w:val="14"/>
                <w:szCs w:val="14"/>
              </w:rPr>
              <w:t xml:space="preserve">44 </w:t>
            </w:r>
            <w:r w:rsidR="00574C55">
              <w:rPr>
                <w:rFonts w:asciiTheme="minorHAnsi" w:hAnsiTheme="minorHAnsi" w:cstheme="minorHAnsi"/>
                <w:sz w:val="14"/>
                <w:szCs w:val="14"/>
              </w:rPr>
              <w:t>214</w:t>
            </w:r>
          </w:p>
        </w:tc>
        <w:tc>
          <w:tcPr>
            <w:tcW w:w="800" w:type="dxa"/>
          </w:tcPr>
          <w:p w:rsidR="00574C55" w:rsidRPr="00C73365" w:rsidRDefault="00B45F64" w:rsidP="00D1541A">
            <w:pPr>
              <w:rPr>
                <w:rFonts w:asciiTheme="minorHAnsi" w:hAnsiTheme="minorHAnsi" w:cstheme="minorHAnsi"/>
                <w:sz w:val="14"/>
                <w:szCs w:val="14"/>
              </w:rPr>
            </w:pPr>
            <w:r>
              <w:rPr>
                <w:rFonts w:asciiTheme="minorHAnsi" w:hAnsiTheme="minorHAnsi" w:cstheme="minorHAnsi"/>
                <w:sz w:val="14"/>
                <w:szCs w:val="14"/>
              </w:rPr>
              <w:t>0</w:t>
            </w:r>
          </w:p>
        </w:tc>
        <w:tc>
          <w:tcPr>
            <w:tcW w:w="801" w:type="dxa"/>
          </w:tcPr>
          <w:p w:rsidR="00574C55" w:rsidRPr="00C73365" w:rsidRDefault="00B45F64" w:rsidP="00D1541A">
            <w:pPr>
              <w:rPr>
                <w:rFonts w:asciiTheme="minorHAnsi" w:hAnsiTheme="minorHAnsi" w:cstheme="minorHAnsi"/>
                <w:sz w:val="14"/>
                <w:szCs w:val="14"/>
              </w:rPr>
            </w:pPr>
            <w:r>
              <w:rPr>
                <w:rFonts w:asciiTheme="minorHAnsi" w:hAnsiTheme="minorHAnsi" w:cstheme="minorHAnsi"/>
                <w:sz w:val="14"/>
                <w:szCs w:val="14"/>
              </w:rPr>
              <w:t>0</w:t>
            </w:r>
          </w:p>
        </w:tc>
        <w:tc>
          <w:tcPr>
            <w:tcW w:w="800" w:type="dxa"/>
          </w:tcPr>
          <w:p w:rsidR="00574C55" w:rsidRPr="00C73365" w:rsidRDefault="00B45F64" w:rsidP="00D1541A">
            <w:pPr>
              <w:rPr>
                <w:rFonts w:asciiTheme="minorHAnsi" w:hAnsiTheme="minorHAnsi" w:cstheme="minorHAnsi"/>
                <w:sz w:val="14"/>
                <w:szCs w:val="14"/>
              </w:rPr>
            </w:pPr>
            <w:r>
              <w:rPr>
                <w:rFonts w:asciiTheme="minorHAnsi" w:hAnsiTheme="minorHAnsi" w:cstheme="minorHAnsi"/>
                <w:sz w:val="14"/>
                <w:szCs w:val="14"/>
              </w:rPr>
              <w:t>0</w:t>
            </w:r>
          </w:p>
        </w:tc>
        <w:tc>
          <w:tcPr>
            <w:tcW w:w="801" w:type="dxa"/>
          </w:tcPr>
          <w:p w:rsidR="00574C55" w:rsidRPr="00C73365" w:rsidRDefault="00B45F64" w:rsidP="00D1541A">
            <w:pPr>
              <w:rPr>
                <w:rFonts w:asciiTheme="minorHAnsi" w:hAnsiTheme="minorHAnsi" w:cstheme="minorHAnsi"/>
                <w:sz w:val="14"/>
                <w:szCs w:val="14"/>
              </w:rPr>
            </w:pPr>
            <w:r>
              <w:rPr>
                <w:rFonts w:asciiTheme="minorHAnsi" w:hAnsiTheme="minorHAnsi" w:cstheme="minorHAnsi"/>
                <w:sz w:val="14"/>
                <w:szCs w:val="14"/>
              </w:rPr>
              <w:t>0</w:t>
            </w:r>
          </w:p>
        </w:tc>
      </w:tr>
    </w:tbl>
    <w:p w:rsidR="00B45F64" w:rsidRPr="007816CF" w:rsidRDefault="00B740A8" w:rsidP="004572A0">
      <w:pPr>
        <w:pStyle w:val="BodyText"/>
        <w:rPr>
          <w:rFonts w:asciiTheme="minorHAnsi" w:hAnsiTheme="minorHAnsi" w:cstheme="minorHAnsi"/>
          <w:i/>
          <w:sz w:val="16"/>
          <w:szCs w:val="22"/>
          <w:lang w:val="fr-FR"/>
        </w:rPr>
      </w:pPr>
      <w:r w:rsidRPr="00C73365">
        <w:rPr>
          <w:rFonts w:asciiTheme="minorHAnsi" w:hAnsiTheme="minorHAnsi" w:cstheme="minorHAnsi"/>
          <w:sz w:val="16"/>
          <w:szCs w:val="22"/>
          <w:lang w:val="fr-FR"/>
        </w:rPr>
        <w:br w:type="page"/>
      </w:r>
      <w:r w:rsidR="00B45F64" w:rsidRPr="007816CF">
        <w:rPr>
          <w:rFonts w:asciiTheme="minorHAnsi" w:hAnsiTheme="minorHAnsi" w:cstheme="minorHAnsi"/>
          <w:i/>
          <w:sz w:val="18"/>
          <w:szCs w:val="22"/>
          <w:lang w:val="fr-FR"/>
        </w:rPr>
        <w:lastRenderedPageBreak/>
        <w:t>*Sous réserve de l’atteinte d’objectifs précisés dans les notes ci-après.</w:t>
      </w:r>
    </w:p>
    <w:p w:rsidR="00B740A8" w:rsidRPr="00C73365" w:rsidRDefault="00B740A8" w:rsidP="004572A0">
      <w:pPr>
        <w:pStyle w:val="BodyText"/>
        <w:rPr>
          <w:rFonts w:asciiTheme="minorHAnsi" w:hAnsiTheme="minorHAnsi" w:cstheme="minorHAnsi"/>
          <w:sz w:val="16"/>
          <w:szCs w:val="22"/>
          <w:lang w:val="fr-FR"/>
        </w:rPr>
      </w:pPr>
      <w:r w:rsidRPr="00C73365">
        <w:rPr>
          <w:rFonts w:asciiTheme="minorHAnsi" w:hAnsiTheme="minorHAnsi" w:cstheme="minorHAnsi"/>
          <w:u w:val="single"/>
          <w:lang w:val="fr-FR"/>
        </w:rPr>
        <w:t>Note (1):</w:t>
      </w:r>
      <w:r w:rsidRPr="00C73365">
        <w:rPr>
          <w:rFonts w:asciiTheme="minorHAnsi" w:hAnsiTheme="minorHAnsi" w:cstheme="minorHAnsi"/>
          <w:lang w:val="fr-FR"/>
        </w:rPr>
        <w:t xml:space="preserve"> par période mensuelle complète à hauteur d’un nombre X calculé selon la règle suivante : X = 2 750 multiplié par (nombre de mois écoulés à compter de la date de constitution de la Société /48) à compter du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jour suivant le 18</w:t>
      </w:r>
      <w:r w:rsidRPr="00C73365">
        <w:rPr>
          <w:rFonts w:asciiTheme="minorHAnsi" w:hAnsiTheme="minorHAnsi" w:cstheme="minorHAnsi"/>
          <w:vertAlign w:val="superscript"/>
          <w:lang w:val="fr-FR"/>
        </w:rPr>
        <w:t>ème</w:t>
      </w:r>
      <w:r w:rsidRPr="00C73365">
        <w:rPr>
          <w:rFonts w:asciiTheme="minorHAnsi" w:hAnsiTheme="minorHAnsi" w:cstheme="minorHAnsi"/>
          <w:lang w:val="fr-FR"/>
        </w:rPr>
        <w:t xml:space="preserve"> mois suivant la date de constitution de la Société (étant entendu que le bénéficiaire devra consacrer, à compter du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jour suivant le 18</w:t>
      </w:r>
      <w:r w:rsidRPr="00C73365">
        <w:rPr>
          <w:rFonts w:asciiTheme="minorHAnsi" w:hAnsiTheme="minorHAnsi" w:cstheme="minorHAnsi"/>
          <w:vertAlign w:val="superscript"/>
          <w:lang w:val="fr-FR"/>
        </w:rPr>
        <w:t>ème</w:t>
      </w:r>
      <w:r w:rsidRPr="00C73365">
        <w:rPr>
          <w:rFonts w:asciiTheme="minorHAnsi" w:hAnsiTheme="minorHAnsi" w:cstheme="minorHAnsi"/>
          <w:lang w:val="fr-FR"/>
        </w:rPr>
        <w:t xml:space="preserve"> mois suivant la date de constitution de la Société et jusqu’au 48</w:t>
      </w:r>
      <w:r w:rsidRPr="00C73365">
        <w:rPr>
          <w:rFonts w:asciiTheme="minorHAnsi" w:hAnsiTheme="minorHAnsi" w:cstheme="minorHAnsi"/>
          <w:vertAlign w:val="superscript"/>
          <w:lang w:val="fr-FR"/>
        </w:rPr>
        <w:t>ème</w:t>
      </w:r>
      <w:r w:rsidRPr="00C73365">
        <w:rPr>
          <w:rFonts w:asciiTheme="minorHAnsi" w:hAnsiTheme="minorHAnsi" w:cstheme="minorHAnsi"/>
          <w:lang w:val="fr-FR"/>
        </w:rPr>
        <w:t xml:space="preserve"> mois inclus suivant la date de constitution de la Société, plus de 33% de son temps professionnel au bénéfice de la société). Exercice accéléré de l’intégralité du solde non-exercé  (i) en cas de cession, ferme et définitive, des titres de la Société, ayant pour conséquence le changement de contrôle de la Société au sens de l’article L. 226-3 du Code de Commerce, au profit d’un tiers, sur la base d’une valorisation de la Société supérieure à 300 millions d’euros calculé sur la base du capital émis au 31 décembre 2014, cette valorisation devant être augmentée proportionnellement à l’augmentation du nombre d’actions de la Société résultant des augmentations de capital décidées postérieurement au 31 décembre 2014, ou (ii) en cas de cession, ferme et définitive, de l’intégralité des actifs de la Société, au profit d’un tiers, sur la base d’une valorisation de ses actifs supérieure à 300 millions d’euros.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u w:val="single"/>
          <w:lang w:val="fr-FR"/>
        </w:rPr>
        <w:t>Note (2):</w:t>
      </w:r>
      <w:r w:rsidRPr="00C73365">
        <w:rPr>
          <w:rFonts w:asciiTheme="minorHAnsi" w:hAnsiTheme="minorHAnsi" w:cstheme="minorHAnsi"/>
          <w:lang w:val="fr-FR"/>
        </w:rPr>
        <w:t xml:space="preserve"> Par période mensuelle complète à hauteur d’un nombre X calculé selon la règle suivante : X = 2 750 multiplié par (nombre de mois écoulés à compter du 9 décembre 2014/48). L’exercice accéléré mentionné dans la note (1) s’applique également.</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u w:val="single"/>
          <w:lang w:val="fr-FR"/>
        </w:rPr>
        <w:t>Note (3):</w:t>
      </w:r>
      <w:r w:rsidRPr="00C73365">
        <w:rPr>
          <w:rFonts w:asciiTheme="minorHAnsi" w:hAnsiTheme="minorHAnsi" w:cstheme="minorHAnsi"/>
          <w:lang w:val="fr-FR"/>
        </w:rPr>
        <w:t xml:space="preserve"> 246 BCE-2014-4 sont exerçables à tout moment à compter du 11 mars 2014. 369 BCE-2014-4 sont exerçables par période mensuelle complète à hauteur d’un nombre X calculé selon la règle suivante : X = 369 multiplié par (nombre de mois écoulés à compter de la date de constitution de la Société /48) à compter du premier anniversaire de la constitution de la Société. 369 BCE-2014-4 sont exerçables exclusivement en cas d’atteinte d’objectifs qualitatifs et/ou quantitatifs, tels que fixés par le conseil d’administration du 8 </w:t>
      </w:r>
      <w:r w:rsidR="00E73A7C">
        <w:rPr>
          <w:rFonts w:asciiTheme="minorHAnsi" w:hAnsiTheme="minorHAnsi" w:cstheme="minorHAnsi"/>
          <w:lang w:val="fr-FR"/>
        </w:rPr>
        <w:t>septembre</w:t>
      </w:r>
      <w:r w:rsidRPr="00C73365">
        <w:rPr>
          <w:rFonts w:asciiTheme="minorHAnsi" w:hAnsiTheme="minorHAnsi" w:cstheme="minorHAnsi"/>
          <w:lang w:val="fr-FR"/>
        </w:rPr>
        <w:t xml:space="preserve"> 2014.</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u w:val="single"/>
          <w:lang w:val="fr-FR"/>
        </w:rPr>
        <w:t>Note (4):</w:t>
      </w:r>
      <w:r w:rsidRPr="00C73365">
        <w:rPr>
          <w:rFonts w:asciiTheme="minorHAnsi" w:hAnsiTheme="minorHAnsi" w:cstheme="minorHAnsi"/>
          <w:lang w:val="fr-FR"/>
        </w:rPr>
        <w:t xml:space="preserve"> 197 BCE-2014-6 sont exerçables par période mensuelle complète à hauteur d’un nombre X calculé selon la règle suivante : X = 197 multiplié par (nombre de mois écoulés à compter de la date de constitution de la Société /48) à compter du premier anniversaire de la constitution de la Société. 328 BCE-2014-6 sont exerçables exclusivement en cas d’atteinte d’objectifs qualitatifs et/ou quantitatifs, tels que fixés par le conseil d’administration du 8 </w:t>
      </w:r>
      <w:r w:rsidR="00E73A7C">
        <w:rPr>
          <w:rFonts w:asciiTheme="minorHAnsi" w:hAnsiTheme="minorHAnsi" w:cstheme="minorHAnsi"/>
          <w:lang w:val="fr-FR"/>
        </w:rPr>
        <w:t>septembre</w:t>
      </w:r>
      <w:r w:rsidRPr="00C73365">
        <w:rPr>
          <w:rFonts w:asciiTheme="minorHAnsi" w:hAnsiTheme="minorHAnsi" w:cstheme="minorHAnsi"/>
          <w:lang w:val="fr-FR"/>
        </w:rPr>
        <w:t xml:space="preserve"> 2014 et révisés le 20 novembre 2017.</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u w:val="single"/>
          <w:lang w:val="fr-FR"/>
        </w:rPr>
        <w:t>Note (5):</w:t>
      </w:r>
      <w:r w:rsidRPr="00C73365">
        <w:rPr>
          <w:rFonts w:asciiTheme="minorHAnsi" w:hAnsiTheme="minorHAnsi" w:cstheme="minorHAnsi"/>
          <w:lang w:val="fr-FR"/>
        </w:rPr>
        <w:t xml:space="preserve"> 50 % des BCE-2014-7 attribués à chaque bénéficiaire par période mensuelle complète à hauteur d’un nombre X calculé selon la règle suivante : X = 50% multiplié par (nombre de mois écoulés à compter de la date de constitution de la Société /48), pour la première fois à compter du premier anniversaire de la constitution de la Société. 50% des BCE-2014-7 sont exerçables exclusivement en cas d’atteinte d’objectifs qualitatifs et/ou quantitatifs, tels que fixés par le conseil d’administration du 8 </w:t>
      </w:r>
      <w:r w:rsidR="00E73A7C">
        <w:rPr>
          <w:rFonts w:asciiTheme="minorHAnsi" w:hAnsiTheme="minorHAnsi" w:cstheme="minorHAnsi"/>
          <w:lang w:val="fr-FR"/>
        </w:rPr>
        <w:t>septembre</w:t>
      </w:r>
      <w:r w:rsidRPr="00C73365">
        <w:rPr>
          <w:rFonts w:asciiTheme="minorHAnsi" w:hAnsiTheme="minorHAnsi" w:cstheme="minorHAnsi"/>
          <w:lang w:val="fr-FR"/>
        </w:rPr>
        <w:t xml:space="preserve"> 2014 </w:t>
      </w:r>
    </w:p>
    <w:p w:rsidR="00B740A8" w:rsidRPr="00C73365" w:rsidRDefault="00B740A8" w:rsidP="004572A0">
      <w:pPr>
        <w:pStyle w:val="BodyText"/>
        <w:rPr>
          <w:rFonts w:asciiTheme="minorHAnsi" w:hAnsiTheme="minorHAnsi" w:cstheme="minorHAnsi"/>
          <w:u w:val="single"/>
          <w:lang w:val="fr-FR"/>
        </w:rPr>
      </w:pPr>
      <w:r w:rsidRPr="00C73365">
        <w:rPr>
          <w:rFonts w:asciiTheme="minorHAnsi" w:hAnsiTheme="minorHAnsi" w:cstheme="minorHAnsi"/>
          <w:u w:val="single"/>
          <w:lang w:val="fr-FR"/>
        </w:rPr>
        <w:lastRenderedPageBreak/>
        <w:t xml:space="preserve">Note (6): </w:t>
      </w:r>
    </w:p>
    <w:p w:rsidR="00B740A8" w:rsidRPr="00C93577" w:rsidRDefault="00B740A8" w:rsidP="00434C49">
      <w:pPr>
        <w:pStyle w:val="ListBullet2"/>
        <w:numPr>
          <w:ilvl w:val="0"/>
          <w:numId w:val="53"/>
        </w:numPr>
        <w:rPr>
          <w:rFonts w:asciiTheme="minorHAnsi" w:hAnsiTheme="minorHAnsi" w:cstheme="minorHAnsi"/>
          <w:lang w:val="fr-FR"/>
        </w:rPr>
      </w:pPr>
      <w:r w:rsidRPr="00C93577">
        <w:rPr>
          <w:rFonts w:asciiTheme="minorHAnsi" w:hAnsiTheme="minorHAnsi" w:cstheme="minorHAnsi"/>
          <w:lang w:val="fr-FR"/>
        </w:rPr>
        <w:t>A hauteur de la totalité des BCE-2016-1, au prorata du nombre de mois écoulés à compter du 7 novembre 2016  sur une durée totale de quarante-huit (48) mois, soit un nombre X de BCE-2016-1 calculé selon la règle suivante, étant précisé que le Bénéficiaire ne pourra exercer ses BCE-2016-1 qu’à l’issue d’une durée d’un (1) an à compter de leur attribution :</w:t>
      </w:r>
    </w:p>
    <w:p w:rsidR="00B740A8" w:rsidRPr="00C73365" w:rsidRDefault="00B740A8" w:rsidP="004572A0">
      <w:pPr>
        <w:pStyle w:val="BodyTextFirstIndent2"/>
        <w:rPr>
          <w:rFonts w:asciiTheme="minorHAnsi" w:hAnsiTheme="minorHAnsi" w:cstheme="minorHAnsi"/>
          <w:lang w:val="fr-FR"/>
        </w:rPr>
      </w:pPr>
      <w:r w:rsidRPr="00C73365">
        <w:rPr>
          <w:rFonts w:asciiTheme="minorHAnsi" w:hAnsiTheme="minorHAnsi" w:cstheme="minorHAnsi"/>
          <w:lang w:val="fr-FR"/>
        </w:rPr>
        <w:t>X= 100% des BCE-2016-1 attribués multiplié par (nombre de mois écoulés à compter du 7 novembre 2016/48).</w:t>
      </w:r>
    </w:p>
    <w:p w:rsidR="00B740A8" w:rsidRPr="00C73365" w:rsidRDefault="00B740A8" w:rsidP="004572A0">
      <w:pPr>
        <w:pStyle w:val="BodyText"/>
        <w:rPr>
          <w:rFonts w:asciiTheme="minorHAnsi" w:hAnsiTheme="minorHAnsi" w:cstheme="minorHAnsi"/>
          <w:szCs w:val="18"/>
          <w:u w:val="single"/>
          <w:lang w:val="fr-FR"/>
        </w:rPr>
      </w:pPr>
      <w:r w:rsidRPr="00C73365">
        <w:rPr>
          <w:rFonts w:asciiTheme="minorHAnsi" w:hAnsiTheme="minorHAnsi" w:cstheme="minorHAnsi"/>
          <w:u w:val="single"/>
          <w:lang w:val="fr-FR"/>
        </w:rPr>
        <w:t>Note (</w:t>
      </w:r>
      <w:r w:rsidRPr="00C73365">
        <w:rPr>
          <w:rFonts w:asciiTheme="minorHAnsi" w:hAnsiTheme="minorHAnsi" w:cstheme="minorHAnsi"/>
          <w:szCs w:val="18"/>
          <w:u w:val="single"/>
          <w:lang w:val="fr-FR"/>
        </w:rPr>
        <w:t>7</w:t>
      </w:r>
      <w:r w:rsidRPr="00C73365">
        <w:rPr>
          <w:rFonts w:asciiTheme="minorHAnsi" w:hAnsiTheme="minorHAnsi" w:cstheme="minorHAnsi"/>
          <w:u w:val="single"/>
          <w:lang w:val="fr-FR"/>
        </w:rPr>
        <w:t>)</w:t>
      </w:r>
      <w:r w:rsidRPr="00C73365">
        <w:rPr>
          <w:rFonts w:asciiTheme="minorHAnsi" w:hAnsiTheme="minorHAnsi" w:cstheme="minorHAnsi"/>
          <w:szCs w:val="18"/>
          <w:u w:val="single"/>
          <w:lang w:val="fr-FR"/>
        </w:rPr>
        <w:t xml:space="preserve">: </w:t>
      </w:r>
    </w:p>
    <w:p w:rsidR="00B740A8" w:rsidRPr="00C93577" w:rsidRDefault="00B740A8" w:rsidP="00434C49">
      <w:pPr>
        <w:pStyle w:val="ListBullet2"/>
        <w:numPr>
          <w:ilvl w:val="0"/>
          <w:numId w:val="53"/>
        </w:numPr>
        <w:rPr>
          <w:rFonts w:asciiTheme="minorHAnsi" w:hAnsiTheme="minorHAnsi" w:cstheme="minorHAnsi"/>
          <w:lang w:val="fr-FR"/>
        </w:rPr>
      </w:pPr>
      <w:r w:rsidRPr="00C93577">
        <w:rPr>
          <w:rFonts w:asciiTheme="minorHAnsi" w:hAnsiTheme="minorHAnsi" w:cstheme="minorHAnsi"/>
          <w:lang w:val="fr-FR"/>
        </w:rPr>
        <w:t xml:space="preserve">A hauteur de 33.687 BCE-2017-1, au prorata du nombre de mois écoulés à compter du 23 janvier 2017 sur une durée totale de quarante-huit (48) mois soit un nombre X de BCE-2017-1 calculé selon la règle suivante, étant précisé que le Bénéficiaire ne pourra exercer ses BCE-2017-1 qu’à l’issue d’une durée d’un (1) an à compter de leur attribution : </w:t>
      </w:r>
    </w:p>
    <w:p w:rsidR="00B740A8" w:rsidRPr="00C73365" w:rsidRDefault="00B740A8" w:rsidP="004572A0">
      <w:pPr>
        <w:pStyle w:val="BodyTextFirstIndent2"/>
        <w:rPr>
          <w:rFonts w:asciiTheme="minorHAnsi" w:hAnsiTheme="minorHAnsi" w:cstheme="minorHAnsi"/>
          <w:lang w:val="fr-FR"/>
        </w:rPr>
      </w:pPr>
      <w:r w:rsidRPr="00C73365">
        <w:rPr>
          <w:rFonts w:asciiTheme="minorHAnsi" w:hAnsiTheme="minorHAnsi" w:cstheme="minorHAnsi"/>
          <w:lang w:val="fr-FR"/>
        </w:rPr>
        <w:t>X= 33.687 des BCE-2017-1 attribués multiplié par (nombre de mois écoulés à compter du 23 janvier 2017/48),</w:t>
      </w:r>
    </w:p>
    <w:p w:rsidR="00B45F64" w:rsidRPr="00C93577" w:rsidRDefault="00B740A8" w:rsidP="00434C49">
      <w:pPr>
        <w:pStyle w:val="ListBullet2"/>
        <w:numPr>
          <w:ilvl w:val="0"/>
          <w:numId w:val="53"/>
        </w:numPr>
        <w:rPr>
          <w:rFonts w:asciiTheme="minorHAnsi" w:hAnsiTheme="minorHAnsi" w:cstheme="minorHAnsi"/>
          <w:lang w:val="fr-FR"/>
        </w:rPr>
      </w:pPr>
      <w:r w:rsidRPr="00C93577">
        <w:rPr>
          <w:rFonts w:asciiTheme="minorHAnsi" w:hAnsiTheme="minorHAnsi" w:cstheme="minorHAnsi"/>
          <w:lang w:val="fr-FR"/>
        </w:rPr>
        <w:t xml:space="preserve">A hauteur de 16.844 BCE-2017-1, exclusivement en cas d’atteinte des objectifs qualitatifs pour un financement de 100 </w:t>
      </w:r>
      <w:r w:rsidR="00EF089C" w:rsidRPr="00C93577">
        <w:rPr>
          <w:rFonts w:asciiTheme="minorHAnsi" w:hAnsiTheme="minorHAnsi" w:cstheme="minorHAnsi"/>
          <w:lang w:val="fr-FR"/>
        </w:rPr>
        <w:t>M€</w:t>
      </w:r>
      <w:r w:rsidRPr="00C93577">
        <w:rPr>
          <w:rFonts w:asciiTheme="minorHAnsi" w:hAnsiTheme="minorHAnsi" w:cstheme="minorHAnsi"/>
          <w:lang w:val="fr-FR"/>
        </w:rPr>
        <w:t xml:space="preserve"> selon les modalités suivantes: par voie d</w:t>
      </w:r>
      <w:r w:rsidR="004572A0" w:rsidRPr="00C93577">
        <w:rPr>
          <w:rFonts w:asciiTheme="minorHAnsi" w:hAnsiTheme="minorHAnsi" w:cstheme="minorHAnsi"/>
          <w:lang w:val="fr-FR"/>
        </w:rPr>
        <w:t>’</w:t>
      </w:r>
      <w:r w:rsidRPr="00C93577">
        <w:rPr>
          <w:rFonts w:asciiTheme="minorHAnsi" w:hAnsiTheme="minorHAnsi" w:cstheme="minorHAnsi"/>
          <w:lang w:val="fr-FR"/>
        </w:rPr>
        <w:t>offre publique, placement privé ou ligne financière « Equity line », licences de produits et / ou technologie, subventions publiques (hors RNP Vir) ou prêts -; La moitié de ce montant est allouée si la première enveloppe de 50 M € est réalisée dans un délai de deux ans entre janvier 2017 et décembre 2018, la seconde moitié de ce montant est alloué si la seconde enveloppe de 50</w:t>
      </w:r>
      <w:r w:rsidR="00EF089C" w:rsidRPr="00C93577">
        <w:rPr>
          <w:rFonts w:asciiTheme="minorHAnsi" w:hAnsiTheme="minorHAnsi" w:cstheme="minorHAnsi"/>
          <w:lang w:val="fr-FR"/>
        </w:rPr>
        <w:t>M€</w:t>
      </w:r>
      <w:r w:rsidRPr="00C93577">
        <w:rPr>
          <w:rFonts w:asciiTheme="minorHAnsi" w:hAnsiTheme="minorHAnsi" w:cstheme="minorHAnsi"/>
          <w:lang w:val="fr-FR"/>
        </w:rPr>
        <w:t xml:space="preserve"> est réalisée dans le délai de deux ans entre janvier 2019 et décembre 2020, incluant un report potentiel de plus de 50 M € sur les deux années précédentes,</w:t>
      </w:r>
    </w:p>
    <w:p w:rsidR="00B740A8" w:rsidRPr="007816CF" w:rsidRDefault="00B740A8" w:rsidP="007816CF">
      <w:pPr>
        <w:pStyle w:val="ListBullet2"/>
        <w:numPr>
          <w:ilvl w:val="0"/>
          <w:numId w:val="53"/>
        </w:numPr>
        <w:rPr>
          <w:rFonts w:asciiTheme="minorHAnsi" w:hAnsiTheme="minorHAnsi" w:cstheme="minorHAnsi"/>
          <w:sz w:val="18"/>
          <w:szCs w:val="18"/>
          <w:lang w:val="fr-FR"/>
        </w:rPr>
      </w:pPr>
      <w:r w:rsidRPr="007816CF">
        <w:rPr>
          <w:rFonts w:asciiTheme="minorHAnsi" w:hAnsiTheme="minorHAnsi" w:cstheme="minorHAnsi"/>
          <w:lang w:val="fr-FR"/>
        </w:rPr>
        <w:t>A hauteur de 16.843 BCE-2017-1, exclusivement en cas d’atteinte des objectifs quantitatifs suivants relatif à capitalisation boursière d’</w:t>
      </w:r>
      <w:r w:rsidR="00EF089C" w:rsidRPr="007816CF">
        <w:rPr>
          <w:rFonts w:asciiTheme="minorHAnsi" w:hAnsiTheme="minorHAnsi" w:cstheme="minorHAnsi"/>
          <w:lang w:val="fr-FR"/>
        </w:rPr>
        <w:t>ABIVAX</w:t>
      </w:r>
      <w:r w:rsidRPr="007816CF">
        <w:rPr>
          <w:rFonts w:asciiTheme="minorHAnsi" w:hAnsiTheme="minorHAnsi" w:cstheme="minorHAnsi"/>
          <w:lang w:val="fr-FR"/>
        </w:rPr>
        <w:t>: l’atteinte, pendant trois mois consécutifs, du prix d’introduction en bourse d’</w:t>
      </w:r>
      <w:r w:rsidR="00EF089C" w:rsidRPr="007816CF">
        <w:rPr>
          <w:rFonts w:asciiTheme="minorHAnsi" w:hAnsiTheme="minorHAnsi" w:cstheme="minorHAnsi"/>
          <w:lang w:val="fr-FR"/>
        </w:rPr>
        <w:t>ABIVAX</w:t>
      </w:r>
      <w:r w:rsidRPr="007816CF">
        <w:rPr>
          <w:rFonts w:asciiTheme="minorHAnsi" w:hAnsiTheme="minorHAnsi" w:cstheme="minorHAnsi"/>
          <w:lang w:val="fr-FR"/>
        </w:rPr>
        <w:t xml:space="preserve"> de juin 2015 à savoir 21,30 € par action avant fin juin 2019.</w:t>
      </w:r>
    </w:p>
    <w:p w:rsidR="00B740A8" w:rsidRPr="00C73365" w:rsidRDefault="00B740A8" w:rsidP="004572A0">
      <w:pPr>
        <w:pStyle w:val="BodyText"/>
        <w:rPr>
          <w:rFonts w:asciiTheme="minorHAnsi" w:hAnsiTheme="minorHAnsi" w:cstheme="minorHAnsi"/>
          <w:u w:val="single"/>
          <w:lang w:val="fr-FR"/>
        </w:rPr>
      </w:pPr>
      <w:r w:rsidRPr="00C73365">
        <w:rPr>
          <w:rFonts w:asciiTheme="minorHAnsi" w:hAnsiTheme="minorHAnsi" w:cstheme="minorHAnsi"/>
          <w:u w:val="single"/>
          <w:lang w:val="fr-FR"/>
        </w:rPr>
        <w:t xml:space="preserve">Note (8): </w:t>
      </w:r>
    </w:p>
    <w:p w:rsidR="00B740A8" w:rsidRPr="001D15EF" w:rsidRDefault="00B740A8" w:rsidP="00434C49">
      <w:pPr>
        <w:pStyle w:val="ListParagraph"/>
        <w:numPr>
          <w:ilvl w:val="0"/>
          <w:numId w:val="53"/>
        </w:numPr>
        <w:spacing w:after="0"/>
        <w:ind w:right="-1417"/>
        <w:rPr>
          <w:rFonts w:asciiTheme="minorHAnsi" w:hAnsiTheme="minorHAnsi" w:cstheme="minorHAnsi"/>
          <w:szCs w:val="20"/>
          <w:lang w:val="fr-FR"/>
        </w:rPr>
      </w:pPr>
      <w:r w:rsidRPr="001D15EF">
        <w:rPr>
          <w:rFonts w:asciiTheme="minorHAnsi" w:hAnsiTheme="minorHAnsi" w:cstheme="minorHAnsi"/>
          <w:szCs w:val="20"/>
          <w:lang w:val="fr-FR" w:bidi="fr-FR"/>
        </w:rPr>
        <w:t>A hau</w:t>
      </w:r>
      <w:r w:rsidRPr="001D15EF">
        <w:rPr>
          <w:rFonts w:asciiTheme="minorHAnsi" w:hAnsiTheme="minorHAnsi" w:cstheme="minorHAnsi"/>
          <w:szCs w:val="20"/>
          <w:lang w:val="fr-FR"/>
        </w:rPr>
        <w:t>teur de 75.000 BCE-2017-2 au prorata du nombre de mois écoulés à compter du 20 novembre 2017 sur une durée totale de quarante-huit (48) mois, soit un nombre X de BCE-2017-2 calculé selon la règle suivante :</w:t>
      </w:r>
    </w:p>
    <w:p w:rsidR="00B740A8" w:rsidRPr="001D15EF" w:rsidRDefault="00B740A8" w:rsidP="00B740A8">
      <w:pPr>
        <w:pStyle w:val="ListParagraph"/>
        <w:ind w:left="720" w:right="-1417"/>
        <w:rPr>
          <w:rFonts w:asciiTheme="minorHAnsi" w:hAnsiTheme="minorHAnsi" w:cstheme="minorHAnsi"/>
          <w:szCs w:val="20"/>
          <w:lang w:val="fr-FR"/>
        </w:rPr>
      </w:pPr>
      <w:r w:rsidRPr="001D15EF">
        <w:rPr>
          <w:rFonts w:asciiTheme="minorHAnsi" w:hAnsiTheme="minorHAnsi" w:cstheme="minorHAnsi"/>
          <w:szCs w:val="20"/>
          <w:lang w:val="fr-FR"/>
        </w:rPr>
        <w:t>X=75.000 BCE-2017-2 attribués multiplié par (nombre de mois écoulés à compter du 20 novembre 2017/48),</w:t>
      </w:r>
    </w:p>
    <w:p w:rsidR="00B740A8" w:rsidRPr="001D15EF" w:rsidRDefault="00B740A8" w:rsidP="00B740A8">
      <w:pPr>
        <w:pStyle w:val="ListParagraph"/>
        <w:ind w:left="720" w:right="-1417"/>
        <w:rPr>
          <w:rFonts w:asciiTheme="minorHAnsi" w:hAnsiTheme="minorHAnsi" w:cstheme="minorHAnsi"/>
          <w:szCs w:val="20"/>
          <w:lang w:val="fr-FR"/>
        </w:rPr>
      </w:pPr>
      <w:r w:rsidRPr="001D15EF">
        <w:rPr>
          <w:rFonts w:asciiTheme="minorHAnsi" w:hAnsiTheme="minorHAnsi" w:cstheme="minorHAnsi"/>
          <w:szCs w:val="20"/>
          <w:lang w:val="fr-FR"/>
        </w:rPr>
        <w:t>étant précisé qu’en tout état de cause, le Bénéficiaire ne pourra exercer ces BCE-2017-2 qu’à l’issue d’une durée d’un (1) an à compter de leur attribution,</w:t>
      </w:r>
    </w:p>
    <w:p w:rsidR="00B740A8" w:rsidRPr="001D15EF" w:rsidRDefault="00B740A8" w:rsidP="00434C49">
      <w:pPr>
        <w:pStyle w:val="ListParagraph"/>
        <w:numPr>
          <w:ilvl w:val="0"/>
          <w:numId w:val="53"/>
        </w:numPr>
        <w:spacing w:after="0"/>
        <w:ind w:right="-1417"/>
        <w:rPr>
          <w:rFonts w:asciiTheme="minorHAnsi" w:hAnsiTheme="minorHAnsi" w:cstheme="minorHAnsi"/>
          <w:szCs w:val="20"/>
          <w:lang w:val="fr-FR" w:bidi="fr-FR"/>
        </w:rPr>
      </w:pPr>
      <w:r w:rsidRPr="001D15EF">
        <w:rPr>
          <w:rFonts w:asciiTheme="minorHAnsi" w:hAnsiTheme="minorHAnsi" w:cstheme="minorHAnsi"/>
          <w:szCs w:val="20"/>
          <w:lang w:val="fr-FR" w:bidi="fr-FR"/>
        </w:rPr>
        <w:lastRenderedPageBreak/>
        <w:t xml:space="preserve">A hauteur de 75.000 BCE-2017-2 dans les conditions visées ci-après : </w:t>
      </w:r>
    </w:p>
    <w:p w:rsidR="00B740A8" w:rsidRPr="00C93577" w:rsidRDefault="00B740A8" w:rsidP="00434C49">
      <w:pPr>
        <w:pStyle w:val="ListBullet3"/>
        <w:numPr>
          <w:ilvl w:val="0"/>
          <w:numId w:val="89"/>
        </w:numPr>
        <w:rPr>
          <w:rFonts w:asciiTheme="minorHAnsi" w:hAnsiTheme="minorHAnsi" w:cstheme="minorHAnsi"/>
          <w:lang w:val="fr-FR" w:bidi="fr-FR"/>
        </w:rPr>
      </w:pPr>
      <w:r w:rsidRPr="00C93577">
        <w:rPr>
          <w:rFonts w:asciiTheme="minorHAnsi" w:hAnsiTheme="minorHAnsi" w:cstheme="minorHAnsi"/>
          <w:lang w:val="fr-FR" w:bidi="fr-FR"/>
        </w:rPr>
        <w:t xml:space="preserve">A hauteur de 37.500 BCE-2017-2 en cas de résultats favorables de l’étude de preuve de concept ABX464 pour la </w:t>
      </w:r>
      <w:r w:rsidR="00357A37" w:rsidRPr="00C93577">
        <w:rPr>
          <w:rFonts w:asciiTheme="minorHAnsi" w:hAnsiTheme="minorHAnsi" w:cstheme="minorHAnsi"/>
          <w:lang w:val="fr-FR" w:bidi="fr-FR"/>
        </w:rPr>
        <w:t>rectocolite hémorragique</w:t>
      </w:r>
      <w:r w:rsidRPr="00C93577">
        <w:rPr>
          <w:rFonts w:asciiTheme="minorHAnsi" w:hAnsiTheme="minorHAnsi" w:cstheme="minorHAnsi"/>
          <w:lang w:val="fr-FR" w:bidi="fr-FR"/>
        </w:rPr>
        <w:t xml:space="preserve"> avant le 31 décembre 2018, étant précisé que les résultats seront considérés comme « favorables » en cas de « </w:t>
      </w:r>
      <w:r w:rsidRPr="00C93577">
        <w:rPr>
          <w:rFonts w:asciiTheme="minorHAnsi" w:hAnsiTheme="minorHAnsi" w:cstheme="minorHAnsi"/>
          <w:i/>
          <w:lang w:val="fr-FR" w:bidi="fr-FR"/>
        </w:rPr>
        <w:t>positive safety</w:t>
      </w:r>
      <w:r w:rsidRPr="00C93577">
        <w:rPr>
          <w:rFonts w:asciiTheme="minorHAnsi" w:hAnsiTheme="minorHAnsi" w:cstheme="minorHAnsi"/>
          <w:lang w:val="fr-FR" w:bidi="fr-FR"/>
        </w:rPr>
        <w:t xml:space="preserve"> » (critère principal) et d’efficacité (critère secondaire) afin de permettre de démarrer une étude pivot de phase IIb ou un essai clinique de phase III, avec une IND aux Etats-Unis avant le 31 décembre 2018, </w:t>
      </w:r>
    </w:p>
    <w:p w:rsidR="00B740A8" w:rsidRPr="007816CF" w:rsidRDefault="00B740A8" w:rsidP="007816CF">
      <w:pPr>
        <w:pStyle w:val="ListBullet3"/>
        <w:numPr>
          <w:ilvl w:val="0"/>
          <w:numId w:val="89"/>
        </w:numPr>
        <w:rPr>
          <w:rFonts w:asciiTheme="minorHAnsi" w:hAnsiTheme="minorHAnsi" w:cstheme="minorHAnsi"/>
          <w:sz w:val="18"/>
          <w:szCs w:val="18"/>
          <w:lang w:val="fr-FR"/>
        </w:rPr>
      </w:pPr>
      <w:r w:rsidRPr="00C93577">
        <w:rPr>
          <w:rFonts w:asciiTheme="minorHAnsi" w:hAnsiTheme="minorHAnsi" w:cstheme="minorHAnsi"/>
          <w:lang w:val="fr-FR" w:bidi="fr-FR"/>
        </w:rPr>
        <w:t>A hauteur de 37.500 BCE-2017-2 en cas de FSI (</w:t>
      </w:r>
      <w:r w:rsidRPr="00C93577">
        <w:rPr>
          <w:rFonts w:asciiTheme="minorHAnsi" w:hAnsiTheme="minorHAnsi" w:cstheme="minorHAnsi"/>
          <w:i/>
          <w:lang w:val="fr-FR" w:bidi="fr-FR"/>
        </w:rPr>
        <w:t>First Subject in</w:t>
      </w:r>
      <w:r w:rsidRPr="00C93577">
        <w:rPr>
          <w:rFonts w:asciiTheme="minorHAnsi" w:hAnsiTheme="minorHAnsi" w:cstheme="minorHAnsi"/>
          <w:lang w:val="fr-FR" w:bidi="fr-FR"/>
        </w:rPr>
        <w:t xml:space="preserve">, </w:t>
      </w:r>
      <w:r w:rsidRPr="00C93577">
        <w:rPr>
          <w:rFonts w:asciiTheme="minorHAnsi" w:hAnsiTheme="minorHAnsi" w:cstheme="minorHAnsi"/>
          <w:i/>
          <w:lang w:val="fr-FR" w:bidi="fr-FR"/>
        </w:rPr>
        <w:t>i.e.</w:t>
      </w:r>
      <w:r w:rsidRPr="00C93577">
        <w:rPr>
          <w:rFonts w:asciiTheme="minorHAnsi" w:hAnsiTheme="minorHAnsi" w:cstheme="minorHAnsi"/>
          <w:lang w:val="fr-FR" w:bidi="fr-FR"/>
        </w:rPr>
        <w:t xml:space="preserve"> signature du consentement éclairé du premier patient) pour la phase III de l’étude sur le VIH avant le 31 décembre 2019. </w:t>
      </w:r>
    </w:p>
    <w:p w:rsidR="00B740A8" w:rsidRPr="00C73365" w:rsidRDefault="00B740A8" w:rsidP="004572A0">
      <w:pPr>
        <w:pStyle w:val="BodyText"/>
        <w:rPr>
          <w:rFonts w:asciiTheme="minorHAnsi" w:hAnsiTheme="minorHAnsi" w:cstheme="minorHAnsi"/>
          <w:u w:val="single"/>
          <w:lang w:val="fr-FR"/>
        </w:rPr>
      </w:pPr>
      <w:r w:rsidRPr="00C73365">
        <w:rPr>
          <w:rFonts w:asciiTheme="minorHAnsi" w:hAnsiTheme="minorHAnsi" w:cstheme="minorHAnsi"/>
          <w:u w:val="single"/>
          <w:lang w:val="fr-FR"/>
        </w:rPr>
        <w:t xml:space="preserve">Note (9): </w:t>
      </w:r>
    </w:p>
    <w:p w:rsidR="00B740A8" w:rsidRPr="001D15EF" w:rsidRDefault="00B740A8" w:rsidP="00434C49">
      <w:pPr>
        <w:pStyle w:val="ListParagraph"/>
        <w:numPr>
          <w:ilvl w:val="0"/>
          <w:numId w:val="53"/>
        </w:numPr>
        <w:spacing w:after="0"/>
        <w:ind w:right="-1417"/>
        <w:rPr>
          <w:rFonts w:asciiTheme="minorHAnsi" w:hAnsiTheme="minorHAnsi" w:cstheme="minorHAnsi"/>
          <w:szCs w:val="20"/>
          <w:lang w:val="fr-FR"/>
        </w:rPr>
      </w:pPr>
      <w:r w:rsidRPr="001D15EF">
        <w:rPr>
          <w:rFonts w:asciiTheme="minorHAnsi" w:hAnsiTheme="minorHAnsi" w:cstheme="minorHAnsi"/>
          <w:szCs w:val="20"/>
          <w:lang w:val="fr-FR"/>
        </w:rPr>
        <w:t>A hauteur de 16.844 BCE-2017-3, exerçables à compter du 31 mai 2018,</w:t>
      </w:r>
    </w:p>
    <w:p w:rsidR="00B740A8" w:rsidRPr="001D15EF" w:rsidRDefault="00B740A8" w:rsidP="00434C49">
      <w:pPr>
        <w:pStyle w:val="ListParagraph"/>
        <w:numPr>
          <w:ilvl w:val="0"/>
          <w:numId w:val="53"/>
        </w:numPr>
        <w:spacing w:after="0"/>
        <w:ind w:right="-1417"/>
        <w:rPr>
          <w:rFonts w:asciiTheme="minorHAnsi" w:hAnsiTheme="minorHAnsi" w:cstheme="minorHAnsi"/>
          <w:szCs w:val="20"/>
          <w:lang w:val="fr-FR"/>
        </w:rPr>
      </w:pPr>
      <w:r w:rsidRPr="001D15EF">
        <w:rPr>
          <w:rFonts w:asciiTheme="minorHAnsi" w:hAnsiTheme="minorHAnsi" w:cstheme="minorHAnsi"/>
          <w:szCs w:val="20"/>
          <w:lang w:val="fr-FR"/>
        </w:rPr>
        <w:t>A hauteur de 33.687 BCE-2017-3, exerçables dans les conditions ci-dessous :</w:t>
      </w:r>
    </w:p>
    <w:p w:rsidR="00B740A8" w:rsidRPr="00C93577" w:rsidRDefault="00B740A8" w:rsidP="00434C49">
      <w:pPr>
        <w:pStyle w:val="ListBullet3"/>
        <w:numPr>
          <w:ilvl w:val="0"/>
          <w:numId w:val="53"/>
        </w:numPr>
        <w:rPr>
          <w:rFonts w:asciiTheme="minorHAnsi" w:hAnsiTheme="minorHAnsi" w:cstheme="minorHAnsi"/>
          <w:lang w:val="fr-FR"/>
        </w:rPr>
      </w:pPr>
      <w:r w:rsidRPr="00C93577">
        <w:rPr>
          <w:rFonts w:asciiTheme="minorHAnsi" w:hAnsiTheme="minorHAnsi" w:cstheme="minorHAnsi"/>
          <w:lang w:val="fr-FR"/>
        </w:rPr>
        <w:t xml:space="preserve">A hauteur de 16.844 BCE-2017-3, au prorata du nombre de mois écoulés à compter du 20 novembre 2017 sur une durée totale de vingt-quatre (24) mois, soit un nombre X de BCE-2017-3 calculé selon la règle suivante : </w:t>
      </w:r>
    </w:p>
    <w:p w:rsidR="00B740A8" w:rsidRPr="001D15EF" w:rsidRDefault="00B740A8" w:rsidP="00434C49">
      <w:pPr>
        <w:pStyle w:val="ListParagraph"/>
        <w:numPr>
          <w:ilvl w:val="0"/>
          <w:numId w:val="53"/>
        </w:numPr>
        <w:spacing w:after="0"/>
        <w:ind w:left="1068" w:right="-1417"/>
        <w:rPr>
          <w:rFonts w:asciiTheme="minorHAnsi" w:hAnsiTheme="minorHAnsi" w:cstheme="minorHAnsi"/>
          <w:szCs w:val="20"/>
          <w:lang w:val="fr-FR"/>
        </w:rPr>
      </w:pPr>
      <w:r w:rsidRPr="001D15EF">
        <w:rPr>
          <w:rFonts w:asciiTheme="minorHAnsi" w:hAnsiTheme="minorHAnsi" w:cstheme="minorHAnsi"/>
          <w:szCs w:val="20"/>
          <w:lang w:val="fr-FR"/>
        </w:rPr>
        <w:t>X=16.844 BCE-2017-3 attribués multiplié par (nombre de mois écoulés à compter du 20 novembre 2017/24),</w:t>
      </w:r>
    </w:p>
    <w:p w:rsidR="00B740A8" w:rsidRPr="00C93577" w:rsidRDefault="00B740A8" w:rsidP="00434C49">
      <w:pPr>
        <w:pStyle w:val="ListBullet3"/>
        <w:numPr>
          <w:ilvl w:val="0"/>
          <w:numId w:val="53"/>
        </w:numPr>
        <w:rPr>
          <w:rFonts w:asciiTheme="minorHAnsi" w:hAnsiTheme="minorHAnsi" w:cstheme="minorHAnsi"/>
          <w:lang w:val="fr-FR"/>
        </w:rPr>
      </w:pPr>
      <w:r w:rsidRPr="00C93577">
        <w:rPr>
          <w:rFonts w:asciiTheme="minorHAnsi" w:hAnsiTheme="minorHAnsi" w:cstheme="minorHAnsi"/>
          <w:lang w:val="fr-FR"/>
        </w:rPr>
        <w:t>A hauteur de 16.843 BCE-2017-3, au prorata du nombre de mois écoulés à compter du 20 novembre 2017 sur une durée totale de quarante-huit (48) mois, soit un nombre X de BCE-2017-3 calculé selon la règle suivante :</w:t>
      </w:r>
    </w:p>
    <w:p w:rsidR="00B740A8" w:rsidRPr="001D15EF" w:rsidRDefault="00B740A8" w:rsidP="00B740A8">
      <w:pPr>
        <w:pStyle w:val="ListParagraph"/>
        <w:ind w:left="1068" w:right="-1417"/>
        <w:rPr>
          <w:rFonts w:asciiTheme="minorHAnsi" w:hAnsiTheme="minorHAnsi" w:cstheme="minorHAnsi"/>
          <w:szCs w:val="20"/>
          <w:lang w:val="fr-FR"/>
        </w:rPr>
      </w:pPr>
      <w:r w:rsidRPr="001D15EF">
        <w:rPr>
          <w:rFonts w:asciiTheme="minorHAnsi" w:hAnsiTheme="minorHAnsi" w:cstheme="minorHAnsi"/>
          <w:szCs w:val="20"/>
          <w:lang w:val="fr-FR"/>
        </w:rPr>
        <w:t>X=16.843 BCE-2017-3 attribués multiplié par (nombre de mois écoulés à compter du 20 novembre 2017/48),</w:t>
      </w:r>
    </w:p>
    <w:p w:rsidR="00B740A8" w:rsidRPr="001D15EF" w:rsidRDefault="00B740A8" w:rsidP="00B740A8">
      <w:pPr>
        <w:pStyle w:val="ListParagraph"/>
        <w:ind w:left="1068" w:right="-1417"/>
        <w:rPr>
          <w:rFonts w:asciiTheme="minorHAnsi" w:hAnsiTheme="minorHAnsi" w:cstheme="minorHAnsi"/>
          <w:szCs w:val="20"/>
          <w:lang w:val="fr-FR"/>
        </w:rPr>
      </w:pPr>
      <w:r w:rsidRPr="001D15EF">
        <w:rPr>
          <w:rFonts w:asciiTheme="minorHAnsi" w:hAnsiTheme="minorHAnsi" w:cstheme="minorHAnsi"/>
          <w:szCs w:val="20"/>
          <w:lang w:val="fr-FR"/>
        </w:rPr>
        <w:t>étant précisé que le Bénéficiaire ne pourra exercer ces BCE-2017-3 qu’à l’issue d’une durée d’un (1) an à compter de leur attribution,</w:t>
      </w:r>
    </w:p>
    <w:p w:rsidR="00B740A8" w:rsidRPr="001D15EF" w:rsidRDefault="00B740A8" w:rsidP="00434C49">
      <w:pPr>
        <w:pStyle w:val="ListParagraph"/>
        <w:numPr>
          <w:ilvl w:val="0"/>
          <w:numId w:val="53"/>
        </w:numPr>
        <w:spacing w:after="0"/>
        <w:ind w:right="-1417"/>
        <w:rPr>
          <w:rFonts w:asciiTheme="minorHAnsi" w:hAnsiTheme="minorHAnsi" w:cstheme="minorHAnsi"/>
          <w:szCs w:val="20"/>
          <w:lang w:val="fr-FR"/>
        </w:rPr>
      </w:pPr>
      <w:r w:rsidRPr="001D15EF">
        <w:rPr>
          <w:rFonts w:asciiTheme="minorHAnsi" w:hAnsiTheme="minorHAnsi" w:cstheme="minorHAnsi"/>
          <w:szCs w:val="20"/>
          <w:lang w:val="fr-FR"/>
        </w:rPr>
        <w:t xml:space="preserve">A hauteur de 50.530 BCE-2017-3 dans les conditions visées ci-après : </w:t>
      </w:r>
    </w:p>
    <w:p w:rsidR="00B740A8" w:rsidRPr="00C93577" w:rsidRDefault="00B740A8" w:rsidP="00434C49">
      <w:pPr>
        <w:pStyle w:val="ListBullet3"/>
        <w:numPr>
          <w:ilvl w:val="1"/>
          <w:numId w:val="90"/>
        </w:numPr>
        <w:rPr>
          <w:rFonts w:asciiTheme="minorHAnsi" w:hAnsiTheme="minorHAnsi" w:cstheme="minorHAnsi"/>
          <w:lang w:val="fr-FR"/>
        </w:rPr>
      </w:pPr>
      <w:r w:rsidRPr="00C93577">
        <w:rPr>
          <w:rFonts w:asciiTheme="minorHAnsi" w:hAnsiTheme="minorHAnsi" w:cstheme="minorHAnsi"/>
          <w:lang w:val="fr-FR"/>
        </w:rPr>
        <w:t xml:space="preserve">A hauteur de 25.265 BCE-2017-3 en cas de résultats favorables de l’étude de preuve de concept ABX464 pour la </w:t>
      </w:r>
      <w:r w:rsidR="00357A37" w:rsidRPr="00C93577">
        <w:rPr>
          <w:rFonts w:asciiTheme="minorHAnsi" w:hAnsiTheme="minorHAnsi" w:cstheme="minorHAnsi"/>
          <w:lang w:val="fr-FR"/>
        </w:rPr>
        <w:t>rectocolite hémorragique</w:t>
      </w:r>
      <w:r w:rsidRPr="00C93577">
        <w:rPr>
          <w:rFonts w:asciiTheme="minorHAnsi" w:hAnsiTheme="minorHAnsi" w:cstheme="minorHAnsi"/>
          <w:lang w:val="fr-FR"/>
        </w:rPr>
        <w:t xml:space="preserve"> avant le 31 décembre 2018, étant précisé que les résultats seront considérés comme « favorables » en cas de « </w:t>
      </w:r>
      <w:r w:rsidRPr="00C93577">
        <w:rPr>
          <w:rFonts w:asciiTheme="minorHAnsi" w:hAnsiTheme="minorHAnsi" w:cstheme="minorHAnsi"/>
          <w:i/>
          <w:lang w:val="fr-FR"/>
        </w:rPr>
        <w:t>positive safety</w:t>
      </w:r>
      <w:r w:rsidRPr="00C93577">
        <w:rPr>
          <w:rFonts w:asciiTheme="minorHAnsi" w:hAnsiTheme="minorHAnsi" w:cstheme="minorHAnsi"/>
          <w:lang w:val="fr-FR"/>
        </w:rPr>
        <w:t xml:space="preserve"> » (critère principal) et d’efficacité (critère secondaire) afin de permettre de démarrer une étude pivot de phase IIb ou un essai clinique de phase III, avec une IND aux Etats-Unis avant le 31 décembre 2018, </w:t>
      </w:r>
    </w:p>
    <w:p w:rsidR="004834A9" w:rsidRPr="007816CF" w:rsidRDefault="00B740A8" w:rsidP="007816CF">
      <w:pPr>
        <w:pStyle w:val="ListBullet3"/>
        <w:numPr>
          <w:ilvl w:val="1"/>
          <w:numId w:val="90"/>
        </w:numPr>
        <w:rPr>
          <w:lang w:val="fr-FR"/>
        </w:rPr>
      </w:pPr>
      <w:r w:rsidRPr="00C93577">
        <w:rPr>
          <w:rFonts w:asciiTheme="minorHAnsi" w:hAnsiTheme="minorHAnsi" w:cstheme="minorHAnsi"/>
          <w:lang w:val="fr-FR"/>
        </w:rPr>
        <w:t>A hauteur de 25.265 BCE-2017-3, en cas de FSI (</w:t>
      </w:r>
      <w:r w:rsidRPr="00C93577">
        <w:rPr>
          <w:rFonts w:asciiTheme="minorHAnsi" w:hAnsiTheme="minorHAnsi" w:cstheme="minorHAnsi"/>
          <w:i/>
          <w:lang w:val="fr-FR"/>
        </w:rPr>
        <w:t>First Subject in</w:t>
      </w:r>
      <w:r w:rsidRPr="00C93577">
        <w:rPr>
          <w:rFonts w:asciiTheme="minorHAnsi" w:hAnsiTheme="minorHAnsi" w:cstheme="minorHAnsi"/>
          <w:lang w:val="fr-FR"/>
        </w:rPr>
        <w:t xml:space="preserve">, </w:t>
      </w:r>
      <w:r w:rsidRPr="00C93577">
        <w:rPr>
          <w:rFonts w:asciiTheme="minorHAnsi" w:hAnsiTheme="minorHAnsi" w:cstheme="minorHAnsi"/>
          <w:i/>
          <w:lang w:val="fr-FR"/>
        </w:rPr>
        <w:t>i.e.</w:t>
      </w:r>
      <w:r w:rsidRPr="00C93577">
        <w:rPr>
          <w:rFonts w:asciiTheme="minorHAnsi" w:hAnsiTheme="minorHAnsi" w:cstheme="minorHAnsi"/>
          <w:lang w:val="fr-FR"/>
        </w:rPr>
        <w:t xml:space="preserve"> signature du consentement éclairé du premier patient) pour la phase III de l’étude sur le VIH avant le 31 décembre 2019.</w:t>
      </w:r>
    </w:p>
    <w:p w:rsidR="00B740A8" w:rsidRPr="00C73365" w:rsidRDefault="00B740A8" w:rsidP="004572A0">
      <w:pPr>
        <w:pStyle w:val="BodyText"/>
        <w:rPr>
          <w:rFonts w:asciiTheme="minorHAnsi" w:hAnsiTheme="minorHAnsi" w:cstheme="minorHAnsi"/>
          <w:u w:val="single"/>
          <w:lang w:val="fr-FR"/>
        </w:rPr>
      </w:pPr>
      <w:r w:rsidRPr="00C73365">
        <w:rPr>
          <w:rFonts w:asciiTheme="minorHAnsi" w:hAnsiTheme="minorHAnsi" w:cstheme="minorHAnsi"/>
          <w:u w:val="single"/>
          <w:lang w:val="fr-FR"/>
        </w:rPr>
        <w:t xml:space="preserve">Note (10): </w:t>
      </w:r>
    </w:p>
    <w:p w:rsidR="00B740A8" w:rsidRDefault="00B740A8" w:rsidP="00434C49">
      <w:pPr>
        <w:pStyle w:val="ListParagraph"/>
        <w:widowControl w:val="0"/>
        <w:numPr>
          <w:ilvl w:val="0"/>
          <w:numId w:val="90"/>
        </w:numPr>
        <w:autoSpaceDE w:val="0"/>
        <w:autoSpaceDN w:val="0"/>
        <w:adjustRightInd w:val="0"/>
        <w:spacing w:after="0"/>
        <w:ind w:right="-1417"/>
        <w:rPr>
          <w:rFonts w:asciiTheme="minorHAnsi" w:hAnsiTheme="minorHAnsi" w:cstheme="minorHAnsi"/>
          <w:szCs w:val="20"/>
          <w:lang w:val="fr-FR"/>
        </w:rPr>
      </w:pPr>
      <w:r w:rsidRPr="001D15EF">
        <w:rPr>
          <w:rFonts w:asciiTheme="minorHAnsi" w:hAnsiTheme="minorHAnsi" w:cstheme="minorHAnsi"/>
          <w:szCs w:val="20"/>
          <w:lang w:val="fr-FR"/>
        </w:rPr>
        <w:t>A hauteur de 16.844 BCE-2017-4 exerçables à l’issue d’une durée d’un (1) an à compter de leur attribution, soit à compter du 20 novembre 2018,</w:t>
      </w:r>
    </w:p>
    <w:p w:rsidR="00B45F64" w:rsidRPr="001D15EF" w:rsidRDefault="00B45F64" w:rsidP="007816CF">
      <w:pPr>
        <w:pStyle w:val="ListParagraph"/>
        <w:widowControl w:val="0"/>
        <w:autoSpaceDE w:val="0"/>
        <w:autoSpaceDN w:val="0"/>
        <w:adjustRightInd w:val="0"/>
        <w:spacing w:after="0"/>
        <w:ind w:left="720" w:right="-1417"/>
        <w:rPr>
          <w:rFonts w:asciiTheme="minorHAnsi" w:hAnsiTheme="minorHAnsi" w:cstheme="minorHAnsi"/>
          <w:szCs w:val="20"/>
          <w:lang w:val="fr-FR"/>
        </w:rPr>
      </w:pPr>
    </w:p>
    <w:p w:rsidR="00B740A8" w:rsidRPr="001D15EF" w:rsidRDefault="00B740A8" w:rsidP="007816CF">
      <w:pPr>
        <w:pStyle w:val="ListParagraph"/>
        <w:keepNext/>
        <w:widowControl w:val="0"/>
        <w:numPr>
          <w:ilvl w:val="0"/>
          <w:numId w:val="90"/>
        </w:numPr>
        <w:autoSpaceDE w:val="0"/>
        <w:autoSpaceDN w:val="0"/>
        <w:adjustRightInd w:val="0"/>
        <w:spacing w:after="0"/>
        <w:ind w:left="714" w:right="-1418" w:hanging="357"/>
        <w:rPr>
          <w:rFonts w:asciiTheme="minorHAnsi" w:hAnsiTheme="minorHAnsi" w:cstheme="minorHAnsi"/>
          <w:szCs w:val="20"/>
          <w:lang w:val="fr-FR"/>
        </w:rPr>
      </w:pPr>
      <w:r w:rsidRPr="001D15EF">
        <w:rPr>
          <w:rFonts w:asciiTheme="minorHAnsi" w:hAnsiTheme="minorHAnsi" w:cstheme="minorHAnsi"/>
          <w:szCs w:val="20"/>
          <w:lang w:val="fr-FR"/>
        </w:rPr>
        <w:lastRenderedPageBreak/>
        <w:t>A hauteur de 16.843 BCE-2017-4 au prorata du nombre de mois écoulés à compter du 20 novembre 2017 sur une durée totale de vingt-quatre (24) mois, soit un nombre X de BCE-2017-4 calculé selon la règle suivante :</w:t>
      </w:r>
    </w:p>
    <w:p w:rsidR="00B740A8" w:rsidRPr="001D15EF" w:rsidRDefault="00B740A8" w:rsidP="00B740A8">
      <w:pPr>
        <w:pStyle w:val="ListParagraph"/>
        <w:widowControl w:val="0"/>
        <w:autoSpaceDE w:val="0"/>
        <w:autoSpaceDN w:val="0"/>
        <w:adjustRightInd w:val="0"/>
        <w:ind w:left="720" w:right="-1417"/>
        <w:rPr>
          <w:rFonts w:asciiTheme="minorHAnsi" w:hAnsiTheme="minorHAnsi" w:cstheme="minorHAnsi"/>
          <w:szCs w:val="20"/>
          <w:lang w:val="fr-FR"/>
        </w:rPr>
      </w:pPr>
      <w:r w:rsidRPr="001D15EF">
        <w:rPr>
          <w:rFonts w:asciiTheme="minorHAnsi" w:hAnsiTheme="minorHAnsi" w:cstheme="minorHAnsi"/>
          <w:szCs w:val="20"/>
          <w:lang w:val="fr-FR"/>
        </w:rPr>
        <w:t>X=16.843 BCE-2017-4 attribués multiplié par (nombre de mois écoulés à compter du 20 novembre 2017/24),</w:t>
      </w:r>
    </w:p>
    <w:p w:rsidR="00B740A8" w:rsidRPr="001D15EF" w:rsidRDefault="00B740A8" w:rsidP="00B740A8">
      <w:pPr>
        <w:pStyle w:val="ListParagraph"/>
        <w:widowControl w:val="0"/>
        <w:autoSpaceDE w:val="0"/>
        <w:autoSpaceDN w:val="0"/>
        <w:adjustRightInd w:val="0"/>
        <w:ind w:left="720" w:right="-1417"/>
        <w:rPr>
          <w:rFonts w:asciiTheme="minorHAnsi" w:hAnsiTheme="minorHAnsi" w:cstheme="minorHAnsi"/>
          <w:szCs w:val="20"/>
          <w:lang w:val="fr-FR"/>
        </w:rPr>
      </w:pPr>
      <w:r w:rsidRPr="001D15EF">
        <w:rPr>
          <w:rFonts w:asciiTheme="minorHAnsi" w:hAnsiTheme="minorHAnsi" w:cstheme="minorHAnsi"/>
          <w:szCs w:val="20"/>
          <w:lang w:val="fr-FR"/>
        </w:rPr>
        <w:t>étant précisé que le Bénéficiaire ne pourra exercer ces BCE-2017-4 qu’à l’issue d’une durée d’un (1) an à compter de leur attribution,</w:t>
      </w:r>
    </w:p>
    <w:p w:rsidR="00B740A8" w:rsidRPr="001D15EF" w:rsidRDefault="00B740A8" w:rsidP="00434C49">
      <w:pPr>
        <w:pStyle w:val="ListParagraph"/>
        <w:widowControl w:val="0"/>
        <w:numPr>
          <w:ilvl w:val="0"/>
          <w:numId w:val="91"/>
        </w:numPr>
        <w:autoSpaceDE w:val="0"/>
        <w:autoSpaceDN w:val="0"/>
        <w:adjustRightInd w:val="0"/>
        <w:spacing w:after="0"/>
        <w:ind w:right="-1417"/>
        <w:rPr>
          <w:rFonts w:asciiTheme="minorHAnsi" w:hAnsiTheme="minorHAnsi" w:cstheme="minorHAnsi"/>
          <w:szCs w:val="20"/>
          <w:lang w:val="fr-FR"/>
        </w:rPr>
      </w:pPr>
      <w:r w:rsidRPr="001D15EF">
        <w:rPr>
          <w:rFonts w:asciiTheme="minorHAnsi" w:hAnsiTheme="minorHAnsi" w:cstheme="minorHAnsi"/>
          <w:szCs w:val="20"/>
          <w:lang w:val="fr-FR"/>
        </w:rPr>
        <w:t xml:space="preserve">A hauteur de 33.687 BCE-2017-4 dans les conditions visées ci-après : </w:t>
      </w:r>
    </w:p>
    <w:p w:rsidR="00B740A8" w:rsidRPr="00C93577" w:rsidRDefault="00B740A8" w:rsidP="00434C49">
      <w:pPr>
        <w:pStyle w:val="ListBullet3"/>
        <w:numPr>
          <w:ilvl w:val="1"/>
          <w:numId w:val="92"/>
        </w:numPr>
        <w:rPr>
          <w:rFonts w:asciiTheme="minorHAnsi" w:hAnsiTheme="minorHAnsi" w:cstheme="minorHAnsi"/>
          <w:lang w:val="fr-FR"/>
        </w:rPr>
      </w:pPr>
      <w:r w:rsidRPr="00C93577">
        <w:rPr>
          <w:rFonts w:asciiTheme="minorHAnsi" w:hAnsiTheme="minorHAnsi" w:cstheme="minorHAnsi"/>
          <w:lang w:val="fr-FR"/>
        </w:rPr>
        <w:t>A hauteur de 16.844 BCE-2017-4 en cas de signature d’un accord de licence avec un partenaire de la Société sur l’ABX464, générant une avance de paiement (</w:t>
      </w:r>
      <w:r w:rsidRPr="00C93577">
        <w:rPr>
          <w:rFonts w:asciiTheme="minorHAnsi" w:hAnsiTheme="minorHAnsi" w:cstheme="minorHAnsi"/>
          <w:i/>
          <w:lang w:val="fr-FR"/>
        </w:rPr>
        <w:t>upfront payment</w:t>
      </w:r>
      <w:r w:rsidRPr="00C93577">
        <w:rPr>
          <w:rFonts w:asciiTheme="minorHAnsi" w:hAnsiTheme="minorHAnsi" w:cstheme="minorHAnsi"/>
          <w:lang w:val="fr-FR"/>
        </w:rPr>
        <w:t xml:space="preserve">) d’au moins 40 millions d’euros, avant le 31 décembre 2018, </w:t>
      </w:r>
    </w:p>
    <w:p w:rsidR="00B740A8" w:rsidRPr="007816CF" w:rsidRDefault="00B740A8" w:rsidP="007816CF">
      <w:pPr>
        <w:pStyle w:val="ListBullet3"/>
        <w:numPr>
          <w:ilvl w:val="1"/>
          <w:numId w:val="92"/>
        </w:numPr>
        <w:rPr>
          <w:rFonts w:asciiTheme="minorHAnsi" w:hAnsiTheme="minorHAnsi" w:cstheme="minorHAnsi"/>
          <w:sz w:val="18"/>
          <w:szCs w:val="18"/>
          <w:lang w:val="fr-FR"/>
        </w:rPr>
      </w:pPr>
      <w:r w:rsidRPr="00C93577">
        <w:rPr>
          <w:rFonts w:asciiTheme="minorHAnsi" w:hAnsiTheme="minorHAnsi" w:cstheme="minorHAnsi"/>
          <w:lang w:val="fr-FR"/>
        </w:rPr>
        <w:t>A hauteur de 16.843 BCE-2017-4, en cas de signature d’un accord de licence avec un partenaire de la Société sur l’ABX196, générant une avance de paiement (</w:t>
      </w:r>
      <w:r w:rsidRPr="00C93577">
        <w:rPr>
          <w:rFonts w:asciiTheme="minorHAnsi" w:hAnsiTheme="minorHAnsi" w:cstheme="minorHAnsi"/>
          <w:i/>
          <w:lang w:val="fr-FR"/>
        </w:rPr>
        <w:t>upfront payment</w:t>
      </w:r>
      <w:r w:rsidRPr="00C93577">
        <w:rPr>
          <w:rFonts w:asciiTheme="minorHAnsi" w:hAnsiTheme="minorHAnsi" w:cstheme="minorHAnsi"/>
          <w:lang w:val="fr-FR"/>
        </w:rPr>
        <w:t>) d’au moins 25 millions d’euros, avant le 31 décembre 2019.</w:t>
      </w:r>
    </w:p>
    <w:p w:rsidR="00B740A8" w:rsidRPr="00C73365" w:rsidRDefault="00B740A8" w:rsidP="004572A0">
      <w:pPr>
        <w:pStyle w:val="BodyText"/>
        <w:rPr>
          <w:rFonts w:asciiTheme="minorHAnsi" w:hAnsiTheme="minorHAnsi" w:cstheme="minorHAnsi"/>
          <w:u w:val="single"/>
          <w:lang w:val="fr-FR"/>
        </w:rPr>
      </w:pPr>
      <w:r w:rsidRPr="00C73365">
        <w:rPr>
          <w:rFonts w:asciiTheme="minorHAnsi" w:hAnsiTheme="minorHAnsi" w:cstheme="minorHAnsi"/>
          <w:u w:val="single"/>
          <w:lang w:val="fr-FR"/>
        </w:rPr>
        <w:t xml:space="preserve">Note (11): </w:t>
      </w:r>
    </w:p>
    <w:p w:rsidR="00B740A8" w:rsidRPr="001D15EF" w:rsidRDefault="00B740A8" w:rsidP="00434C49">
      <w:pPr>
        <w:pStyle w:val="ListParagraph"/>
        <w:widowControl w:val="0"/>
        <w:numPr>
          <w:ilvl w:val="0"/>
          <w:numId w:val="92"/>
        </w:numPr>
        <w:autoSpaceDE w:val="0"/>
        <w:autoSpaceDN w:val="0"/>
        <w:adjustRightInd w:val="0"/>
        <w:spacing w:after="0"/>
        <w:ind w:right="-1417"/>
        <w:rPr>
          <w:rFonts w:asciiTheme="minorHAnsi" w:hAnsiTheme="minorHAnsi" w:cstheme="minorHAnsi"/>
          <w:szCs w:val="20"/>
          <w:lang w:val="fr-FR"/>
        </w:rPr>
      </w:pPr>
      <w:r w:rsidRPr="001D15EF">
        <w:rPr>
          <w:rFonts w:asciiTheme="minorHAnsi" w:hAnsiTheme="minorHAnsi" w:cstheme="minorHAnsi"/>
          <w:szCs w:val="20"/>
          <w:lang w:val="fr-FR"/>
        </w:rPr>
        <w:t xml:space="preserve">A hauteur de 8.422 BCE-2017-5 exerçables à compter du 31 mai 2018, </w:t>
      </w:r>
    </w:p>
    <w:p w:rsidR="00B740A8" w:rsidRPr="001D15EF" w:rsidRDefault="00B740A8" w:rsidP="00434C49">
      <w:pPr>
        <w:pStyle w:val="ListParagraph"/>
        <w:widowControl w:val="0"/>
        <w:numPr>
          <w:ilvl w:val="0"/>
          <w:numId w:val="92"/>
        </w:numPr>
        <w:autoSpaceDE w:val="0"/>
        <w:autoSpaceDN w:val="0"/>
        <w:adjustRightInd w:val="0"/>
        <w:spacing w:after="0"/>
        <w:ind w:right="-1417"/>
        <w:rPr>
          <w:rFonts w:asciiTheme="minorHAnsi" w:hAnsiTheme="minorHAnsi" w:cstheme="minorHAnsi"/>
          <w:szCs w:val="20"/>
          <w:lang w:val="fr-FR"/>
        </w:rPr>
      </w:pPr>
      <w:r w:rsidRPr="001D15EF">
        <w:rPr>
          <w:rFonts w:asciiTheme="minorHAnsi" w:hAnsiTheme="minorHAnsi" w:cstheme="minorHAnsi"/>
          <w:szCs w:val="20"/>
          <w:lang w:val="fr-FR"/>
        </w:rPr>
        <w:t>A hauteur de 8.421 BCE-2017-5, au prorata du nombre de mois écoulés à compter du 20 novembre 2017 sur une durée totale de vingt-quatre (24) mois, soit un nombre X de BCE-2017-5 calculé selon la règle suivante :</w:t>
      </w:r>
    </w:p>
    <w:p w:rsidR="00B740A8" w:rsidRPr="001D15EF" w:rsidRDefault="00B740A8" w:rsidP="00B740A8">
      <w:pPr>
        <w:pStyle w:val="ListParagraph"/>
        <w:widowControl w:val="0"/>
        <w:autoSpaceDE w:val="0"/>
        <w:autoSpaceDN w:val="0"/>
        <w:adjustRightInd w:val="0"/>
        <w:ind w:left="720" w:right="-1417"/>
        <w:rPr>
          <w:rFonts w:asciiTheme="minorHAnsi" w:hAnsiTheme="minorHAnsi" w:cstheme="minorHAnsi"/>
          <w:szCs w:val="20"/>
          <w:lang w:val="fr-FR"/>
        </w:rPr>
      </w:pPr>
      <w:r w:rsidRPr="001D15EF">
        <w:rPr>
          <w:rFonts w:asciiTheme="minorHAnsi" w:hAnsiTheme="minorHAnsi" w:cstheme="minorHAnsi"/>
          <w:szCs w:val="20"/>
          <w:lang w:val="fr-FR"/>
        </w:rPr>
        <w:t>X=8.421 BCE-2017-5 attribués multiplié par (nombre de mois écoulés à compter du 20 novembre 2017/24),</w:t>
      </w:r>
    </w:p>
    <w:p w:rsidR="00B740A8" w:rsidRPr="001D15EF" w:rsidRDefault="00B740A8" w:rsidP="00B740A8">
      <w:pPr>
        <w:pStyle w:val="ListParagraph"/>
        <w:widowControl w:val="0"/>
        <w:autoSpaceDE w:val="0"/>
        <w:autoSpaceDN w:val="0"/>
        <w:adjustRightInd w:val="0"/>
        <w:ind w:left="720" w:right="-1417"/>
        <w:rPr>
          <w:rFonts w:asciiTheme="minorHAnsi" w:hAnsiTheme="minorHAnsi" w:cstheme="minorHAnsi"/>
          <w:b/>
          <w:szCs w:val="20"/>
          <w:lang w:val="fr-FR"/>
        </w:rPr>
      </w:pPr>
      <w:r w:rsidRPr="001D15EF">
        <w:rPr>
          <w:rFonts w:asciiTheme="minorHAnsi" w:hAnsiTheme="minorHAnsi" w:cstheme="minorHAnsi"/>
          <w:szCs w:val="20"/>
          <w:lang w:val="fr-FR"/>
        </w:rPr>
        <w:t xml:space="preserve">étant précisé que le Bénéficiaire ne pourra exercer ces BCE-2017-5 qu’à l’issue d’une durée d’un (1) an à compter de leur attribution, </w:t>
      </w:r>
    </w:p>
    <w:p w:rsidR="00B740A8" w:rsidRPr="001D15EF" w:rsidRDefault="00B740A8" w:rsidP="00434C49">
      <w:pPr>
        <w:pStyle w:val="ListParagraph"/>
        <w:widowControl w:val="0"/>
        <w:numPr>
          <w:ilvl w:val="0"/>
          <w:numId w:val="93"/>
        </w:numPr>
        <w:autoSpaceDE w:val="0"/>
        <w:autoSpaceDN w:val="0"/>
        <w:adjustRightInd w:val="0"/>
        <w:spacing w:after="0"/>
        <w:ind w:right="-1417"/>
        <w:rPr>
          <w:rFonts w:asciiTheme="minorHAnsi" w:hAnsiTheme="minorHAnsi" w:cstheme="minorHAnsi"/>
          <w:szCs w:val="20"/>
          <w:lang w:val="fr-FR"/>
        </w:rPr>
      </w:pPr>
      <w:r w:rsidRPr="001D15EF">
        <w:rPr>
          <w:rFonts w:asciiTheme="minorHAnsi" w:hAnsiTheme="minorHAnsi" w:cstheme="minorHAnsi"/>
          <w:szCs w:val="20"/>
          <w:lang w:val="fr-FR"/>
        </w:rPr>
        <w:t xml:space="preserve">A hauteur de 16.844 BCE-2017-5 dans les conditions visées ci-après : </w:t>
      </w:r>
    </w:p>
    <w:p w:rsidR="00B740A8" w:rsidRPr="00C93577" w:rsidRDefault="00B740A8" w:rsidP="00434C49">
      <w:pPr>
        <w:pStyle w:val="ListBullet3"/>
        <w:numPr>
          <w:ilvl w:val="1"/>
          <w:numId w:val="94"/>
        </w:numPr>
        <w:rPr>
          <w:rFonts w:asciiTheme="minorHAnsi" w:hAnsiTheme="minorHAnsi" w:cstheme="minorHAnsi"/>
          <w:lang w:val="fr-FR"/>
        </w:rPr>
      </w:pPr>
      <w:r w:rsidRPr="00C93577">
        <w:rPr>
          <w:rFonts w:asciiTheme="minorHAnsi" w:hAnsiTheme="minorHAnsi" w:cstheme="minorHAnsi"/>
          <w:lang w:val="fr-FR"/>
        </w:rPr>
        <w:t xml:space="preserve">A hauteur de 5.615 BCE-2017-5 en cas de résultats favorables de l’étude de preuve de concept ABX464 pour la </w:t>
      </w:r>
      <w:r w:rsidR="00357A37" w:rsidRPr="00C93577">
        <w:rPr>
          <w:rFonts w:asciiTheme="minorHAnsi" w:hAnsiTheme="minorHAnsi" w:cstheme="minorHAnsi"/>
          <w:lang w:val="fr-FR"/>
        </w:rPr>
        <w:t>rectocolite hémorragique</w:t>
      </w:r>
      <w:r w:rsidRPr="00C93577">
        <w:rPr>
          <w:rFonts w:asciiTheme="minorHAnsi" w:hAnsiTheme="minorHAnsi" w:cstheme="minorHAnsi"/>
          <w:lang w:val="fr-FR"/>
        </w:rPr>
        <w:t xml:space="preserve"> avant le 31 décembre 2018, étant précisé que les résultats seront considérés comme « favorables » en cas de « </w:t>
      </w:r>
      <w:r w:rsidRPr="00C93577">
        <w:rPr>
          <w:rFonts w:asciiTheme="minorHAnsi" w:hAnsiTheme="minorHAnsi" w:cstheme="minorHAnsi"/>
          <w:i/>
          <w:lang w:val="fr-FR"/>
        </w:rPr>
        <w:t>positive safety</w:t>
      </w:r>
      <w:r w:rsidRPr="00C93577">
        <w:rPr>
          <w:rFonts w:asciiTheme="minorHAnsi" w:hAnsiTheme="minorHAnsi" w:cstheme="minorHAnsi"/>
          <w:lang w:val="fr-FR"/>
        </w:rPr>
        <w:t> » (critère principal) et d’efficacité (critère secondaire) afin de permettre de démarrer une étude pivot de phase IIb ou un essai clinique de phase III, avec une IND aux Etats-Unis avant le 31 décembre 2018,</w:t>
      </w:r>
    </w:p>
    <w:p w:rsidR="00B740A8" w:rsidRPr="00C93577" w:rsidRDefault="00B740A8" w:rsidP="00434C49">
      <w:pPr>
        <w:pStyle w:val="ListBullet3"/>
        <w:numPr>
          <w:ilvl w:val="1"/>
          <w:numId w:val="94"/>
        </w:numPr>
        <w:rPr>
          <w:rFonts w:asciiTheme="minorHAnsi" w:hAnsiTheme="minorHAnsi" w:cstheme="minorHAnsi"/>
          <w:lang w:val="fr-FR"/>
        </w:rPr>
      </w:pPr>
      <w:r w:rsidRPr="00C93577">
        <w:rPr>
          <w:rFonts w:asciiTheme="minorHAnsi" w:hAnsiTheme="minorHAnsi" w:cstheme="minorHAnsi"/>
          <w:lang w:val="fr-FR"/>
        </w:rPr>
        <w:t>A hauteur de 5.615 BCE-2017-5 en cas de FSI (</w:t>
      </w:r>
      <w:r w:rsidRPr="00C93577">
        <w:rPr>
          <w:rFonts w:asciiTheme="minorHAnsi" w:hAnsiTheme="minorHAnsi" w:cstheme="minorHAnsi"/>
          <w:i/>
          <w:lang w:val="fr-FR"/>
        </w:rPr>
        <w:t>First Subject in</w:t>
      </w:r>
      <w:r w:rsidRPr="00C93577">
        <w:rPr>
          <w:rFonts w:asciiTheme="minorHAnsi" w:hAnsiTheme="minorHAnsi" w:cstheme="minorHAnsi"/>
          <w:lang w:val="fr-FR"/>
        </w:rPr>
        <w:t xml:space="preserve">, </w:t>
      </w:r>
      <w:r w:rsidRPr="00C93577">
        <w:rPr>
          <w:rFonts w:asciiTheme="minorHAnsi" w:hAnsiTheme="minorHAnsi" w:cstheme="minorHAnsi"/>
          <w:i/>
          <w:lang w:val="fr-FR"/>
        </w:rPr>
        <w:t>i.e.</w:t>
      </w:r>
      <w:r w:rsidRPr="00C93577">
        <w:rPr>
          <w:rFonts w:asciiTheme="minorHAnsi" w:hAnsiTheme="minorHAnsi" w:cstheme="minorHAnsi"/>
          <w:lang w:val="fr-FR"/>
        </w:rPr>
        <w:t xml:space="preserve"> signature du consentement éclairé du premier patient) pour la phase III de l’étude sur le VIH avant le 31 décembre 2019, </w:t>
      </w:r>
    </w:p>
    <w:p w:rsidR="004239E8" w:rsidRPr="007816CF" w:rsidRDefault="00B740A8" w:rsidP="007816CF">
      <w:pPr>
        <w:pStyle w:val="ListBullet3"/>
        <w:numPr>
          <w:ilvl w:val="1"/>
          <w:numId w:val="94"/>
        </w:numPr>
        <w:rPr>
          <w:rFonts w:asciiTheme="minorHAnsi" w:hAnsiTheme="minorHAnsi" w:cstheme="minorHAnsi"/>
          <w:sz w:val="18"/>
          <w:szCs w:val="18"/>
          <w:lang w:val="fr-FR"/>
        </w:rPr>
        <w:sectPr w:rsidR="004239E8" w:rsidRPr="007816CF" w:rsidSect="00D1541A">
          <w:headerReference w:type="even" r:id="rId103"/>
          <w:footerReference w:type="even" r:id="rId104"/>
          <w:pgSz w:w="16840" w:h="11900" w:orient="landscape"/>
          <w:pgMar w:top="1417" w:right="1417" w:bottom="1417" w:left="1417" w:header="720" w:footer="720" w:gutter="0"/>
          <w:cols w:space="720" w:equalWidth="0">
            <w:col w:w="9573"/>
          </w:cols>
          <w:noEndnote/>
          <w:docGrid w:linePitch="299"/>
        </w:sectPr>
      </w:pPr>
      <w:r w:rsidRPr="00C93577">
        <w:rPr>
          <w:rFonts w:asciiTheme="minorHAnsi" w:hAnsiTheme="minorHAnsi" w:cstheme="minorHAnsi"/>
          <w:lang w:val="fr-FR"/>
        </w:rPr>
        <w:t>A hauteur de 5.614 BCE-2017-5 en cas de résultats favorables (« </w:t>
      </w:r>
      <w:r w:rsidRPr="00C93577">
        <w:rPr>
          <w:rFonts w:asciiTheme="minorHAnsi" w:hAnsiTheme="minorHAnsi" w:cstheme="minorHAnsi"/>
          <w:i/>
          <w:lang w:val="fr-FR"/>
        </w:rPr>
        <w:t>positive safety</w:t>
      </w:r>
      <w:r w:rsidRPr="00C93577">
        <w:rPr>
          <w:rFonts w:asciiTheme="minorHAnsi" w:hAnsiTheme="minorHAnsi" w:cstheme="minorHAnsi"/>
          <w:lang w:val="fr-FR"/>
        </w:rPr>
        <w:t> » (critère principal) et efficacité (critère secondaire)) de l’étude de preuve de concept ABX196 au titre d’une IND dans le carcinome hépatocellulaire et en cas de démarrage d’une étude pivot de phase IIb ou d’un essai clinique de phase III (IND, signature du consentement éclairé du premier patient) en 2020.</w:t>
      </w:r>
    </w:p>
    <w:p w:rsidR="00B740A8" w:rsidRPr="00C73365" w:rsidRDefault="00B740A8" w:rsidP="004572A0">
      <w:pPr>
        <w:pStyle w:val="BodyText"/>
        <w:rPr>
          <w:rFonts w:asciiTheme="minorHAnsi" w:hAnsiTheme="minorHAnsi" w:cstheme="minorHAnsi"/>
          <w:b/>
          <w:lang w:val="fr-FR"/>
        </w:rPr>
      </w:pPr>
      <w:r w:rsidRPr="007816CF">
        <w:rPr>
          <w:rFonts w:asciiTheme="minorHAnsi" w:hAnsiTheme="minorHAnsi" w:cstheme="minorHAnsi"/>
          <w:b/>
          <w:lang w:val="fr-FR"/>
        </w:rPr>
        <w:lastRenderedPageBreak/>
        <w:t>Informations sur les bons de souscription (« BSA »)</w:t>
      </w:r>
      <w:r w:rsidRPr="00C73365">
        <w:rPr>
          <w:rFonts w:asciiTheme="minorHAnsi" w:hAnsiTheme="minorHAnsi" w:cstheme="minorHAnsi"/>
          <w:b/>
          <w:lang w:val="fr-FR"/>
        </w:rPr>
        <w:t xml:space="preserve"> </w:t>
      </w:r>
    </w:p>
    <w:tbl>
      <w:tblPr>
        <w:tblW w:w="14229" w:type="dxa"/>
        <w:tblCellMar>
          <w:left w:w="70" w:type="dxa"/>
          <w:right w:w="70" w:type="dxa"/>
        </w:tblCellMar>
        <w:tblLook w:val="04A0" w:firstRow="1" w:lastRow="0" w:firstColumn="1" w:lastColumn="0" w:noHBand="0" w:noVBand="1"/>
      </w:tblPr>
      <w:tblGrid>
        <w:gridCol w:w="1367"/>
        <w:gridCol w:w="182"/>
        <w:gridCol w:w="1019"/>
        <w:gridCol w:w="182"/>
        <w:gridCol w:w="1019"/>
        <w:gridCol w:w="182"/>
        <w:gridCol w:w="1019"/>
        <w:gridCol w:w="182"/>
        <w:gridCol w:w="1019"/>
        <w:gridCol w:w="182"/>
        <w:gridCol w:w="1019"/>
        <w:gridCol w:w="182"/>
        <w:gridCol w:w="1019"/>
        <w:gridCol w:w="182"/>
        <w:gridCol w:w="1019"/>
        <w:gridCol w:w="182"/>
        <w:gridCol w:w="1019"/>
        <w:gridCol w:w="182"/>
        <w:gridCol w:w="1019"/>
        <w:gridCol w:w="15"/>
        <w:gridCol w:w="1004"/>
        <w:gridCol w:w="15"/>
        <w:gridCol w:w="1019"/>
      </w:tblGrid>
      <w:tr w:rsidR="00B740A8" w:rsidRPr="00C73365" w:rsidTr="00D1541A">
        <w:trPr>
          <w:trHeight w:val="1288"/>
        </w:trPr>
        <w:tc>
          <w:tcPr>
            <w:tcW w:w="1367"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Catégorie</w:t>
            </w:r>
          </w:p>
        </w:tc>
        <w:tc>
          <w:tcPr>
            <w:tcW w:w="182"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BSA-2014-1</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BSA-2014-2</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BSA-2014-3</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BSA-2014-4</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BSA-2014-5</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BSA-2014-6</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BSA-2014-7</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bCs/>
                <w:color w:val="000000"/>
                <w:sz w:val="18"/>
                <w:szCs w:val="18"/>
                <w:lang w:val="fr-FR" w:eastAsia="fr-FR"/>
              </w:rPr>
              <w:t>BSA-2015-11- Santé Holdings SRL</w:t>
            </w:r>
          </w:p>
        </w:tc>
        <w:tc>
          <w:tcPr>
            <w:tcW w:w="182"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p>
        </w:tc>
        <w:tc>
          <w:tcPr>
            <w:tcW w:w="101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color w:val="000000"/>
                <w:sz w:val="18"/>
                <w:lang w:val="fr-FR"/>
              </w:rPr>
            </w:pPr>
            <w:r w:rsidRPr="00C73365">
              <w:rPr>
                <w:rFonts w:asciiTheme="minorHAnsi" w:hAnsiTheme="minorHAnsi" w:cstheme="minorHAnsi"/>
                <w:b/>
                <w:color w:val="000000"/>
                <w:sz w:val="18"/>
                <w:lang w:val="fr-FR"/>
              </w:rPr>
              <w:t>BSA-2015-12</w:t>
            </w:r>
          </w:p>
        </w:tc>
        <w:tc>
          <w:tcPr>
            <w:tcW w:w="1019" w:type="dxa"/>
            <w:gridSpan w:val="2"/>
            <w:tcBorders>
              <w:top w:val="single" w:sz="12" w:space="0" w:color="7030A0"/>
              <w:left w:val="nil"/>
              <w:bottom w:val="single" w:sz="8" w:space="0" w:color="7030A0"/>
              <w:right w:val="nil"/>
            </w:tcBorders>
            <w:vAlign w:val="center"/>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BSA-2017-1</w:t>
            </w:r>
          </w:p>
        </w:tc>
        <w:tc>
          <w:tcPr>
            <w:tcW w:w="1019" w:type="dxa"/>
            <w:gridSpan w:val="2"/>
            <w:tcBorders>
              <w:top w:val="single" w:sz="12" w:space="0" w:color="7030A0"/>
              <w:left w:val="nil"/>
              <w:bottom w:val="single" w:sz="8" w:space="0" w:color="7030A0"/>
              <w:right w:val="nil"/>
            </w:tcBorders>
            <w:vAlign w:val="center"/>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BSA-2018-1</w:t>
            </w:r>
          </w:p>
        </w:tc>
      </w:tr>
      <w:tr w:rsidR="00B740A8" w:rsidRPr="00C73365" w:rsidTr="00D1541A">
        <w:trPr>
          <w:trHeight w:val="409"/>
        </w:trPr>
        <w:tc>
          <w:tcPr>
            <w:tcW w:w="1367"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rPr>
                <w:rFonts w:asciiTheme="minorHAnsi" w:hAnsiTheme="minorHAnsi" w:cstheme="minorHAnsi"/>
                <w:sz w:val="18"/>
                <w:lang w:val="fr-FR"/>
              </w:rPr>
            </w:pPr>
            <w:r w:rsidRPr="00C73365">
              <w:rPr>
                <w:rFonts w:asciiTheme="minorHAnsi" w:hAnsiTheme="minorHAnsi" w:cstheme="minorHAnsi"/>
                <w:sz w:val="18"/>
                <w:lang w:val="fr-FR"/>
              </w:rPr>
              <w:t>Date d’assemblée générale</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11/03/2014</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20/02/2015</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single" w:sz="4" w:space="0" w:color="7030A0"/>
              <w:left w:val="nil"/>
              <w:bottom w:val="single" w:sz="4" w:space="0" w:color="7030A0"/>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20/02/2015</w:t>
            </w:r>
          </w:p>
        </w:tc>
        <w:tc>
          <w:tcPr>
            <w:tcW w:w="1019" w:type="dxa"/>
            <w:gridSpan w:val="2"/>
            <w:tcBorders>
              <w:top w:val="single" w:sz="4" w:space="0" w:color="7030A0"/>
              <w:left w:val="nil"/>
              <w:bottom w:val="single" w:sz="4" w:space="0" w:color="7030A0"/>
              <w:right w:val="nil"/>
            </w:tcBorders>
            <w:shd w:val="clear" w:color="000000" w:fill="FFFFFF"/>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23/06/2017</w:t>
            </w:r>
          </w:p>
        </w:tc>
        <w:tc>
          <w:tcPr>
            <w:tcW w:w="1019" w:type="dxa"/>
            <w:gridSpan w:val="2"/>
            <w:tcBorders>
              <w:top w:val="single" w:sz="4" w:space="0" w:color="7030A0"/>
              <w:left w:val="nil"/>
              <w:bottom w:val="single" w:sz="4" w:space="0" w:color="7030A0"/>
              <w:right w:val="nil"/>
            </w:tcBorders>
            <w:shd w:val="clear" w:color="000000" w:fill="FFFFFF"/>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23/06/2017</w:t>
            </w:r>
          </w:p>
        </w:tc>
      </w:tr>
      <w:tr w:rsidR="00B740A8" w:rsidRPr="00C73365" w:rsidTr="00D1541A">
        <w:trPr>
          <w:trHeight w:val="409"/>
        </w:trPr>
        <w:tc>
          <w:tcPr>
            <w:tcW w:w="1367" w:type="dxa"/>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Date du conseil d’administration</w:t>
            </w:r>
          </w:p>
        </w:tc>
        <w:tc>
          <w:tcPr>
            <w:tcW w:w="182" w:type="dxa"/>
            <w:tcBorders>
              <w:top w:val="nil"/>
              <w:left w:val="nil"/>
              <w:bottom w:val="nil"/>
              <w:right w:val="nil"/>
            </w:tcBorders>
            <w:shd w:val="clear" w:color="000000" w:fill="FFFFFF"/>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21/02/2014</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04/12/2015</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lang w:val="fr-FR"/>
              </w:rPr>
            </w:pPr>
            <w:r w:rsidRPr="00C73365">
              <w:rPr>
                <w:rFonts w:asciiTheme="minorHAnsi" w:hAnsiTheme="minorHAnsi" w:cstheme="minorHAnsi"/>
                <w:color w:val="000000"/>
                <w:sz w:val="18"/>
                <w:lang w:val="fr-FR"/>
              </w:rPr>
              <w:t>04/12/2015</w:t>
            </w:r>
          </w:p>
        </w:tc>
        <w:tc>
          <w:tcPr>
            <w:tcW w:w="1019" w:type="dxa"/>
            <w:gridSpan w:val="2"/>
            <w:tcBorders>
              <w:top w:val="nil"/>
              <w:left w:val="nil"/>
              <w:bottom w:val="single" w:sz="4" w:space="0" w:color="7030A0"/>
              <w:right w:val="nil"/>
            </w:tcBorders>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18/09/2017</w:t>
            </w:r>
          </w:p>
        </w:tc>
        <w:tc>
          <w:tcPr>
            <w:tcW w:w="1019" w:type="dxa"/>
            <w:gridSpan w:val="2"/>
            <w:tcBorders>
              <w:top w:val="nil"/>
              <w:left w:val="nil"/>
              <w:bottom w:val="single" w:sz="4" w:space="0" w:color="7030A0"/>
              <w:right w:val="nil"/>
            </w:tcBorders>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22/01/2018</w:t>
            </w:r>
          </w:p>
        </w:tc>
      </w:tr>
      <w:tr w:rsidR="00B740A8" w:rsidRPr="008C1A4A" w:rsidTr="00D1541A">
        <w:trPr>
          <w:trHeight w:val="409"/>
        </w:trPr>
        <w:tc>
          <w:tcPr>
            <w:tcW w:w="1367" w:type="dxa"/>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Date décisions du Directeur Général</w:t>
            </w:r>
          </w:p>
        </w:tc>
        <w:tc>
          <w:tcPr>
            <w:tcW w:w="182" w:type="dxa"/>
            <w:tcBorders>
              <w:top w:val="nil"/>
              <w:left w:val="nil"/>
              <w:bottom w:val="nil"/>
              <w:right w:val="nil"/>
            </w:tcBorders>
            <w:shd w:val="clear" w:color="000000" w:fill="FFFFFF"/>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82"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 </w:t>
            </w: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8C1A4A" w:rsidTr="00D1541A">
        <w:trPr>
          <w:trHeight w:val="464"/>
        </w:trPr>
        <w:tc>
          <w:tcPr>
            <w:tcW w:w="12191" w:type="dxa"/>
            <w:gridSpan w:val="20"/>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7030A0"/>
                <w:sz w:val="18"/>
                <w:lang w:val="fr-FR"/>
              </w:rPr>
              <w:t>Nombre total d’actions pouvant être souscrites ou achetées(</w:t>
            </w:r>
            <w:r w:rsidRPr="00C73365">
              <w:rPr>
                <w:rFonts w:asciiTheme="minorHAnsi" w:hAnsiTheme="minorHAnsi" w:cstheme="minorHAnsi"/>
                <w:color w:val="7030A0"/>
                <w:sz w:val="18"/>
                <w:vertAlign w:val="superscript"/>
                <w:lang w:val="fr-FR"/>
              </w:rPr>
              <w:t>*</w:t>
            </w:r>
            <w:r w:rsidRPr="00C73365">
              <w:rPr>
                <w:rFonts w:asciiTheme="minorHAnsi" w:hAnsiTheme="minorHAnsi" w:cstheme="minorHAnsi"/>
                <w:color w:val="7030A0"/>
                <w:sz w:val="18"/>
                <w:lang w:val="fr-FR"/>
              </w:rPr>
              <w:t>)</w:t>
            </w:r>
            <w:r w:rsidRPr="00C73365">
              <w:rPr>
                <w:rFonts w:asciiTheme="minorHAnsi" w:hAnsiTheme="minorHAnsi" w:cstheme="minorHAnsi"/>
                <w:color w:val="7030A0"/>
                <w:lang w:val="fr-FR"/>
              </w:rPr>
              <w:t>,</w:t>
            </w:r>
            <w:r w:rsidRPr="00C73365">
              <w:rPr>
                <w:rFonts w:asciiTheme="minorHAnsi" w:hAnsiTheme="minorHAnsi" w:cstheme="minorHAnsi"/>
                <w:lang w:val="fr-FR"/>
              </w:rPr>
              <w:t xml:space="preserve"> </w:t>
            </w:r>
            <w:r w:rsidRPr="00C73365">
              <w:rPr>
                <w:rFonts w:asciiTheme="minorHAnsi" w:hAnsiTheme="minorHAnsi" w:cstheme="minorHAnsi"/>
                <w:color w:val="7030A0"/>
                <w:sz w:val="18"/>
                <w:lang w:val="fr-FR"/>
              </w:rPr>
              <w:t>dont le nombre pouvant être souscrites ou achetées par </w:t>
            </w:r>
            <w:r w:rsidR="00872F5A">
              <w:rPr>
                <w:rFonts w:asciiTheme="minorHAnsi" w:hAnsiTheme="minorHAnsi" w:cstheme="minorHAnsi"/>
                <w:color w:val="7030A0"/>
                <w:sz w:val="18"/>
                <w:lang w:val="fr-FR"/>
              </w:rPr>
              <w:t xml:space="preserve"> (1)</w:t>
            </w:r>
            <w:r w:rsidRPr="00C73365">
              <w:rPr>
                <w:rFonts w:asciiTheme="minorHAnsi" w:hAnsiTheme="minorHAnsi" w:cstheme="minorHAnsi"/>
                <w:color w:val="7030A0"/>
                <w:sz w:val="18"/>
                <w:lang w:val="fr-FR"/>
              </w:rPr>
              <w:t>:  </w:t>
            </w:r>
          </w:p>
        </w:tc>
        <w:tc>
          <w:tcPr>
            <w:tcW w:w="1019" w:type="dxa"/>
            <w:gridSpan w:val="2"/>
            <w:tcBorders>
              <w:top w:val="nil"/>
              <w:left w:val="nil"/>
              <w:bottom w:val="single" w:sz="4" w:space="0" w:color="7030A0"/>
              <w:right w:val="nil"/>
            </w:tcBorders>
          </w:tcPr>
          <w:p w:rsidR="00B740A8" w:rsidRPr="00C73365" w:rsidRDefault="00B740A8" w:rsidP="00D1541A">
            <w:pPr>
              <w:rPr>
                <w:rFonts w:asciiTheme="minorHAnsi" w:hAnsiTheme="minorHAnsi" w:cstheme="minorHAnsi"/>
                <w:color w:val="7030A0"/>
                <w:sz w:val="18"/>
                <w:szCs w:val="18"/>
                <w:lang w:val="fr-FR" w:eastAsia="fr-FR"/>
              </w:rPr>
            </w:pPr>
          </w:p>
        </w:tc>
        <w:tc>
          <w:tcPr>
            <w:tcW w:w="1019" w:type="dxa"/>
            <w:tcBorders>
              <w:top w:val="nil"/>
              <w:left w:val="nil"/>
              <w:bottom w:val="single" w:sz="4" w:space="0" w:color="7030A0"/>
              <w:right w:val="nil"/>
            </w:tcBorders>
          </w:tcPr>
          <w:p w:rsidR="00B740A8" w:rsidRPr="00C73365" w:rsidRDefault="00B740A8" w:rsidP="00D1541A">
            <w:pPr>
              <w:rPr>
                <w:rFonts w:asciiTheme="minorHAnsi" w:hAnsiTheme="minorHAnsi" w:cstheme="minorHAnsi"/>
                <w:color w:val="7030A0"/>
                <w:sz w:val="18"/>
                <w:szCs w:val="18"/>
                <w:lang w:val="fr-FR" w:eastAsia="fr-FR"/>
              </w:rPr>
            </w:pPr>
          </w:p>
        </w:tc>
      </w:tr>
      <w:tr w:rsidR="00B740A8" w:rsidRPr="00C73365" w:rsidTr="00D1541A">
        <w:trPr>
          <w:trHeight w:val="409"/>
        </w:trPr>
        <w:tc>
          <w:tcPr>
            <w:tcW w:w="1367" w:type="dxa"/>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Joy Amundson (à titre personnel)</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16</w:t>
            </w:r>
            <w:r w:rsidR="009F5279">
              <w:rPr>
                <w:rFonts w:asciiTheme="minorHAnsi" w:hAnsiTheme="minorHAnsi" w:cstheme="minorHAnsi"/>
                <w:color w:val="000000"/>
                <w:sz w:val="18"/>
                <w:lang w:val="fr-FR"/>
              </w:rPr>
              <w:t xml:space="preserve"> </w:t>
            </w:r>
            <w:r w:rsidRPr="00C73365">
              <w:rPr>
                <w:rFonts w:asciiTheme="minorHAnsi" w:hAnsiTheme="minorHAnsi" w:cstheme="minorHAnsi"/>
                <w:color w:val="000000"/>
                <w:sz w:val="18"/>
                <w:lang w:val="fr-FR"/>
              </w:rPr>
              <w:t>400</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rsidTr="00D1541A">
        <w:trPr>
          <w:trHeight w:val="409"/>
        </w:trPr>
        <w:tc>
          <w:tcPr>
            <w:tcW w:w="1367" w:type="dxa"/>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Claude Bertrand</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18</w:t>
            </w:r>
            <w:r w:rsidR="009F5279">
              <w:rPr>
                <w:rFonts w:asciiTheme="minorHAnsi" w:hAnsiTheme="minorHAnsi" w:cstheme="minorHAnsi"/>
                <w:color w:val="000000"/>
                <w:sz w:val="18"/>
                <w:lang w:val="fr-FR"/>
              </w:rPr>
              <w:t xml:space="preserve"> </w:t>
            </w:r>
            <w:r w:rsidRPr="00C73365">
              <w:rPr>
                <w:rFonts w:asciiTheme="minorHAnsi" w:hAnsiTheme="minorHAnsi" w:cstheme="minorHAnsi"/>
                <w:color w:val="000000"/>
                <w:sz w:val="18"/>
                <w:lang w:val="fr-FR"/>
              </w:rPr>
              <w:t>800</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rsidTr="00D1541A">
        <w:trPr>
          <w:trHeight w:val="409"/>
        </w:trPr>
        <w:tc>
          <w:tcPr>
            <w:tcW w:w="1367" w:type="dxa"/>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Christian Pierret</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16</w:t>
            </w:r>
            <w:r w:rsidR="009F5279">
              <w:rPr>
                <w:rFonts w:asciiTheme="minorHAnsi" w:hAnsiTheme="minorHAnsi" w:cstheme="minorHAnsi"/>
                <w:color w:val="000000"/>
                <w:sz w:val="18"/>
                <w:lang w:val="fr-FR"/>
              </w:rPr>
              <w:t xml:space="preserve"> </w:t>
            </w:r>
            <w:r w:rsidRPr="00C73365">
              <w:rPr>
                <w:rFonts w:asciiTheme="minorHAnsi" w:hAnsiTheme="minorHAnsi" w:cstheme="minorHAnsi"/>
                <w:color w:val="000000"/>
                <w:sz w:val="18"/>
                <w:lang w:val="fr-FR"/>
              </w:rPr>
              <w:t>400</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rsidTr="00D1541A">
        <w:trPr>
          <w:trHeight w:val="409"/>
        </w:trPr>
        <w:tc>
          <w:tcPr>
            <w:tcW w:w="1367" w:type="dxa"/>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lang w:val="fr-FR"/>
              </w:rPr>
              <w:t>Jean-Jacques Bertrand</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16</w:t>
            </w:r>
            <w:r w:rsidR="009F5279">
              <w:rPr>
                <w:rFonts w:asciiTheme="minorHAnsi" w:hAnsiTheme="minorHAnsi" w:cstheme="minorHAnsi"/>
                <w:color w:val="000000"/>
                <w:sz w:val="18"/>
                <w:lang w:val="fr-FR"/>
              </w:rPr>
              <w:t xml:space="preserve"> </w:t>
            </w:r>
            <w:r w:rsidRPr="00C73365">
              <w:rPr>
                <w:rFonts w:asciiTheme="minorHAnsi" w:hAnsiTheme="minorHAnsi" w:cstheme="minorHAnsi"/>
                <w:color w:val="000000"/>
                <w:sz w:val="18"/>
                <w:lang w:val="fr-FR"/>
              </w:rPr>
              <w:t>400</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rsidTr="00D1541A">
        <w:trPr>
          <w:trHeight w:val="409"/>
        </w:trPr>
        <w:tc>
          <w:tcPr>
            <w:tcW w:w="1367" w:type="dxa"/>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Santé</w:t>
            </w:r>
            <w:r w:rsidRPr="00C73365">
              <w:rPr>
                <w:rFonts w:asciiTheme="minorHAnsi" w:hAnsiTheme="minorHAnsi" w:cstheme="minorHAnsi"/>
                <w:color w:val="000000"/>
                <w:sz w:val="18"/>
                <w:lang w:val="fr-FR"/>
              </w:rPr>
              <w:t xml:space="preserve"> Holding SRL</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lang w:val="fr-FR"/>
              </w:rPr>
              <w:t>96</w:t>
            </w:r>
            <w:r w:rsidR="009F5279">
              <w:rPr>
                <w:rFonts w:asciiTheme="minorHAnsi" w:hAnsiTheme="minorHAnsi" w:cstheme="minorHAnsi"/>
                <w:color w:val="000000"/>
                <w:sz w:val="18"/>
                <w:lang w:val="fr-FR"/>
              </w:rPr>
              <w:t xml:space="preserve"> </w:t>
            </w:r>
            <w:r w:rsidRPr="00C73365">
              <w:rPr>
                <w:rFonts w:asciiTheme="minorHAnsi" w:hAnsiTheme="minorHAnsi" w:cstheme="minorHAnsi"/>
                <w:color w:val="000000"/>
                <w:sz w:val="18"/>
                <w:lang w:val="fr-FR"/>
              </w:rPr>
              <w:t>924</w:t>
            </w:r>
          </w:p>
        </w:tc>
        <w:tc>
          <w:tcPr>
            <w:tcW w:w="182" w:type="dxa"/>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32</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800</w:t>
            </w:r>
          </w:p>
        </w:tc>
        <w:tc>
          <w:tcPr>
            <w:tcW w:w="1019" w:type="dxa"/>
            <w:gridSpan w:val="2"/>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rsidTr="00D1541A">
        <w:trPr>
          <w:trHeight w:val="409"/>
        </w:trPr>
        <w:tc>
          <w:tcPr>
            <w:tcW w:w="1367"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Corinna zur Bonsen-Thomas</w:t>
            </w:r>
          </w:p>
        </w:tc>
        <w:tc>
          <w:tcPr>
            <w:tcW w:w="182" w:type="dxa"/>
            <w:tcBorders>
              <w:top w:val="nil"/>
              <w:left w:val="nil"/>
              <w:bottom w:val="nil"/>
              <w:right w:val="nil"/>
            </w:tcBorders>
            <w:shd w:val="clear" w:color="auto" w:fill="auto"/>
            <w:noWrap/>
            <w:vAlign w:val="bottom"/>
          </w:tcPr>
          <w:p w:rsidR="00B740A8" w:rsidRPr="00C73365" w:rsidRDefault="00B740A8" w:rsidP="00D1541A">
            <w:pPr>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single" w:sz="2" w:space="0" w:color="7030A0"/>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16</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400</w:t>
            </w:r>
          </w:p>
        </w:tc>
        <w:tc>
          <w:tcPr>
            <w:tcW w:w="1019" w:type="dxa"/>
            <w:gridSpan w:val="2"/>
            <w:tcBorders>
              <w:top w:val="single" w:sz="2" w:space="0" w:color="7030A0"/>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r>
      <w:tr w:rsidR="00B740A8" w:rsidRPr="00C73365" w:rsidTr="00D1541A">
        <w:trPr>
          <w:trHeight w:val="409"/>
        </w:trPr>
        <w:tc>
          <w:tcPr>
            <w:tcW w:w="1367"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Carol L. Brosgart</w:t>
            </w:r>
          </w:p>
        </w:tc>
        <w:tc>
          <w:tcPr>
            <w:tcW w:w="182" w:type="dxa"/>
            <w:tcBorders>
              <w:top w:val="nil"/>
              <w:left w:val="nil"/>
              <w:bottom w:val="nil"/>
              <w:right w:val="nil"/>
            </w:tcBorders>
            <w:shd w:val="clear" w:color="auto" w:fill="auto"/>
            <w:noWrap/>
            <w:vAlign w:val="bottom"/>
          </w:tcPr>
          <w:p w:rsidR="00B740A8" w:rsidRPr="00C73365" w:rsidRDefault="00B740A8" w:rsidP="00D1541A">
            <w:pPr>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single" w:sz="2" w:space="0" w:color="7030A0"/>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single" w:sz="2" w:space="0" w:color="7030A0"/>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single" w:sz="2" w:space="0" w:color="7030A0"/>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16</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400</w:t>
            </w:r>
          </w:p>
        </w:tc>
      </w:tr>
      <w:tr w:rsidR="00B740A8" w:rsidRPr="00C73365" w:rsidTr="00D1541A">
        <w:trPr>
          <w:trHeight w:val="409"/>
        </w:trPr>
        <w:tc>
          <w:tcPr>
            <w:tcW w:w="1367" w:type="dxa"/>
            <w:tcBorders>
              <w:top w:val="nil"/>
              <w:left w:val="nil"/>
              <w:bottom w:val="single" w:sz="4" w:space="0" w:color="7030A0"/>
              <w:right w:val="nil"/>
            </w:tcBorders>
            <w:shd w:val="clear" w:color="auto" w:fill="auto"/>
            <w:vAlign w:val="center"/>
          </w:tcPr>
          <w:p w:rsidR="00B740A8" w:rsidRPr="00C73365" w:rsidRDefault="00B740A8" w:rsidP="00D1541A">
            <w:pPr>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Autres</w:t>
            </w:r>
          </w:p>
        </w:tc>
        <w:tc>
          <w:tcPr>
            <w:tcW w:w="182" w:type="dxa"/>
            <w:tcBorders>
              <w:top w:val="nil"/>
              <w:left w:val="nil"/>
              <w:bottom w:val="nil"/>
              <w:right w:val="nil"/>
            </w:tcBorders>
            <w:shd w:val="clear" w:color="auto" w:fill="auto"/>
            <w:noWrap/>
            <w:vAlign w:val="bottom"/>
          </w:tcPr>
          <w:p w:rsidR="00B740A8" w:rsidRPr="00C73365" w:rsidRDefault="00B740A8" w:rsidP="00D1541A">
            <w:pPr>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39</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400</w:t>
            </w: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67</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700</w:t>
            </w: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16</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400</w:t>
            </w: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131</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500</w:t>
            </w: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78</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700</w:t>
            </w: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5</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200</w:t>
            </w: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r w:rsidRPr="00C73365">
              <w:rPr>
                <w:rFonts w:asciiTheme="minorHAnsi" w:hAnsiTheme="minorHAnsi" w:cstheme="minorHAnsi"/>
                <w:color w:val="000000"/>
                <w:sz w:val="18"/>
                <w:szCs w:val="18"/>
                <w:lang w:val="fr-FR" w:eastAsia="fr-FR"/>
              </w:rPr>
              <w:t>8</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100</w:t>
            </w: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82" w:type="dxa"/>
            <w:tcBorders>
              <w:top w:val="nil"/>
              <w:left w:val="nil"/>
              <w:bottom w:val="nil"/>
              <w:right w:val="nil"/>
            </w:tcBorders>
            <w:shd w:val="clear" w:color="auto" w:fill="auto"/>
            <w:noWrap/>
            <w:vAlign w:val="bottom"/>
          </w:tcPr>
          <w:p w:rsidR="00B740A8" w:rsidRPr="00C73365" w:rsidRDefault="00B740A8" w:rsidP="00D1541A">
            <w:pPr>
              <w:jc w:val="right"/>
              <w:rPr>
                <w:rFonts w:asciiTheme="minorHAnsi" w:hAnsiTheme="minorHAnsi" w:cstheme="minorHAnsi"/>
                <w:color w:val="000000"/>
                <w:sz w:val="18"/>
                <w:lang w:val="fr-FR"/>
              </w:rPr>
            </w:pPr>
          </w:p>
        </w:tc>
        <w:tc>
          <w:tcPr>
            <w:tcW w:w="1019" w:type="dxa"/>
            <w:tcBorders>
              <w:top w:val="nil"/>
              <w:left w:val="nil"/>
              <w:bottom w:val="single" w:sz="4" w:space="0" w:color="7030A0"/>
              <w:right w:val="nil"/>
            </w:tcBorders>
            <w:shd w:val="clear" w:color="auto" w:fill="auto"/>
            <w:vAlign w:val="center"/>
          </w:tcPr>
          <w:p w:rsidR="00B740A8" w:rsidRPr="00C73365" w:rsidRDefault="00B740A8" w:rsidP="00D1541A">
            <w:pPr>
              <w:jc w:val="right"/>
              <w:rPr>
                <w:rFonts w:asciiTheme="minorHAnsi" w:hAnsiTheme="minorHAnsi" w:cstheme="minorHAnsi"/>
                <w:color w:val="000000"/>
                <w:sz w:val="18"/>
                <w:lang w:val="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019" w:type="dxa"/>
            <w:gridSpan w:val="2"/>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32</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800</w:t>
            </w:r>
          </w:p>
        </w:tc>
      </w:tr>
    </w:tbl>
    <w:p w:rsidR="00872F5A" w:rsidRPr="00C73365" w:rsidRDefault="00B740A8" w:rsidP="00B740A8">
      <w:pPr>
        <w:pStyle w:val="FootnoteText"/>
        <w:rPr>
          <w:rFonts w:asciiTheme="minorHAnsi" w:hAnsiTheme="minorHAnsi" w:cstheme="minorHAnsi"/>
          <w:sz w:val="18"/>
          <w:szCs w:val="18"/>
          <w:lang w:val="fr-FR"/>
        </w:rPr>
        <w:sectPr w:rsidR="00872F5A" w:rsidRPr="00C73365" w:rsidSect="00D1541A">
          <w:pgSz w:w="16840" w:h="11900" w:orient="landscape"/>
          <w:pgMar w:top="1134" w:right="1134" w:bottom="1134" w:left="1134" w:header="720" w:footer="720" w:gutter="0"/>
          <w:cols w:space="720" w:equalWidth="0">
            <w:col w:w="9574"/>
          </w:cols>
          <w:noEndnote/>
          <w:docGrid w:linePitch="299"/>
        </w:sectPr>
      </w:pPr>
      <w:r w:rsidRPr="00C73365">
        <w:rPr>
          <w:rFonts w:asciiTheme="minorHAnsi" w:hAnsiTheme="minorHAnsi" w:cstheme="minorHAnsi"/>
          <w:color w:val="000000" w:themeColor="text1"/>
          <w:sz w:val="18"/>
          <w:szCs w:val="18"/>
          <w:lang w:val="fr-FR"/>
        </w:rPr>
        <w:t>(</w:t>
      </w:r>
      <w:r w:rsidRPr="00C73365">
        <w:rPr>
          <w:rFonts w:asciiTheme="minorHAnsi" w:hAnsiTheme="minorHAnsi" w:cstheme="minorHAnsi"/>
          <w:color w:val="000000" w:themeColor="text1"/>
          <w:sz w:val="18"/>
          <w:szCs w:val="18"/>
          <w:vertAlign w:val="superscript"/>
          <w:lang w:val="fr-FR"/>
        </w:rPr>
        <w:t>*</w:t>
      </w:r>
      <w:r w:rsidRPr="00C73365">
        <w:rPr>
          <w:rFonts w:asciiTheme="minorHAnsi" w:hAnsiTheme="minorHAnsi" w:cstheme="minorHAnsi"/>
          <w:color w:val="000000" w:themeColor="text1"/>
          <w:sz w:val="18"/>
          <w:szCs w:val="18"/>
          <w:lang w:val="fr-FR"/>
        </w:rPr>
        <w:t xml:space="preserve">) </w:t>
      </w:r>
      <w:r w:rsidRPr="00C73365">
        <w:rPr>
          <w:rFonts w:asciiTheme="minorHAnsi" w:hAnsiTheme="minorHAnsi" w:cstheme="minorHAnsi"/>
          <w:sz w:val="18"/>
          <w:szCs w:val="18"/>
          <w:lang w:val="fr-FR"/>
        </w:rPr>
        <w:t>Le nombre d’actions auquel donne droit l’exercice des BSA et BCE a été multiplié par 100 pour tous les BSA et BCE émis antérieurement à la division par 100 du nominal des actions, décidée par l’assemblée générale de la Société en date du 20 février 2015.</w:t>
      </w:r>
    </w:p>
    <w:tbl>
      <w:tblPr>
        <w:tblW w:w="7812" w:type="pct"/>
        <w:tblInd w:w="-426" w:type="dxa"/>
        <w:tblLayout w:type="fixed"/>
        <w:tblCellMar>
          <w:left w:w="70" w:type="dxa"/>
          <w:right w:w="70" w:type="dxa"/>
        </w:tblCellMar>
        <w:tblLook w:val="04A0" w:firstRow="1" w:lastRow="0" w:firstColumn="1" w:lastColumn="0" w:noHBand="0" w:noVBand="1"/>
      </w:tblPr>
      <w:tblGrid>
        <w:gridCol w:w="2862"/>
        <w:gridCol w:w="960"/>
        <w:gridCol w:w="165"/>
        <w:gridCol w:w="960"/>
        <w:gridCol w:w="165"/>
        <w:gridCol w:w="960"/>
        <w:gridCol w:w="168"/>
        <w:gridCol w:w="960"/>
        <w:gridCol w:w="168"/>
        <w:gridCol w:w="960"/>
        <w:gridCol w:w="168"/>
        <w:gridCol w:w="960"/>
        <w:gridCol w:w="168"/>
        <w:gridCol w:w="960"/>
        <w:gridCol w:w="191"/>
        <w:gridCol w:w="168"/>
        <w:gridCol w:w="966"/>
        <w:gridCol w:w="168"/>
        <w:gridCol w:w="972"/>
        <w:gridCol w:w="960"/>
        <w:gridCol w:w="948"/>
      </w:tblGrid>
      <w:tr w:rsidR="004E343B" w:rsidRPr="00C73365" w:rsidTr="001B1320">
        <w:trPr>
          <w:trHeight w:val="454"/>
        </w:trPr>
        <w:tc>
          <w:tcPr>
            <w:tcW w:w="957"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lastRenderedPageBreak/>
              <w:t>Catégorie</w:t>
            </w:r>
          </w:p>
        </w:tc>
        <w:tc>
          <w:tcPr>
            <w:tcW w:w="321"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BSA-2014-1</w:t>
            </w:r>
          </w:p>
        </w:tc>
        <w:tc>
          <w:tcPr>
            <w:tcW w:w="55"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1"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BSA-2014-2</w:t>
            </w:r>
          </w:p>
        </w:tc>
        <w:tc>
          <w:tcPr>
            <w:tcW w:w="55"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1"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BSA-2014-3</w:t>
            </w:r>
          </w:p>
        </w:tc>
        <w:tc>
          <w:tcPr>
            <w:tcW w:w="56"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1"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BSA-2014-4</w:t>
            </w:r>
          </w:p>
        </w:tc>
        <w:tc>
          <w:tcPr>
            <w:tcW w:w="56"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1"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BSA-2014-5</w:t>
            </w:r>
          </w:p>
        </w:tc>
        <w:tc>
          <w:tcPr>
            <w:tcW w:w="56"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1"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BSA-2014-6</w:t>
            </w:r>
          </w:p>
        </w:tc>
        <w:tc>
          <w:tcPr>
            <w:tcW w:w="56"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1"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BSA-2014-7</w:t>
            </w:r>
          </w:p>
        </w:tc>
        <w:tc>
          <w:tcPr>
            <w:tcW w:w="63"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79" w:type="pct"/>
            <w:gridSpan w:val="2"/>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BSA-2015-11- Santé Holding SRL</w:t>
            </w:r>
          </w:p>
        </w:tc>
        <w:tc>
          <w:tcPr>
            <w:tcW w:w="56" w:type="pct"/>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325" w:type="pct"/>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BSA-2015-12</w:t>
            </w:r>
          </w:p>
        </w:tc>
        <w:tc>
          <w:tcPr>
            <w:tcW w:w="321" w:type="pct"/>
            <w:tcBorders>
              <w:top w:val="single" w:sz="12" w:space="0" w:color="7030A0"/>
              <w:left w:val="nil"/>
              <w:bottom w:val="single" w:sz="8" w:space="0" w:color="7030A0"/>
              <w:right w:val="nil"/>
            </w:tcBorders>
            <w:vAlign w:val="center"/>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BSA-2017-1</w:t>
            </w:r>
          </w:p>
        </w:tc>
        <w:tc>
          <w:tcPr>
            <w:tcW w:w="317" w:type="pct"/>
            <w:tcBorders>
              <w:top w:val="single" w:sz="12" w:space="0" w:color="7030A0"/>
              <w:left w:val="nil"/>
              <w:bottom w:val="single" w:sz="8" w:space="0" w:color="7030A0"/>
              <w:right w:val="nil"/>
            </w:tcBorders>
            <w:vAlign w:val="center"/>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BSA-2018-1</w:t>
            </w:r>
          </w:p>
        </w:tc>
      </w:tr>
      <w:tr w:rsidR="004E343B" w:rsidRPr="00C73365" w:rsidTr="001B1320">
        <w:trPr>
          <w:trHeight w:val="1638"/>
        </w:trPr>
        <w:tc>
          <w:tcPr>
            <w:tcW w:w="957" w:type="pct"/>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Point de départ d</w:t>
            </w:r>
            <w:r w:rsidR="004572A0" w:rsidRPr="00C73365">
              <w:rPr>
                <w:rFonts w:asciiTheme="minorHAnsi" w:hAnsiTheme="minorHAnsi" w:cstheme="minorHAnsi"/>
                <w:color w:val="000000"/>
                <w:sz w:val="18"/>
                <w:szCs w:val="18"/>
                <w:lang w:val="fr-FR" w:eastAsia="fr-FR"/>
              </w:rPr>
              <w:t>’</w:t>
            </w:r>
            <w:r w:rsidRPr="00C73365">
              <w:rPr>
                <w:rFonts w:asciiTheme="minorHAnsi" w:hAnsiTheme="minorHAnsi" w:cstheme="minorHAnsi"/>
                <w:color w:val="000000"/>
                <w:sz w:val="18"/>
                <w:szCs w:val="18"/>
                <w:lang w:val="fr-FR" w:eastAsia="fr-FR"/>
              </w:rPr>
              <w:t>exercice des options</w:t>
            </w:r>
          </w:p>
        </w:tc>
        <w:tc>
          <w:tcPr>
            <w:tcW w:w="321"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En fonction de la réalisation de critères </w:t>
            </w:r>
            <w:r w:rsidRPr="00C73365">
              <w:rPr>
                <w:rFonts w:asciiTheme="minorHAnsi" w:hAnsiTheme="minorHAnsi" w:cstheme="minorHAnsi"/>
                <w:color w:val="000000"/>
                <w:sz w:val="16"/>
                <w:szCs w:val="18"/>
                <w:lang w:val="fr-FR" w:eastAsia="fr-FR"/>
              </w:rPr>
              <w:t>(cf. Modalités d’exercice)</w:t>
            </w:r>
          </w:p>
        </w:tc>
        <w:tc>
          <w:tcPr>
            <w:tcW w:w="55"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En fonction de la réalisation de critères </w:t>
            </w:r>
            <w:r w:rsidRPr="00C73365">
              <w:rPr>
                <w:rFonts w:asciiTheme="minorHAnsi" w:hAnsiTheme="minorHAnsi" w:cstheme="minorHAnsi"/>
                <w:color w:val="000000"/>
                <w:sz w:val="16"/>
                <w:szCs w:val="18"/>
                <w:lang w:val="fr-FR" w:eastAsia="fr-FR"/>
              </w:rPr>
              <w:t>(cf. Modalités d’exercice)</w:t>
            </w:r>
          </w:p>
        </w:tc>
        <w:tc>
          <w:tcPr>
            <w:tcW w:w="55"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En fonction de la réalisation de critères </w:t>
            </w:r>
            <w:r w:rsidRPr="00C73365">
              <w:rPr>
                <w:rFonts w:asciiTheme="minorHAnsi" w:hAnsiTheme="minorHAnsi" w:cstheme="minorHAnsi"/>
                <w:color w:val="000000"/>
                <w:sz w:val="16"/>
                <w:szCs w:val="18"/>
                <w:lang w:val="fr-FR" w:eastAsia="fr-FR"/>
              </w:rPr>
              <w:t>(cf. Modalités d’exercice)</w:t>
            </w:r>
          </w:p>
        </w:tc>
        <w:tc>
          <w:tcPr>
            <w:tcW w:w="56"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En fonction de la réalisation de critères </w:t>
            </w:r>
            <w:r w:rsidRPr="00C73365">
              <w:rPr>
                <w:rFonts w:asciiTheme="minorHAnsi" w:hAnsiTheme="minorHAnsi" w:cstheme="minorHAnsi"/>
                <w:color w:val="000000"/>
                <w:sz w:val="16"/>
                <w:szCs w:val="18"/>
                <w:lang w:val="fr-FR" w:eastAsia="fr-FR"/>
              </w:rPr>
              <w:t>(cf. Modalités d’exercice)</w:t>
            </w:r>
          </w:p>
        </w:tc>
        <w:tc>
          <w:tcPr>
            <w:tcW w:w="56"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En fonction de la réalisation de critères </w:t>
            </w:r>
            <w:r w:rsidRPr="00C73365">
              <w:rPr>
                <w:rFonts w:asciiTheme="minorHAnsi" w:hAnsiTheme="minorHAnsi" w:cstheme="minorHAnsi"/>
                <w:color w:val="000000"/>
                <w:sz w:val="16"/>
                <w:szCs w:val="18"/>
                <w:lang w:val="fr-FR" w:eastAsia="fr-FR"/>
              </w:rPr>
              <w:t>(cf. Modalités d’exercice</w:t>
            </w:r>
            <w:r w:rsidRPr="00C73365">
              <w:rPr>
                <w:rFonts w:asciiTheme="minorHAnsi" w:hAnsiTheme="minorHAnsi" w:cstheme="minorHAnsi"/>
                <w:color w:val="000000"/>
                <w:sz w:val="18"/>
                <w:szCs w:val="18"/>
                <w:lang w:val="fr-FR" w:eastAsia="fr-FR"/>
              </w:rPr>
              <w:t>)</w:t>
            </w:r>
          </w:p>
        </w:tc>
        <w:tc>
          <w:tcPr>
            <w:tcW w:w="56"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2014</w:t>
            </w:r>
          </w:p>
        </w:tc>
        <w:tc>
          <w:tcPr>
            <w:tcW w:w="56"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2014</w:t>
            </w:r>
          </w:p>
        </w:tc>
        <w:tc>
          <w:tcPr>
            <w:tcW w:w="63"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10/12/</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2015</w:t>
            </w:r>
          </w:p>
        </w:tc>
        <w:tc>
          <w:tcPr>
            <w:tcW w:w="56"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04/12/</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2016</w:t>
            </w:r>
          </w:p>
        </w:tc>
        <w:tc>
          <w:tcPr>
            <w:tcW w:w="321"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18/09/</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2017</w:t>
            </w:r>
          </w:p>
        </w:tc>
        <w:tc>
          <w:tcPr>
            <w:tcW w:w="317"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22/01/</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2018</w:t>
            </w:r>
          </w:p>
        </w:tc>
      </w:tr>
      <w:tr w:rsidR="004E343B" w:rsidRPr="00C73365" w:rsidTr="001B1320">
        <w:trPr>
          <w:trHeight w:val="3"/>
        </w:trPr>
        <w:tc>
          <w:tcPr>
            <w:tcW w:w="957" w:type="pct"/>
            <w:vMerge w:val="restart"/>
            <w:tcBorders>
              <w:top w:val="nil"/>
              <w:left w:val="nil"/>
              <w:right w:val="nil"/>
            </w:tcBorders>
            <w:shd w:val="clear" w:color="auto" w:fill="auto"/>
            <w:vAlign w:val="center"/>
          </w:tcPr>
          <w:p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Date d</w:t>
            </w:r>
            <w:r w:rsidR="004572A0" w:rsidRPr="00C73365">
              <w:rPr>
                <w:rFonts w:asciiTheme="minorHAnsi" w:hAnsiTheme="minorHAnsi" w:cstheme="minorHAnsi"/>
                <w:color w:val="000000"/>
                <w:sz w:val="18"/>
                <w:szCs w:val="18"/>
                <w:lang w:val="fr-FR" w:eastAsia="fr-FR"/>
              </w:rPr>
              <w:t>’</w:t>
            </w:r>
            <w:r w:rsidRPr="00C73365">
              <w:rPr>
                <w:rFonts w:asciiTheme="minorHAnsi" w:hAnsiTheme="minorHAnsi" w:cstheme="minorHAnsi"/>
                <w:color w:val="000000"/>
                <w:sz w:val="18"/>
                <w:szCs w:val="18"/>
                <w:lang w:val="fr-FR" w:eastAsia="fr-FR"/>
              </w:rPr>
              <w:t>expiration</w:t>
            </w:r>
          </w:p>
        </w:tc>
        <w:tc>
          <w:tcPr>
            <w:tcW w:w="321"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55"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55"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56"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56"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56"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56"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11/03/</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2024 </w:t>
            </w:r>
          </w:p>
        </w:tc>
        <w:tc>
          <w:tcPr>
            <w:tcW w:w="63"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04/12/</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2025  </w:t>
            </w:r>
          </w:p>
        </w:tc>
        <w:tc>
          <w:tcPr>
            <w:tcW w:w="56" w:type="pct"/>
            <w:tcBorders>
              <w:top w:val="nil"/>
              <w:left w:val="nil"/>
              <w:bottom w:val="nil"/>
              <w:right w:val="nil"/>
            </w:tcBorders>
            <w:shd w:val="clear" w:color="auto" w:fill="auto"/>
            <w:noWrap/>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04/12/</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xml:space="preserve">2025  </w:t>
            </w:r>
          </w:p>
        </w:tc>
        <w:tc>
          <w:tcPr>
            <w:tcW w:w="321"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18/09/</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2027</w:t>
            </w:r>
          </w:p>
        </w:tc>
        <w:tc>
          <w:tcPr>
            <w:tcW w:w="317"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22/01/</w:t>
            </w: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2028</w:t>
            </w:r>
          </w:p>
        </w:tc>
      </w:tr>
      <w:tr w:rsidR="00B740A8" w:rsidRPr="008C1A4A" w:rsidTr="007816CF">
        <w:trPr>
          <w:trHeight w:val="3"/>
        </w:trPr>
        <w:tc>
          <w:tcPr>
            <w:tcW w:w="957" w:type="pct"/>
            <w:vMerge/>
            <w:tcBorders>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szCs w:val="18"/>
                <w:lang w:val="fr-FR" w:eastAsia="fr-FR"/>
              </w:rPr>
            </w:pPr>
          </w:p>
        </w:tc>
        <w:tc>
          <w:tcPr>
            <w:tcW w:w="2645" w:type="pct"/>
            <w:gridSpan w:val="14"/>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p>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ou au terme d’un délai de 90 jours suivant la date de cessation de l’activité exercée par le Bénéficiaire au bénéfice de la Société</w:t>
            </w:r>
          </w:p>
        </w:tc>
        <w:tc>
          <w:tcPr>
            <w:tcW w:w="56" w:type="pct"/>
            <w:tcBorders>
              <w:top w:val="nil"/>
              <w:left w:val="nil"/>
              <w:bottom w:val="nil"/>
              <w:right w:val="nil"/>
            </w:tcBorders>
            <w:shd w:val="clear" w:color="auto" w:fill="auto"/>
            <w:noWrap/>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1342" w:type="pct"/>
            <w:gridSpan w:val="5"/>
            <w:tcBorders>
              <w:top w:val="nil"/>
              <w:left w:val="nil"/>
              <w:bottom w:val="single" w:sz="4" w:space="0" w:color="7030A0"/>
              <w:right w:val="nil"/>
            </w:tcBorders>
            <w:shd w:val="clear" w:color="auto" w:fill="auto"/>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ou au terme d’un délai de 90 jours suivant l’expiration du mandat du Bénéficiaire</w:t>
            </w:r>
          </w:p>
        </w:tc>
      </w:tr>
      <w:tr w:rsidR="004E343B" w:rsidRPr="00C73365" w:rsidTr="001B1320">
        <w:trPr>
          <w:trHeight w:val="3"/>
        </w:trPr>
        <w:tc>
          <w:tcPr>
            <w:tcW w:w="957" w:type="pct"/>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Prix de souscription ou d</w:t>
            </w:r>
            <w:r w:rsidR="004572A0" w:rsidRPr="00C73365">
              <w:rPr>
                <w:rFonts w:asciiTheme="minorHAnsi" w:hAnsiTheme="minorHAnsi" w:cstheme="minorHAnsi"/>
                <w:color w:val="000000"/>
                <w:sz w:val="18"/>
                <w:szCs w:val="18"/>
                <w:lang w:val="fr-FR" w:eastAsia="fr-FR"/>
              </w:rPr>
              <w:t>’</w:t>
            </w:r>
            <w:r w:rsidRPr="00C73365">
              <w:rPr>
                <w:rFonts w:asciiTheme="minorHAnsi" w:hAnsiTheme="minorHAnsi" w:cstheme="minorHAnsi"/>
                <w:color w:val="000000"/>
                <w:sz w:val="18"/>
                <w:szCs w:val="18"/>
                <w:lang w:val="fr-FR" w:eastAsia="fr-FR"/>
              </w:rPr>
              <w:t>achat</w:t>
            </w: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w:t>
            </w:r>
          </w:p>
        </w:tc>
        <w:tc>
          <w:tcPr>
            <w:tcW w:w="63"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1,78</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1,78</w:t>
            </w:r>
          </w:p>
        </w:tc>
        <w:tc>
          <w:tcPr>
            <w:tcW w:w="321"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1,29</w:t>
            </w:r>
          </w:p>
        </w:tc>
        <w:tc>
          <w:tcPr>
            <w:tcW w:w="317"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0,90</w:t>
            </w:r>
          </w:p>
        </w:tc>
      </w:tr>
      <w:tr w:rsidR="004E343B" w:rsidRPr="00C73365" w:rsidTr="001B1320">
        <w:trPr>
          <w:trHeight w:val="3"/>
        </w:trPr>
        <w:tc>
          <w:tcPr>
            <w:tcW w:w="957" w:type="pct"/>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Prix d’exercice par action</w:t>
            </w: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63"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17,79</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17,79</w:t>
            </w:r>
          </w:p>
        </w:tc>
        <w:tc>
          <w:tcPr>
            <w:tcW w:w="321"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11,57</w:t>
            </w:r>
          </w:p>
        </w:tc>
        <w:tc>
          <w:tcPr>
            <w:tcW w:w="317"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8,05</w:t>
            </w:r>
          </w:p>
        </w:tc>
      </w:tr>
      <w:tr w:rsidR="004E343B" w:rsidRPr="00C73365" w:rsidTr="001B1320">
        <w:trPr>
          <w:trHeight w:val="3"/>
        </w:trPr>
        <w:tc>
          <w:tcPr>
            <w:tcW w:w="957" w:type="pct"/>
            <w:tcBorders>
              <w:top w:val="nil"/>
              <w:left w:val="nil"/>
              <w:bottom w:val="single" w:sz="4" w:space="0" w:color="7030A0"/>
              <w:right w:val="nil"/>
            </w:tcBorders>
            <w:shd w:val="clear" w:color="auto" w:fill="auto"/>
            <w:vAlign w:val="center"/>
            <w:hideMark/>
          </w:tcPr>
          <w:p w:rsidR="00E036DA" w:rsidRPr="00C73365" w:rsidRDefault="00E036DA" w:rsidP="00E036D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Modalités d’exercice</w:t>
            </w:r>
          </w:p>
        </w:tc>
        <w:tc>
          <w:tcPr>
            <w:tcW w:w="321" w:type="pct"/>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Réalisation d’objectifs</w:t>
            </w:r>
            <w:r w:rsidRPr="00C73365">
              <w:rPr>
                <w:rFonts w:asciiTheme="minorHAnsi" w:hAnsiTheme="minorHAnsi" w:cstheme="minorHAnsi"/>
                <w:i/>
                <w:iCs/>
                <w:color w:val="000000"/>
                <w:sz w:val="18"/>
                <w:szCs w:val="18"/>
                <w:lang w:val="fr-FR" w:eastAsia="fr-FR"/>
              </w:rPr>
              <w:t xml:space="preserve"> </w:t>
            </w:r>
            <w:r w:rsidRPr="00C73365">
              <w:rPr>
                <w:rFonts w:asciiTheme="minorHAnsi" w:hAnsiTheme="minorHAnsi" w:cstheme="minorHAnsi"/>
                <w:i/>
                <w:iCs/>
                <w:color w:val="000000"/>
                <w:sz w:val="18"/>
                <w:szCs w:val="18"/>
                <w:lang w:val="fr-FR" w:eastAsia="fr-FR"/>
              </w:rPr>
              <w:br/>
            </w:r>
          </w:p>
        </w:tc>
        <w:tc>
          <w:tcPr>
            <w:tcW w:w="55" w:type="pct"/>
            <w:tcBorders>
              <w:top w:val="nil"/>
              <w:left w:val="nil"/>
              <w:bottom w:val="nil"/>
              <w:right w:val="nil"/>
            </w:tcBorders>
            <w:shd w:val="clear" w:color="auto" w:fill="auto"/>
            <w:noWrap/>
            <w:vAlign w:val="bottom"/>
            <w:hideMark/>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tcPr>
          <w:p w:rsidR="00E036DA" w:rsidRPr="00C73365" w:rsidRDefault="00E036DA" w:rsidP="00E036DA">
            <w:pPr>
              <w:jc w:val="right"/>
              <w:rPr>
                <w:rFonts w:asciiTheme="minorHAnsi" w:hAnsiTheme="minorHAnsi" w:cstheme="minorHAnsi"/>
                <w:color w:val="000000"/>
                <w:sz w:val="18"/>
                <w:szCs w:val="18"/>
                <w:lang w:val="fr-FR" w:eastAsia="fr-FR"/>
              </w:rPr>
            </w:pPr>
          </w:p>
        </w:tc>
        <w:tc>
          <w:tcPr>
            <w:tcW w:w="55" w:type="pct"/>
            <w:tcBorders>
              <w:top w:val="nil"/>
              <w:left w:val="nil"/>
              <w:bottom w:val="nil"/>
              <w:right w:val="nil"/>
            </w:tcBorders>
            <w:shd w:val="clear" w:color="auto" w:fill="auto"/>
            <w:noWrap/>
            <w:vAlign w:val="bottom"/>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Réalisation d’objectifs</w:t>
            </w:r>
            <w:r w:rsidRPr="00C73365">
              <w:rPr>
                <w:rFonts w:asciiTheme="minorHAnsi" w:hAnsiTheme="minorHAnsi" w:cstheme="minorHAnsi"/>
                <w:i/>
                <w:iCs/>
                <w:color w:val="000000"/>
                <w:sz w:val="18"/>
                <w:szCs w:val="18"/>
                <w:lang w:val="fr-FR" w:eastAsia="fr-FR"/>
              </w:rPr>
              <w:t xml:space="preserve"> </w:t>
            </w:r>
            <w:r w:rsidRPr="00C73365">
              <w:rPr>
                <w:rFonts w:asciiTheme="minorHAnsi" w:hAnsiTheme="minorHAnsi" w:cstheme="minorHAnsi"/>
                <w:i/>
                <w:iCs/>
                <w:color w:val="000000"/>
                <w:sz w:val="18"/>
                <w:szCs w:val="18"/>
                <w:lang w:val="fr-FR" w:eastAsia="fr-FR"/>
              </w:rPr>
              <w:br/>
            </w:r>
            <w:r w:rsidRPr="00C73365">
              <w:rPr>
                <w:rFonts w:asciiTheme="minorHAnsi" w:hAnsiTheme="minorHAnsi" w:cstheme="minorHAnsi"/>
                <w:color w:val="7030A0"/>
                <w:sz w:val="18"/>
                <w:szCs w:val="18"/>
                <w:lang w:val="fr-FR" w:eastAsia="fr-FR"/>
              </w:rPr>
              <w:t>Note (13)</w:t>
            </w:r>
          </w:p>
        </w:tc>
        <w:tc>
          <w:tcPr>
            <w:tcW w:w="56" w:type="pct"/>
            <w:tcBorders>
              <w:top w:val="nil"/>
              <w:left w:val="nil"/>
              <w:bottom w:val="nil"/>
              <w:right w:val="nil"/>
            </w:tcBorders>
            <w:shd w:val="clear" w:color="auto" w:fill="auto"/>
            <w:noWrap/>
            <w:vAlign w:val="bottom"/>
            <w:hideMark/>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Réalisation d’objectifs</w:t>
            </w:r>
            <w:r w:rsidRPr="00C73365">
              <w:rPr>
                <w:rFonts w:asciiTheme="minorHAnsi" w:hAnsiTheme="minorHAnsi" w:cstheme="minorHAnsi"/>
                <w:i/>
                <w:iCs/>
                <w:color w:val="000000"/>
                <w:sz w:val="18"/>
                <w:szCs w:val="18"/>
                <w:lang w:val="fr-FR" w:eastAsia="fr-FR"/>
              </w:rPr>
              <w:t xml:space="preserve"> </w:t>
            </w:r>
            <w:r w:rsidRPr="00C73365">
              <w:rPr>
                <w:rFonts w:asciiTheme="minorHAnsi" w:hAnsiTheme="minorHAnsi" w:cstheme="minorHAnsi"/>
                <w:i/>
                <w:iCs/>
                <w:color w:val="000000"/>
                <w:sz w:val="18"/>
                <w:szCs w:val="18"/>
                <w:lang w:val="fr-FR" w:eastAsia="fr-FR"/>
              </w:rPr>
              <w:br/>
            </w:r>
            <w:r w:rsidRPr="00C73365">
              <w:rPr>
                <w:rFonts w:asciiTheme="minorHAnsi" w:hAnsiTheme="minorHAnsi" w:cstheme="minorHAnsi"/>
                <w:color w:val="7030A0"/>
                <w:sz w:val="18"/>
                <w:szCs w:val="18"/>
                <w:lang w:val="fr-FR" w:eastAsia="fr-FR"/>
              </w:rPr>
              <w:t>Note (14)</w:t>
            </w:r>
          </w:p>
        </w:tc>
        <w:tc>
          <w:tcPr>
            <w:tcW w:w="56" w:type="pct"/>
            <w:tcBorders>
              <w:top w:val="nil"/>
              <w:left w:val="nil"/>
              <w:bottom w:val="nil"/>
              <w:right w:val="nil"/>
            </w:tcBorders>
            <w:shd w:val="clear" w:color="auto" w:fill="auto"/>
            <w:noWrap/>
            <w:vAlign w:val="bottom"/>
            <w:hideMark/>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Réalisation d’objectifs</w:t>
            </w:r>
            <w:r w:rsidRPr="00C73365">
              <w:rPr>
                <w:rFonts w:asciiTheme="minorHAnsi" w:hAnsiTheme="minorHAnsi" w:cstheme="minorHAnsi"/>
                <w:i/>
                <w:iCs/>
                <w:color w:val="000000"/>
                <w:sz w:val="18"/>
                <w:szCs w:val="18"/>
                <w:lang w:val="fr-FR" w:eastAsia="fr-FR"/>
              </w:rPr>
              <w:t xml:space="preserve"> </w:t>
            </w:r>
            <w:r w:rsidRPr="00C73365">
              <w:rPr>
                <w:rFonts w:asciiTheme="minorHAnsi" w:hAnsiTheme="minorHAnsi" w:cstheme="minorHAnsi"/>
                <w:i/>
                <w:iCs/>
                <w:color w:val="000000"/>
                <w:sz w:val="18"/>
                <w:szCs w:val="18"/>
                <w:lang w:val="fr-FR" w:eastAsia="fr-FR"/>
              </w:rPr>
              <w:br/>
            </w:r>
            <w:r w:rsidRPr="00C73365">
              <w:rPr>
                <w:rFonts w:asciiTheme="minorHAnsi" w:hAnsiTheme="minorHAnsi" w:cstheme="minorHAnsi"/>
                <w:color w:val="7030A0"/>
                <w:sz w:val="18"/>
                <w:szCs w:val="18"/>
                <w:lang w:val="fr-FR" w:eastAsia="fr-FR"/>
              </w:rPr>
              <w:t>Note (15)</w:t>
            </w:r>
          </w:p>
        </w:tc>
        <w:tc>
          <w:tcPr>
            <w:tcW w:w="56" w:type="pct"/>
            <w:tcBorders>
              <w:top w:val="nil"/>
              <w:left w:val="nil"/>
              <w:bottom w:val="nil"/>
              <w:right w:val="nil"/>
            </w:tcBorders>
            <w:shd w:val="clear" w:color="auto" w:fill="auto"/>
            <w:noWrap/>
            <w:vAlign w:val="bottom"/>
            <w:hideMark/>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w:t>
            </w:r>
          </w:p>
        </w:tc>
        <w:tc>
          <w:tcPr>
            <w:tcW w:w="56" w:type="pct"/>
            <w:tcBorders>
              <w:top w:val="nil"/>
              <w:left w:val="nil"/>
              <w:bottom w:val="nil"/>
              <w:right w:val="nil"/>
            </w:tcBorders>
            <w:shd w:val="clear" w:color="auto" w:fill="auto"/>
            <w:noWrap/>
            <w:vAlign w:val="bottom"/>
            <w:hideMark/>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 </w:t>
            </w:r>
          </w:p>
        </w:tc>
        <w:tc>
          <w:tcPr>
            <w:tcW w:w="63" w:type="pct"/>
            <w:tcBorders>
              <w:top w:val="nil"/>
              <w:left w:val="nil"/>
              <w:bottom w:val="nil"/>
              <w:right w:val="nil"/>
            </w:tcBorders>
            <w:shd w:val="clear" w:color="auto" w:fill="auto"/>
            <w:noWrap/>
            <w:vAlign w:val="bottom"/>
            <w:hideMark/>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Réalisation d’objectifs</w:t>
            </w:r>
            <w:r w:rsidRPr="00C73365">
              <w:rPr>
                <w:rFonts w:asciiTheme="minorHAnsi" w:hAnsiTheme="minorHAnsi" w:cstheme="minorHAnsi"/>
                <w:i/>
                <w:iCs/>
                <w:color w:val="000000"/>
                <w:sz w:val="18"/>
                <w:szCs w:val="18"/>
                <w:lang w:val="fr-FR" w:eastAsia="fr-FR"/>
              </w:rPr>
              <w:t xml:space="preserve"> </w:t>
            </w:r>
            <w:r w:rsidRPr="00C73365">
              <w:rPr>
                <w:rFonts w:asciiTheme="minorHAnsi" w:hAnsiTheme="minorHAnsi" w:cstheme="minorHAnsi"/>
                <w:i/>
                <w:iCs/>
                <w:color w:val="000000"/>
                <w:sz w:val="18"/>
                <w:szCs w:val="18"/>
                <w:lang w:val="fr-FR" w:eastAsia="fr-FR"/>
              </w:rPr>
              <w:br/>
            </w:r>
            <w:r w:rsidRPr="00C73365">
              <w:rPr>
                <w:rFonts w:asciiTheme="minorHAnsi" w:hAnsiTheme="minorHAnsi" w:cstheme="minorHAnsi"/>
                <w:color w:val="7030A0"/>
                <w:sz w:val="18"/>
                <w:szCs w:val="18"/>
                <w:lang w:val="fr-FR" w:eastAsia="fr-FR"/>
              </w:rPr>
              <w:t>Note (16)</w:t>
            </w:r>
          </w:p>
        </w:tc>
        <w:tc>
          <w:tcPr>
            <w:tcW w:w="56" w:type="pct"/>
            <w:tcBorders>
              <w:top w:val="nil"/>
              <w:left w:val="nil"/>
              <w:bottom w:val="nil"/>
              <w:right w:val="nil"/>
            </w:tcBorders>
            <w:shd w:val="clear" w:color="auto" w:fill="auto"/>
            <w:noWrap/>
            <w:vAlign w:val="bottom"/>
            <w:hideMark/>
          </w:tcPr>
          <w:p w:rsidR="00E036DA" w:rsidRPr="00C73365" w:rsidRDefault="00E036DA" w:rsidP="00E036DA">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vAlign w:val="center"/>
            <w:hideMark/>
          </w:tcPr>
          <w:p w:rsidR="00E036DA" w:rsidRPr="00C73365" w:rsidRDefault="00E036DA" w:rsidP="00E036D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Réalisation d’objectifs</w:t>
            </w:r>
            <w:r w:rsidRPr="00C73365">
              <w:rPr>
                <w:rFonts w:asciiTheme="minorHAnsi" w:hAnsiTheme="minorHAnsi" w:cstheme="minorHAnsi"/>
                <w:i/>
                <w:iCs/>
                <w:color w:val="000000"/>
                <w:sz w:val="18"/>
                <w:szCs w:val="18"/>
                <w:lang w:val="fr-FR" w:eastAsia="fr-FR"/>
              </w:rPr>
              <w:t xml:space="preserve"> </w:t>
            </w:r>
            <w:r w:rsidRPr="00C73365">
              <w:rPr>
                <w:rFonts w:asciiTheme="minorHAnsi" w:hAnsiTheme="minorHAnsi" w:cstheme="minorHAnsi"/>
                <w:i/>
                <w:iCs/>
                <w:color w:val="000000"/>
                <w:sz w:val="18"/>
                <w:szCs w:val="18"/>
                <w:lang w:val="fr-FR" w:eastAsia="fr-FR"/>
              </w:rPr>
              <w:br/>
            </w:r>
            <w:r w:rsidRPr="00C73365">
              <w:rPr>
                <w:rFonts w:asciiTheme="minorHAnsi" w:hAnsiTheme="minorHAnsi" w:cstheme="minorHAnsi"/>
                <w:color w:val="7030A0"/>
                <w:sz w:val="18"/>
                <w:szCs w:val="18"/>
                <w:lang w:val="fr-FR" w:eastAsia="fr-FR"/>
              </w:rPr>
              <w:t>Note (17)</w:t>
            </w:r>
          </w:p>
        </w:tc>
        <w:tc>
          <w:tcPr>
            <w:tcW w:w="321" w:type="pct"/>
            <w:tcBorders>
              <w:top w:val="nil"/>
              <w:left w:val="nil"/>
              <w:bottom w:val="single" w:sz="4" w:space="0" w:color="7030A0"/>
              <w:right w:val="nil"/>
            </w:tcBorders>
          </w:tcPr>
          <w:p w:rsidR="00E036DA" w:rsidRPr="00C73365" w:rsidRDefault="00E036DA" w:rsidP="00E036DA">
            <w:pPr>
              <w:jc w:val="right"/>
              <w:rPr>
                <w:rFonts w:asciiTheme="minorHAnsi" w:hAnsiTheme="minorHAnsi" w:cstheme="minorHAnsi"/>
                <w:color w:val="000000"/>
                <w:sz w:val="18"/>
                <w:szCs w:val="18"/>
                <w:lang w:val="fr-FR" w:eastAsia="fr-FR"/>
              </w:rPr>
            </w:pPr>
            <w:r>
              <w:rPr>
                <w:rFonts w:asciiTheme="minorHAnsi" w:hAnsiTheme="minorHAnsi" w:cstheme="minorHAnsi"/>
                <w:color w:val="7030A0"/>
                <w:sz w:val="18"/>
                <w:szCs w:val="18"/>
                <w:lang w:val="fr-FR" w:eastAsia="fr-FR"/>
              </w:rPr>
              <w:t>Note (18</w:t>
            </w:r>
            <w:r w:rsidRPr="00C73365">
              <w:rPr>
                <w:rFonts w:asciiTheme="minorHAnsi" w:hAnsiTheme="minorHAnsi" w:cstheme="minorHAnsi"/>
                <w:color w:val="7030A0"/>
                <w:sz w:val="18"/>
                <w:szCs w:val="18"/>
                <w:lang w:val="fr-FR" w:eastAsia="fr-FR"/>
              </w:rPr>
              <w:t>)</w:t>
            </w:r>
          </w:p>
        </w:tc>
        <w:tc>
          <w:tcPr>
            <w:tcW w:w="317" w:type="pct"/>
            <w:tcBorders>
              <w:top w:val="nil"/>
              <w:left w:val="nil"/>
              <w:bottom w:val="single" w:sz="4" w:space="0" w:color="7030A0"/>
              <w:right w:val="nil"/>
            </w:tcBorders>
          </w:tcPr>
          <w:p w:rsidR="00E036DA" w:rsidRPr="00C73365" w:rsidRDefault="00E036DA" w:rsidP="00E036DA">
            <w:pPr>
              <w:jc w:val="right"/>
              <w:rPr>
                <w:rFonts w:asciiTheme="minorHAnsi" w:hAnsiTheme="minorHAnsi" w:cstheme="minorHAnsi"/>
                <w:color w:val="000000"/>
                <w:sz w:val="18"/>
                <w:szCs w:val="18"/>
                <w:lang w:val="fr-FR" w:eastAsia="fr-FR"/>
              </w:rPr>
            </w:pPr>
            <w:r>
              <w:rPr>
                <w:rFonts w:asciiTheme="minorHAnsi" w:hAnsiTheme="minorHAnsi" w:cstheme="minorHAnsi"/>
                <w:color w:val="7030A0"/>
                <w:sz w:val="18"/>
                <w:szCs w:val="18"/>
                <w:lang w:val="fr-FR" w:eastAsia="fr-FR"/>
              </w:rPr>
              <w:t>Note (19</w:t>
            </w:r>
            <w:r w:rsidRPr="00C73365">
              <w:rPr>
                <w:rFonts w:asciiTheme="minorHAnsi" w:hAnsiTheme="minorHAnsi" w:cstheme="minorHAnsi"/>
                <w:color w:val="7030A0"/>
                <w:sz w:val="18"/>
                <w:szCs w:val="18"/>
                <w:lang w:val="fr-FR" w:eastAsia="fr-FR"/>
              </w:rPr>
              <w:t>)</w:t>
            </w:r>
          </w:p>
        </w:tc>
      </w:tr>
      <w:tr w:rsidR="004E343B" w:rsidRPr="00C73365" w:rsidTr="001B1320">
        <w:trPr>
          <w:trHeight w:val="3"/>
        </w:trPr>
        <w:tc>
          <w:tcPr>
            <w:tcW w:w="957" w:type="pct"/>
            <w:tcBorders>
              <w:top w:val="nil"/>
              <w:left w:val="nil"/>
              <w:bottom w:val="single" w:sz="4" w:space="0" w:color="7030A0"/>
              <w:right w:val="nil"/>
            </w:tcBorders>
            <w:shd w:val="clear" w:color="auto" w:fill="auto"/>
            <w:vAlign w:val="center"/>
            <w:hideMark/>
          </w:tcPr>
          <w:p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Nombre d’actions souscrites</w:t>
            </w: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39 400</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44</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800</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400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47</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340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5</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200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w:t>
            </w:r>
            <w:r w:rsidR="009F5279">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900</w:t>
            </w:r>
          </w:p>
        </w:tc>
        <w:tc>
          <w:tcPr>
            <w:tcW w:w="63"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321"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317"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r>
      <w:tr w:rsidR="004E343B" w:rsidRPr="00C73365" w:rsidTr="001B1320">
        <w:trPr>
          <w:trHeight w:val="3"/>
        </w:trPr>
        <w:tc>
          <w:tcPr>
            <w:tcW w:w="957" w:type="pct"/>
            <w:tcBorders>
              <w:top w:val="nil"/>
              <w:left w:val="nil"/>
              <w:bottom w:val="single" w:sz="4" w:space="0" w:color="7030A0"/>
              <w:right w:val="nil"/>
            </w:tcBorders>
            <w:shd w:val="clear" w:color="auto" w:fill="auto"/>
            <w:noWrap/>
            <w:vAlign w:val="center"/>
            <w:hideMark/>
          </w:tcPr>
          <w:p w:rsidR="00B740A8" w:rsidRPr="00C73365" w:rsidRDefault="00B740A8" w:rsidP="00D1541A">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Nombre cumulé de BSA ou BCE annulés ou caduques</w:t>
            </w: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229</w:t>
            </w:r>
          </w:p>
        </w:tc>
        <w:tc>
          <w:tcPr>
            <w:tcW w:w="55"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100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63"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56" w:type="pct"/>
            <w:tcBorders>
              <w:top w:val="nil"/>
              <w:left w:val="nil"/>
              <w:bottom w:val="nil"/>
              <w:right w:val="nil"/>
            </w:tcBorders>
            <w:shd w:val="clear" w:color="auto" w:fill="auto"/>
            <w:noWrap/>
            <w:vAlign w:val="bottom"/>
            <w:hideMark/>
          </w:tcPr>
          <w:p w:rsidR="00B740A8" w:rsidRPr="00C73365" w:rsidRDefault="00B740A8" w:rsidP="00D1541A">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321"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c>
          <w:tcPr>
            <w:tcW w:w="317" w:type="pct"/>
            <w:tcBorders>
              <w:top w:val="nil"/>
              <w:left w:val="nil"/>
              <w:bottom w:val="single" w:sz="4" w:space="0" w:color="7030A0"/>
              <w:right w:val="nil"/>
            </w:tcBorders>
          </w:tcPr>
          <w:p w:rsidR="00B740A8" w:rsidRPr="00C73365" w:rsidRDefault="00B740A8" w:rsidP="00D1541A">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w:t>
            </w:r>
          </w:p>
        </w:tc>
      </w:tr>
      <w:tr w:rsidR="004E343B" w:rsidRPr="00C73365" w:rsidTr="001B1320">
        <w:trPr>
          <w:trHeight w:val="3"/>
        </w:trPr>
        <w:tc>
          <w:tcPr>
            <w:tcW w:w="957" w:type="pct"/>
            <w:tcBorders>
              <w:top w:val="nil"/>
              <w:left w:val="nil"/>
              <w:bottom w:val="single" w:sz="4" w:space="0" w:color="7030A0"/>
              <w:right w:val="nil"/>
            </w:tcBorders>
            <w:shd w:val="clear" w:color="auto" w:fill="auto"/>
            <w:noWrap/>
            <w:vAlign w:val="center"/>
          </w:tcPr>
          <w:p w:rsidR="00B45F64" w:rsidRPr="00C73365" w:rsidRDefault="00B45F64" w:rsidP="00B45F64">
            <w:pP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lang w:val="fr-FR"/>
              </w:rPr>
              <w:t>BSA à la date du présent document de référence</w:t>
            </w:r>
          </w:p>
        </w:tc>
        <w:tc>
          <w:tcPr>
            <w:tcW w:w="321"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lang w:val="fr-FR"/>
              </w:rPr>
              <w:t>0</w:t>
            </w:r>
          </w:p>
        </w:tc>
        <w:tc>
          <w:tcPr>
            <w:tcW w:w="55"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sz w:val="18"/>
                <w:lang w:val="fr-FR"/>
              </w:rPr>
              <w:footnoteReference w:customMarkFollows="1" w:id="23"/>
              <w:t>0</w:t>
            </w:r>
          </w:p>
        </w:tc>
        <w:tc>
          <w:tcPr>
            <w:tcW w:w="55"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sz w:val="18"/>
                <w:lang w:val="fr-FR"/>
              </w:rPr>
              <w:footnoteReference w:customMarkFollows="1" w:id="24"/>
              <w:t>8</w:t>
            </w:r>
            <w:r w:rsidRPr="00C73365">
              <w:rPr>
                <w:rFonts w:asciiTheme="minorHAnsi" w:hAnsiTheme="minorHAnsi" w:cstheme="minorHAnsi"/>
                <w:sz w:val="18"/>
                <w:szCs w:val="18"/>
                <w:lang w:val="fr-FR" w:eastAsia="fr-FR"/>
              </w:rPr>
              <w:t>44</w:t>
            </w:r>
          </w:p>
        </w:tc>
        <w:tc>
          <w:tcPr>
            <w:tcW w:w="56"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sz w:val="18"/>
                <w:szCs w:val="18"/>
                <w:lang w:val="fr-FR" w:eastAsia="fr-FR"/>
              </w:rPr>
              <w:t>842</w:t>
            </w:r>
          </w:p>
        </w:tc>
        <w:tc>
          <w:tcPr>
            <w:tcW w:w="56"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sz w:val="18"/>
                <w:lang w:val="fr-FR"/>
              </w:rPr>
              <w:t>787</w:t>
            </w:r>
          </w:p>
        </w:tc>
        <w:tc>
          <w:tcPr>
            <w:tcW w:w="56"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lang w:val="fr-FR"/>
              </w:rPr>
              <w:t>0</w:t>
            </w:r>
          </w:p>
        </w:tc>
        <w:tc>
          <w:tcPr>
            <w:tcW w:w="56"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21"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52</w:t>
            </w:r>
          </w:p>
        </w:tc>
        <w:tc>
          <w:tcPr>
            <w:tcW w:w="63"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79" w:type="pct"/>
            <w:gridSpan w:val="2"/>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lang w:val="fr-FR"/>
              </w:rPr>
              <w:t>96</w:t>
            </w:r>
            <w:r>
              <w:rPr>
                <w:rFonts w:asciiTheme="minorHAnsi" w:hAnsiTheme="minorHAnsi" w:cstheme="minorHAnsi"/>
                <w:color w:val="000000"/>
                <w:sz w:val="18"/>
                <w:lang w:val="fr-FR"/>
              </w:rPr>
              <w:t xml:space="preserve"> </w:t>
            </w:r>
            <w:r w:rsidRPr="00C73365">
              <w:rPr>
                <w:rFonts w:asciiTheme="minorHAnsi" w:hAnsiTheme="minorHAnsi" w:cstheme="minorHAnsi"/>
                <w:color w:val="000000"/>
                <w:sz w:val="18"/>
                <w:lang w:val="fr-FR"/>
              </w:rPr>
              <w:t>924</w:t>
            </w:r>
          </w:p>
        </w:tc>
        <w:tc>
          <w:tcPr>
            <w:tcW w:w="56" w:type="pct"/>
            <w:tcBorders>
              <w:top w:val="nil"/>
              <w:left w:val="nil"/>
              <w:bottom w:val="nil"/>
              <w:right w:val="nil"/>
            </w:tcBorders>
            <w:shd w:val="clear" w:color="auto" w:fill="auto"/>
            <w:noWrap/>
            <w:vAlign w:val="center"/>
          </w:tcPr>
          <w:p w:rsidR="00B45F64" w:rsidRPr="00C73365" w:rsidRDefault="00B45F64" w:rsidP="00B45F64">
            <w:pPr>
              <w:jc w:val="right"/>
              <w:rPr>
                <w:rFonts w:asciiTheme="minorHAnsi" w:hAnsiTheme="minorHAnsi" w:cstheme="minorHAnsi"/>
                <w:color w:val="000000"/>
                <w:sz w:val="18"/>
                <w:szCs w:val="18"/>
                <w:lang w:val="fr-FR" w:eastAsia="fr-FR"/>
              </w:rPr>
            </w:pPr>
          </w:p>
        </w:tc>
        <w:tc>
          <w:tcPr>
            <w:tcW w:w="325" w:type="pct"/>
            <w:tcBorders>
              <w:top w:val="nil"/>
              <w:left w:val="nil"/>
              <w:bottom w:val="single" w:sz="4" w:space="0" w:color="7030A0"/>
              <w:right w:val="nil"/>
            </w:tcBorders>
            <w:shd w:val="clear" w:color="auto" w:fill="auto"/>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lang w:val="fr-FR"/>
              </w:rPr>
              <w:t>32</w:t>
            </w:r>
            <w:r>
              <w:rPr>
                <w:rFonts w:asciiTheme="minorHAnsi" w:hAnsiTheme="minorHAnsi" w:cstheme="minorHAnsi"/>
                <w:color w:val="000000"/>
                <w:sz w:val="18"/>
                <w:lang w:val="fr-FR"/>
              </w:rPr>
              <w:t xml:space="preserve"> </w:t>
            </w:r>
            <w:r w:rsidRPr="00C73365">
              <w:rPr>
                <w:rFonts w:asciiTheme="minorHAnsi" w:hAnsiTheme="minorHAnsi" w:cstheme="minorHAnsi"/>
                <w:color w:val="000000"/>
                <w:sz w:val="18"/>
                <w:lang w:val="fr-FR"/>
              </w:rPr>
              <w:t>800</w:t>
            </w:r>
          </w:p>
        </w:tc>
        <w:tc>
          <w:tcPr>
            <w:tcW w:w="321" w:type="pct"/>
            <w:tcBorders>
              <w:top w:val="nil"/>
              <w:left w:val="nil"/>
              <w:bottom w:val="single" w:sz="4" w:space="0" w:color="7030A0"/>
              <w:right w:val="nil"/>
            </w:tcBorders>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16</w:t>
            </w:r>
            <w:r>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400</w:t>
            </w:r>
          </w:p>
        </w:tc>
        <w:tc>
          <w:tcPr>
            <w:tcW w:w="317" w:type="pct"/>
            <w:tcBorders>
              <w:top w:val="nil"/>
              <w:left w:val="nil"/>
              <w:bottom w:val="single" w:sz="4" w:space="0" w:color="7030A0"/>
              <w:right w:val="nil"/>
            </w:tcBorders>
            <w:vAlign w:val="center"/>
          </w:tcPr>
          <w:p w:rsidR="00B45F64" w:rsidRPr="00C73365" w:rsidRDefault="00B45F64" w:rsidP="00B45F64">
            <w:pPr>
              <w:jc w:val="right"/>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49</w:t>
            </w:r>
            <w:r>
              <w:rPr>
                <w:rFonts w:asciiTheme="minorHAnsi" w:hAnsiTheme="minorHAnsi" w:cstheme="minorHAnsi"/>
                <w:color w:val="000000"/>
                <w:sz w:val="18"/>
                <w:szCs w:val="18"/>
                <w:lang w:val="fr-FR" w:eastAsia="fr-FR"/>
              </w:rPr>
              <w:t xml:space="preserve"> </w:t>
            </w:r>
            <w:r w:rsidRPr="00C73365">
              <w:rPr>
                <w:rFonts w:asciiTheme="minorHAnsi" w:hAnsiTheme="minorHAnsi" w:cstheme="minorHAnsi"/>
                <w:color w:val="000000"/>
                <w:sz w:val="18"/>
                <w:szCs w:val="18"/>
                <w:lang w:val="fr-FR" w:eastAsia="fr-FR"/>
              </w:rPr>
              <w:t>200</w:t>
            </w:r>
          </w:p>
        </w:tc>
      </w:tr>
      <w:tr w:rsidR="001B1320" w:rsidRPr="00C73365" w:rsidTr="007816CF">
        <w:trPr>
          <w:trHeight w:val="73"/>
        </w:trPr>
        <w:tc>
          <w:tcPr>
            <w:tcW w:w="957" w:type="pct"/>
            <w:tcBorders>
              <w:top w:val="nil"/>
              <w:left w:val="nil"/>
              <w:bottom w:val="nil"/>
              <w:right w:val="nil"/>
            </w:tcBorders>
            <w:shd w:val="clear" w:color="auto" w:fill="auto"/>
            <w:vAlign w:val="center"/>
          </w:tcPr>
          <w:p w:rsidR="00B740A8" w:rsidRPr="00C73365" w:rsidRDefault="00B45F64" w:rsidP="00D1541A">
            <w:pPr>
              <w:rPr>
                <w:rFonts w:asciiTheme="minorHAnsi" w:hAnsiTheme="minorHAnsi" w:cstheme="minorHAnsi"/>
                <w:color w:val="000000"/>
                <w:sz w:val="18"/>
                <w:lang w:val="fr-FR"/>
              </w:rPr>
            </w:pPr>
            <w:r>
              <w:rPr>
                <w:rFonts w:asciiTheme="minorHAnsi" w:hAnsiTheme="minorHAnsi" w:cstheme="minorHAnsi"/>
                <w:color w:val="000000"/>
                <w:sz w:val="18"/>
                <w:lang w:val="fr-FR"/>
              </w:rPr>
              <w:t>BSA potentiellement exerçables</w:t>
            </w:r>
            <w:r w:rsidR="00E036DA">
              <w:rPr>
                <w:rFonts w:asciiTheme="minorHAnsi" w:hAnsiTheme="minorHAnsi" w:cstheme="minorHAnsi"/>
                <w:color w:val="000000"/>
                <w:sz w:val="18"/>
                <w:lang w:val="fr-FR"/>
              </w:rPr>
              <w:t xml:space="preserve"> au 31/03/2018*</w:t>
            </w:r>
          </w:p>
        </w:tc>
        <w:tc>
          <w:tcPr>
            <w:tcW w:w="321"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color w:val="000000"/>
                <w:sz w:val="18"/>
                <w:lang w:val="fr-FR"/>
              </w:rPr>
            </w:pPr>
            <w:r>
              <w:rPr>
                <w:rFonts w:asciiTheme="minorHAnsi" w:hAnsiTheme="minorHAnsi" w:cstheme="minorHAnsi"/>
                <w:color w:val="000000"/>
                <w:sz w:val="18"/>
                <w:lang w:val="fr-FR"/>
              </w:rPr>
              <w:t>0</w:t>
            </w:r>
          </w:p>
        </w:tc>
        <w:tc>
          <w:tcPr>
            <w:tcW w:w="55"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color w:val="000000"/>
                <w:sz w:val="18"/>
                <w:lang w:val="fr-FR"/>
              </w:rPr>
            </w:pPr>
          </w:p>
        </w:tc>
        <w:tc>
          <w:tcPr>
            <w:tcW w:w="321"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sz w:val="18"/>
                <w:lang w:val="fr-FR"/>
              </w:rPr>
            </w:pPr>
            <w:r>
              <w:rPr>
                <w:rFonts w:asciiTheme="minorHAnsi" w:hAnsiTheme="minorHAnsi" w:cstheme="minorHAnsi"/>
                <w:sz w:val="18"/>
                <w:lang w:val="fr-FR"/>
              </w:rPr>
              <w:t>0</w:t>
            </w:r>
          </w:p>
        </w:tc>
        <w:tc>
          <w:tcPr>
            <w:tcW w:w="55"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sz w:val="18"/>
                <w:lang w:val="fr-FR"/>
              </w:rPr>
            </w:pPr>
          </w:p>
        </w:tc>
        <w:tc>
          <w:tcPr>
            <w:tcW w:w="321"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sz w:val="18"/>
                <w:lang w:val="fr-FR"/>
              </w:rPr>
            </w:pPr>
            <w:r>
              <w:rPr>
                <w:rFonts w:asciiTheme="minorHAnsi" w:hAnsiTheme="minorHAnsi" w:cstheme="minorHAnsi"/>
                <w:sz w:val="18"/>
                <w:lang w:val="fr-FR"/>
              </w:rPr>
              <w:t>844</w:t>
            </w:r>
          </w:p>
        </w:tc>
        <w:tc>
          <w:tcPr>
            <w:tcW w:w="56"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sz w:val="18"/>
                <w:lang w:val="fr-FR"/>
              </w:rPr>
            </w:pPr>
          </w:p>
        </w:tc>
        <w:tc>
          <w:tcPr>
            <w:tcW w:w="321"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sz w:val="18"/>
                <w:lang w:val="fr-FR"/>
              </w:rPr>
            </w:pPr>
            <w:r>
              <w:rPr>
                <w:rFonts w:asciiTheme="minorHAnsi" w:hAnsiTheme="minorHAnsi" w:cstheme="minorHAnsi"/>
                <w:sz w:val="18"/>
                <w:szCs w:val="18"/>
                <w:lang w:val="fr-FR" w:eastAsia="fr-FR"/>
              </w:rPr>
              <w:t>842</w:t>
            </w:r>
          </w:p>
        </w:tc>
        <w:tc>
          <w:tcPr>
            <w:tcW w:w="56"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sz w:val="18"/>
                <w:lang w:val="fr-FR"/>
              </w:rPr>
            </w:pPr>
          </w:p>
        </w:tc>
        <w:tc>
          <w:tcPr>
            <w:tcW w:w="321"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sz w:val="18"/>
                <w:lang w:val="fr-FR"/>
              </w:rPr>
            </w:pPr>
            <w:r>
              <w:rPr>
                <w:rFonts w:asciiTheme="minorHAnsi" w:hAnsiTheme="minorHAnsi" w:cstheme="minorHAnsi"/>
                <w:sz w:val="18"/>
                <w:lang w:val="fr-FR"/>
              </w:rPr>
              <w:t>787</w:t>
            </w:r>
          </w:p>
        </w:tc>
        <w:tc>
          <w:tcPr>
            <w:tcW w:w="56"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color w:val="000000"/>
                <w:sz w:val="18"/>
                <w:lang w:val="fr-FR"/>
              </w:rPr>
            </w:pPr>
          </w:p>
        </w:tc>
        <w:tc>
          <w:tcPr>
            <w:tcW w:w="321"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color w:val="000000"/>
                <w:sz w:val="18"/>
                <w:lang w:val="fr-FR"/>
              </w:rPr>
            </w:pPr>
            <w:r>
              <w:rPr>
                <w:rFonts w:asciiTheme="minorHAnsi" w:hAnsiTheme="minorHAnsi" w:cstheme="minorHAnsi"/>
                <w:color w:val="000000"/>
                <w:sz w:val="18"/>
                <w:lang w:val="fr-FR"/>
              </w:rPr>
              <w:t>0</w:t>
            </w:r>
          </w:p>
        </w:tc>
        <w:tc>
          <w:tcPr>
            <w:tcW w:w="56"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color w:val="000000"/>
                <w:sz w:val="18"/>
                <w:lang w:val="fr-FR"/>
              </w:rPr>
            </w:pPr>
          </w:p>
        </w:tc>
        <w:tc>
          <w:tcPr>
            <w:tcW w:w="321"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color w:val="000000"/>
                <w:sz w:val="18"/>
                <w:lang w:val="fr-FR"/>
              </w:rPr>
            </w:pPr>
            <w:r>
              <w:rPr>
                <w:rFonts w:asciiTheme="minorHAnsi" w:hAnsiTheme="minorHAnsi" w:cstheme="minorHAnsi"/>
                <w:color w:val="000000"/>
                <w:sz w:val="18"/>
                <w:szCs w:val="18"/>
                <w:lang w:val="fr-FR" w:eastAsia="fr-FR"/>
              </w:rPr>
              <w:t>52</w:t>
            </w:r>
          </w:p>
        </w:tc>
        <w:tc>
          <w:tcPr>
            <w:tcW w:w="63"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color w:val="000000"/>
                <w:sz w:val="18"/>
                <w:lang w:val="fr-FR"/>
              </w:rPr>
            </w:pPr>
          </w:p>
        </w:tc>
        <w:tc>
          <w:tcPr>
            <w:tcW w:w="379" w:type="pct"/>
            <w:gridSpan w:val="2"/>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color w:val="000000"/>
                <w:sz w:val="18"/>
                <w:lang w:val="fr-FR"/>
              </w:rPr>
            </w:pPr>
            <w:r>
              <w:rPr>
                <w:rFonts w:asciiTheme="minorHAnsi" w:hAnsiTheme="minorHAnsi" w:cstheme="minorHAnsi"/>
                <w:color w:val="000000"/>
                <w:sz w:val="18"/>
                <w:lang w:val="fr-FR"/>
              </w:rPr>
              <w:t>86 155</w:t>
            </w:r>
          </w:p>
        </w:tc>
        <w:tc>
          <w:tcPr>
            <w:tcW w:w="56" w:type="pct"/>
            <w:tcBorders>
              <w:top w:val="nil"/>
              <w:left w:val="nil"/>
              <w:bottom w:val="nil"/>
              <w:right w:val="nil"/>
            </w:tcBorders>
            <w:shd w:val="clear" w:color="auto" w:fill="auto"/>
            <w:noWrap/>
            <w:vAlign w:val="center"/>
          </w:tcPr>
          <w:p w:rsidR="00B740A8" w:rsidRPr="00C73365" w:rsidRDefault="00B740A8" w:rsidP="00D1541A">
            <w:pPr>
              <w:jc w:val="right"/>
              <w:rPr>
                <w:rFonts w:asciiTheme="minorHAnsi" w:hAnsiTheme="minorHAnsi" w:cstheme="minorHAnsi"/>
                <w:color w:val="000000"/>
                <w:sz w:val="18"/>
                <w:lang w:val="fr-FR"/>
              </w:rPr>
            </w:pPr>
          </w:p>
        </w:tc>
        <w:tc>
          <w:tcPr>
            <w:tcW w:w="325" w:type="pct"/>
            <w:tcBorders>
              <w:top w:val="nil"/>
              <w:left w:val="nil"/>
              <w:bottom w:val="nil"/>
              <w:right w:val="nil"/>
            </w:tcBorders>
            <w:shd w:val="clear" w:color="auto" w:fill="auto"/>
            <w:vAlign w:val="center"/>
          </w:tcPr>
          <w:p w:rsidR="00B740A8" w:rsidRPr="00C73365" w:rsidRDefault="00E036DA" w:rsidP="00D1541A">
            <w:pPr>
              <w:jc w:val="right"/>
              <w:rPr>
                <w:rFonts w:asciiTheme="minorHAnsi" w:hAnsiTheme="minorHAnsi" w:cstheme="minorHAnsi"/>
                <w:color w:val="000000"/>
                <w:sz w:val="18"/>
                <w:lang w:val="fr-FR"/>
              </w:rPr>
            </w:pPr>
            <w:r>
              <w:rPr>
                <w:rFonts w:asciiTheme="minorHAnsi" w:hAnsiTheme="minorHAnsi" w:cstheme="minorHAnsi"/>
                <w:color w:val="000000"/>
                <w:sz w:val="18"/>
                <w:lang w:val="fr-FR"/>
              </w:rPr>
              <w:t>19 133</w:t>
            </w:r>
          </w:p>
        </w:tc>
        <w:tc>
          <w:tcPr>
            <w:tcW w:w="321" w:type="pct"/>
            <w:tcBorders>
              <w:top w:val="nil"/>
              <w:left w:val="nil"/>
              <w:bottom w:val="nil"/>
              <w:right w:val="nil"/>
            </w:tcBorders>
            <w:vAlign w:val="center"/>
          </w:tcPr>
          <w:p w:rsidR="00B740A8" w:rsidRPr="00C73365" w:rsidRDefault="00E036DA" w:rsidP="00D1541A">
            <w:pPr>
              <w:jc w:val="right"/>
              <w:rPr>
                <w:rFonts w:asciiTheme="minorHAnsi" w:hAnsiTheme="minorHAnsi" w:cstheme="minorHAnsi"/>
                <w:color w:val="000000"/>
                <w:sz w:val="18"/>
                <w:szCs w:val="18"/>
                <w:lang w:val="fr-FR" w:eastAsia="fr-FR"/>
              </w:rPr>
            </w:pPr>
            <w:r>
              <w:rPr>
                <w:rFonts w:asciiTheme="minorHAnsi" w:hAnsiTheme="minorHAnsi" w:cstheme="minorHAnsi"/>
                <w:color w:val="000000"/>
                <w:sz w:val="18"/>
                <w:szCs w:val="18"/>
                <w:lang w:val="fr-FR" w:eastAsia="fr-FR"/>
              </w:rPr>
              <w:t>10 933</w:t>
            </w:r>
          </w:p>
        </w:tc>
        <w:tc>
          <w:tcPr>
            <w:tcW w:w="317" w:type="pct"/>
            <w:tcBorders>
              <w:top w:val="nil"/>
              <w:left w:val="nil"/>
              <w:bottom w:val="nil"/>
              <w:right w:val="nil"/>
            </w:tcBorders>
            <w:vAlign w:val="center"/>
          </w:tcPr>
          <w:p w:rsidR="00B740A8" w:rsidRPr="00C73365" w:rsidRDefault="00E036DA" w:rsidP="00D1541A">
            <w:pPr>
              <w:jc w:val="right"/>
              <w:rPr>
                <w:rFonts w:asciiTheme="minorHAnsi" w:hAnsiTheme="minorHAnsi" w:cstheme="minorHAnsi"/>
                <w:color w:val="000000"/>
                <w:sz w:val="18"/>
                <w:szCs w:val="18"/>
                <w:lang w:val="fr-FR" w:eastAsia="fr-FR"/>
              </w:rPr>
            </w:pPr>
            <w:r>
              <w:rPr>
                <w:rFonts w:asciiTheme="minorHAnsi" w:hAnsiTheme="minorHAnsi" w:cstheme="minorHAnsi"/>
                <w:color w:val="000000"/>
                <w:sz w:val="18"/>
                <w:szCs w:val="18"/>
                <w:lang w:val="fr-FR" w:eastAsia="fr-FR"/>
              </w:rPr>
              <w:t>16 400</w:t>
            </w:r>
          </w:p>
        </w:tc>
      </w:tr>
    </w:tbl>
    <w:p w:rsidR="00872F5A" w:rsidRPr="00C73365" w:rsidRDefault="00872F5A" w:rsidP="001D15EF">
      <w:pPr>
        <w:pStyle w:val="ConmainL3"/>
        <w:tabs>
          <w:tab w:val="clear" w:pos="360"/>
        </w:tabs>
        <w:ind w:left="0" w:firstLine="0"/>
        <w:rPr>
          <w:rFonts w:asciiTheme="minorHAnsi" w:hAnsiTheme="minorHAnsi" w:cstheme="minorHAnsi"/>
          <w:lang w:val="fr-FR"/>
        </w:rPr>
        <w:sectPr w:rsidR="00872F5A" w:rsidRPr="00C73365" w:rsidSect="00D1541A">
          <w:pgSz w:w="16840" w:h="11900" w:orient="landscape"/>
          <w:pgMar w:top="1134" w:right="1134" w:bottom="1134" w:left="1134" w:header="720" w:footer="720" w:gutter="0"/>
          <w:cols w:space="720" w:equalWidth="0">
            <w:col w:w="9573"/>
          </w:cols>
          <w:noEndnote/>
        </w:sectPr>
      </w:pPr>
    </w:p>
    <w:p w:rsidR="001B1320" w:rsidRDefault="001B1320" w:rsidP="004572A0">
      <w:pPr>
        <w:pStyle w:val="BodyText"/>
        <w:rPr>
          <w:rFonts w:asciiTheme="minorHAnsi" w:hAnsiTheme="minorHAnsi" w:cstheme="minorHAnsi"/>
          <w:i/>
          <w:sz w:val="18"/>
          <w:szCs w:val="22"/>
          <w:lang w:val="fr-FR"/>
        </w:rPr>
      </w:pPr>
      <w:r w:rsidRPr="009D061D">
        <w:rPr>
          <w:rFonts w:asciiTheme="minorHAnsi" w:hAnsiTheme="minorHAnsi" w:cstheme="minorHAnsi"/>
          <w:i/>
          <w:sz w:val="18"/>
          <w:szCs w:val="22"/>
          <w:lang w:val="fr-FR"/>
        </w:rPr>
        <w:lastRenderedPageBreak/>
        <w:t>*</w:t>
      </w:r>
      <w:r>
        <w:rPr>
          <w:rFonts w:asciiTheme="minorHAnsi" w:hAnsiTheme="minorHAnsi" w:cstheme="minorHAnsi"/>
          <w:i/>
          <w:sz w:val="18"/>
          <w:szCs w:val="22"/>
          <w:lang w:val="fr-FR"/>
        </w:rPr>
        <w:t xml:space="preserve">Selon les conditions </w:t>
      </w:r>
      <w:r w:rsidR="00EF46AC">
        <w:rPr>
          <w:rFonts w:asciiTheme="minorHAnsi" w:hAnsiTheme="minorHAnsi" w:cstheme="minorHAnsi"/>
          <w:i/>
          <w:sz w:val="18"/>
          <w:szCs w:val="22"/>
          <w:lang w:val="fr-FR"/>
        </w:rPr>
        <w:t xml:space="preserve">d’exercice </w:t>
      </w:r>
      <w:r>
        <w:rPr>
          <w:rFonts w:asciiTheme="minorHAnsi" w:hAnsiTheme="minorHAnsi" w:cstheme="minorHAnsi"/>
          <w:i/>
          <w:sz w:val="18"/>
          <w:szCs w:val="22"/>
          <w:lang w:val="fr-FR"/>
        </w:rPr>
        <w:t>prévues dans les notes ci-après.</w:t>
      </w:r>
    </w:p>
    <w:p w:rsidR="00B740A8" w:rsidRPr="001D15EF" w:rsidRDefault="00B740A8" w:rsidP="004572A0">
      <w:pPr>
        <w:pStyle w:val="BodyText"/>
        <w:rPr>
          <w:rFonts w:asciiTheme="minorHAnsi" w:hAnsiTheme="minorHAnsi" w:cstheme="minorHAnsi"/>
          <w:lang w:val="fr-FR"/>
        </w:rPr>
      </w:pPr>
      <w:r w:rsidRPr="001D15EF">
        <w:rPr>
          <w:rFonts w:asciiTheme="minorHAnsi" w:hAnsiTheme="minorHAnsi" w:cstheme="minorHAnsi"/>
          <w:u w:val="single"/>
          <w:lang w:val="fr-FR"/>
        </w:rPr>
        <w:t>Note (13):</w:t>
      </w:r>
      <w:r w:rsidRPr="001D15EF">
        <w:rPr>
          <w:rFonts w:asciiTheme="minorHAnsi" w:hAnsiTheme="minorHAnsi" w:cstheme="minorHAnsi"/>
          <w:lang w:val="fr-FR"/>
        </w:rPr>
        <w:t xml:space="preserve"> Exerçables par période mensuelle complète selon la règle suivante : X = [nombre de BSA 2014-3 attribué au bénéficiaire] multiplié par (nombre de mois écoulé à compter de la date de constitution de la Société /48</w:t>
      </w:r>
      <w:r w:rsidR="00E036DA">
        <w:rPr>
          <w:rFonts w:asciiTheme="minorHAnsi" w:hAnsiTheme="minorHAnsi" w:cstheme="minorHAnsi"/>
          <w:lang w:val="fr-FR"/>
        </w:rPr>
        <w:t>)</w:t>
      </w:r>
      <w:r w:rsidRPr="001D15EF">
        <w:rPr>
          <w:rFonts w:asciiTheme="minorHAnsi" w:hAnsiTheme="minorHAnsi" w:cstheme="minorHAnsi"/>
          <w:lang w:val="fr-FR"/>
        </w:rPr>
        <w:t>.</w:t>
      </w:r>
    </w:p>
    <w:p w:rsidR="00B740A8" w:rsidRPr="001D15EF" w:rsidRDefault="00B740A8" w:rsidP="004572A0">
      <w:pPr>
        <w:pStyle w:val="BodyText"/>
        <w:rPr>
          <w:rFonts w:asciiTheme="minorHAnsi" w:hAnsiTheme="minorHAnsi" w:cstheme="minorHAnsi"/>
          <w:lang w:val="fr-FR"/>
        </w:rPr>
      </w:pPr>
      <w:r w:rsidRPr="001D15EF">
        <w:rPr>
          <w:rFonts w:asciiTheme="minorHAnsi" w:hAnsiTheme="minorHAnsi" w:cstheme="minorHAnsi"/>
          <w:u w:val="single"/>
          <w:lang w:val="fr-FR"/>
        </w:rPr>
        <w:t>Note (14):</w:t>
      </w:r>
      <w:r w:rsidRPr="001D15EF">
        <w:rPr>
          <w:rFonts w:asciiTheme="minorHAnsi" w:hAnsiTheme="minorHAnsi" w:cstheme="minorHAnsi"/>
          <w:lang w:val="fr-FR"/>
        </w:rPr>
        <w:t xml:space="preserve"> 263 BSA-2014-4 sont exerçables à tout moment à compter du 11 mars 2014. 1 052 BSA-2014-4 sont exerçables exclusivement en cas d’atteinte d’objectifs qualitatifs et/ou quantitatifs, tels que fixés par le conseil d’administration du 8 </w:t>
      </w:r>
      <w:r w:rsidR="00E73A7C">
        <w:rPr>
          <w:rFonts w:asciiTheme="minorHAnsi" w:hAnsiTheme="minorHAnsi" w:cstheme="minorHAnsi"/>
          <w:lang w:val="fr-FR"/>
        </w:rPr>
        <w:t>septembre</w:t>
      </w:r>
      <w:r w:rsidRPr="001D15EF">
        <w:rPr>
          <w:rFonts w:asciiTheme="minorHAnsi" w:hAnsiTheme="minorHAnsi" w:cstheme="minorHAnsi"/>
          <w:lang w:val="fr-FR"/>
        </w:rPr>
        <w:t xml:space="preserve"> 2014.</w:t>
      </w:r>
    </w:p>
    <w:p w:rsidR="00B740A8" w:rsidRPr="001D15EF" w:rsidRDefault="00B740A8" w:rsidP="004572A0">
      <w:pPr>
        <w:pStyle w:val="BodyText"/>
        <w:rPr>
          <w:rFonts w:asciiTheme="minorHAnsi" w:hAnsiTheme="minorHAnsi" w:cstheme="minorHAnsi"/>
          <w:lang w:val="fr-FR"/>
        </w:rPr>
      </w:pPr>
      <w:r w:rsidRPr="001D15EF">
        <w:rPr>
          <w:rFonts w:asciiTheme="minorHAnsi" w:hAnsiTheme="minorHAnsi" w:cstheme="minorHAnsi"/>
          <w:u w:val="single"/>
          <w:lang w:val="fr-FR"/>
        </w:rPr>
        <w:t>Note (15):</w:t>
      </w:r>
      <w:r w:rsidRPr="001D15EF">
        <w:rPr>
          <w:rFonts w:asciiTheme="minorHAnsi" w:hAnsiTheme="minorHAnsi" w:cstheme="minorHAnsi"/>
          <w:lang w:val="fr-FR"/>
        </w:rPr>
        <w:t xml:space="preserve"> Exerçables par leur bénéficiaire selon les conditions d’exercice fixées par le conseil d’administration du 8 </w:t>
      </w:r>
      <w:r w:rsidR="00E73A7C">
        <w:rPr>
          <w:rFonts w:asciiTheme="minorHAnsi" w:hAnsiTheme="minorHAnsi" w:cstheme="minorHAnsi"/>
          <w:lang w:val="fr-FR"/>
        </w:rPr>
        <w:t>septembre</w:t>
      </w:r>
      <w:r w:rsidRPr="001D15EF">
        <w:rPr>
          <w:rFonts w:asciiTheme="minorHAnsi" w:hAnsiTheme="minorHAnsi" w:cstheme="minorHAnsi"/>
          <w:lang w:val="fr-FR"/>
        </w:rPr>
        <w:t xml:space="preserve"> 2014.</w:t>
      </w:r>
    </w:p>
    <w:p w:rsidR="00B740A8" w:rsidRPr="001D15EF" w:rsidRDefault="00B740A8" w:rsidP="00B740A8">
      <w:pPr>
        <w:pStyle w:val="FootnoteText"/>
        <w:rPr>
          <w:rFonts w:asciiTheme="minorHAnsi" w:hAnsiTheme="minorHAnsi" w:cstheme="minorHAnsi"/>
          <w:lang w:val="fr-FR"/>
        </w:rPr>
      </w:pPr>
      <w:r w:rsidRPr="001D15EF">
        <w:rPr>
          <w:rFonts w:asciiTheme="minorHAnsi" w:hAnsiTheme="minorHAnsi" w:cstheme="minorHAnsi"/>
          <w:u w:val="single"/>
          <w:lang w:val="fr-FR"/>
        </w:rPr>
        <w:t>Note (16):</w:t>
      </w:r>
      <w:r w:rsidRPr="001D15EF">
        <w:rPr>
          <w:rFonts w:asciiTheme="minorHAnsi" w:hAnsiTheme="minorHAnsi" w:cstheme="minorHAnsi"/>
          <w:lang w:val="fr-FR"/>
        </w:rPr>
        <w:t xml:space="preserve"> les BSA-2015-11 SANTE HOLDING SRL attribués à la Société Santé Holding SRL pourront être exercés par période mensuelle complète de participation continue de Santé Holding Srl représentée par Monsieur Antonino Ligresti, au Conseil d’administration de la Société à hauteur d’un nombre X de BSA-2015-11 SANTE HOLDING SRL calculé selon la règle suivante :</w:t>
      </w:r>
    </w:p>
    <w:p w:rsidR="00B740A8" w:rsidRPr="001D15EF" w:rsidRDefault="00B740A8" w:rsidP="00B740A8">
      <w:pPr>
        <w:pStyle w:val="FootnoteText"/>
        <w:rPr>
          <w:rFonts w:asciiTheme="minorHAnsi" w:hAnsiTheme="minorHAnsi" w:cstheme="minorHAnsi"/>
          <w:lang w:val="fr-FR"/>
        </w:rPr>
      </w:pPr>
      <w:r w:rsidRPr="001D15EF">
        <w:rPr>
          <w:rFonts w:asciiTheme="minorHAnsi" w:hAnsiTheme="minorHAnsi" w:cstheme="minorHAnsi"/>
          <w:lang w:val="fr-FR"/>
        </w:rPr>
        <w:t>X= 96.924 multiplié par (nombre de mois écoulés à compter du 6 juillet 2015/36).</w:t>
      </w:r>
    </w:p>
    <w:p w:rsidR="00B740A8" w:rsidRPr="001D15EF" w:rsidRDefault="00B740A8" w:rsidP="004572A0">
      <w:pPr>
        <w:pStyle w:val="BodyText"/>
        <w:rPr>
          <w:rFonts w:asciiTheme="minorHAnsi" w:hAnsiTheme="minorHAnsi" w:cstheme="minorHAnsi"/>
          <w:lang w:val="fr-FR"/>
        </w:rPr>
      </w:pPr>
      <w:r w:rsidRPr="001D15EF">
        <w:rPr>
          <w:rFonts w:asciiTheme="minorHAnsi" w:hAnsiTheme="minorHAnsi" w:cstheme="minorHAnsi"/>
          <w:u w:val="single"/>
          <w:lang w:val="fr-FR"/>
        </w:rPr>
        <w:t>Note (17)</w:t>
      </w:r>
      <w:r w:rsidRPr="001D15EF">
        <w:rPr>
          <w:rFonts w:asciiTheme="minorHAnsi" w:hAnsiTheme="minorHAnsi" w:cstheme="minorHAnsi"/>
          <w:lang w:val="fr-FR"/>
        </w:rPr>
        <w:t>: les BSA-2015-12 pourront être exercés au prorata du nombre de mois écoulés de participation continue au comité scientifique ou au conseil d’administration de la Société sur une durée totale de 48 mois, soit un nombre X de BSA calculé selon la règle suivante :</w:t>
      </w:r>
    </w:p>
    <w:p w:rsidR="00B740A8" w:rsidRDefault="00B740A8" w:rsidP="004572A0">
      <w:pPr>
        <w:pStyle w:val="BodyText"/>
        <w:rPr>
          <w:rFonts w:asciiTheme="minorHAnsi" w:hAnsiTheme="minorHAnsi" w:cstheme="minorHAnsi"/>
          <w:lang w:val="fr-FR"/>
        </w:rPr>
      </w:pPr>
      <w:r w:rsidRPr="001D15EF">
        <w:rPr>
          <w:rFonts w:asciiTheme="minorHAnsi" w:hAnsiTheme="minorHAnsi" w:cstheme="minorHAnsi"/>
          <w:lang w:val="fr-FR"/>
        </w:rPr>
        <w:t>X= 16.400 multiplié par (nombre de mois écoulés à compter du 4 décembre 2015/48), étant précisé que chaque bénéficiaire ne pourra exercer ses BSA qu’à l’issue d’une durée d’un an à compter de leur attribution</w:t>
      </w:r>
      <w:r w:rsidRPr="00C73365">
        <w:rPr>
          <w:rFonts w:asciiTheme="minorHAnsi" w:hAnsiTheme="minorHAnsi" w:cstheme="minorHAnsi"/>
          <w:lang w:val="fr-FR"/>
        </w:rPr>
        <w:t>.</w:t>
      </w:r>
    </w:p>
    <w:p w:rsidR="00E036DA" w:rsidRDefault="00E036DA" w:rsidP="00E036DA">
      <w:pPr>
        <w:pStyle w:val="BodyText"/>
        <w:rPr>
          <w:rFonts w:asciiTheme="minorHAnsi" w:hAnsiTheme="minorHAnsi" w:cstheme="minorHAnsi"/>
          <w:lang w:val="fr-FR"/>
        </w:rPr>
      </w:pPr>
      <w:r w:rsidRPr="007816CF">
        <w:rPr>
          <w:rFonts w:asciiTheme="minorHAnsi" w:hAnsiTheme="minorHAnsi" w:cstheme="minorHAnsi"/>
          <w:u w:val="single"/>
          <w:lang w:val="fr-FR"/>
        </w:rPr>
        <w:t>Note (18)</w:t>
      </w:r>
      <w:r>
        <w:rPr>
          <w:rFonts w:asciiTheme="minorHAnsi" w:hAnsiTheme="minorHAnsi" w:cstheme="minorHAnsi"/>
          <w:lang w:val="fr-FR"/>
        </w:rPr>
        <w:t> : les BSA-2017-1 pourront être exercés dans les conditions suivantes : 1/3 des BSA-2017-1 à compter du 18 septembre 2017, 1/3 des BSA-2017-1 à compter du 18 mars 2018 et 1/3 des BSA-2017-1 à compter du 18 septembre 2019.</w:t>
      </w:r>
    </w:p>
    <w:p w:rsidR="00E036DA" w:rsidRPr="00C73365" w:rsidRDefault="00E036DA" w:rsidP="00E036DA">
      <w:pPr>
        <w:pStyle w:val="BodyText"/>
        <w:rPr>
          <w:rFonts w:asciiTheme="minorHAnsi" w:hAnsiTheme="minorHAnsi" w:cstheme="minorHAnsi"/>
          <w:lang w:val="fr-FR"/>
        </w:rPr>
      </w:pPr>
      <w:r w:rsidRPr="007816CF">
        <w:rPr>
          <w:rFonts w:asciiTheme="minorHAnsi" w:hAnsiTheme="minorHAnsi" w:cstheme="minorHAnsi"/>
          <w:u w:val="single"/>
          <w:lang w:val="fr-FR"/>
        </w:rPr>
        <w:t>Note (19)</w:t>
      </w:r>
      <w:r>
        <w:rPr>
          <w:rFonts w:asciiTheme="minorHAnsi" w:hAnsiTheme="minorHAnsi" w:cstheme="minorHAnsi"/>
          <w:lang w:val="fr-FR"/>
        </w:rPr>
        <w:t> : les BSA</w:t>
      </w:r>
      <w:r w:rsidR="001B1320">
        <w:rPr>
          <w:rFonts w:asciiTheme="minorHAnsi" w:hAnsiTheme="minorHAnsi" w:cstheme="minorHAnsi"/>
          <w:lang w:val="fr-FR"/>
        </w:rPr>
        <w:t>-2018-1</w:t>
      </w:r>
      <w:r>
        <w:rPr>
          <w:rFonts w:asciiTheme="minorHAnsi" w:hAnsiTheme="minorHAnsi" w:cstheme="minorHAnsi"/>
          <w:lang w:val="fr-FR"/>
        </w:rPr>
        <w:t xml:space="preserve"> pourront être exercés dans les conditions suivantes : 1/3 des BSA-2018-1 à compter du 22 janvier 2018, 1/3 des BSA-2018-1 à compter du 22 juillet 2018 et 1/3 des BSA-2018-1 exerçables à compter du 22 janvier 2019.</w:t>
      </w:r>
    </w:p>
    <w:p w:rsidR="006204E1" w:rsidRPr="00C73365" w:rsidRDefault="006204E1" w:rsidP="004572A0">
      <w:pPr>
        <w:pStyle w:val="BodyText"/>
        <w:rPr>
          <w:rFonts w:asciiTheme="minorHAnsi" w:hAnsiTheme="minorHAnsi" w:cstheme="minorHAnsi"/>
          <w:lang w:val="fr-FR"/>
        </w:rPr>
      </w:pPr>
    </w:p>
    <w:p w:rsidR="00505903" w:rsidRPr="007816CF" w:rsidRDefault="00505903" w:rsidP="00505903">
      <w:pPr>
        <w:pStyle w:val="BodyText"/>
        <w:rPr>
          <w:rFonts w:asciiTheme="minorHAnsi" w:hAnsiTheme="minorHAnsi" w:cstheme="minorHAnsi"/>
          <w:b/>
          <w:lang w:val="fr-FR"/>
        </w:rPr>
      </w:pPr>
      <w:r w:rsidRPr="007816CF">
        <w:rPr>
          <w:rFonts w:asciiTheme="minorHAnsi" w:hAnsiTheme="minorHAnsi" w:cstheme="minorHAnsi"/>
          <w:b/>
          <w:lang w:val="fr-FR"/>
        </w:rPr>
        <w:t>Synthèse des instruments dilutifs</w:t>
      </w:r>
      <w:r w:rsidR="00522788" w:rsidRPr="007816CF">
        <w:rPr>
          <w:rFonts w:asciiTheme="minorHAnsi" w:hAnsiTheme="minorHAnsi" w:cstheme="minorHAnsi"/>
          <w:b/>
          <w:lang w:val="fr-FR"/>
        </w:rPr>
        <w:t xml:space="preserve"> au 31 mars 2018</w:t>
      </w:r>
    </w:p>
    <w:tbl>
      <w:tblPr>
        <w:tblW w:w="0" w:type="auto"/>
        <w:tblLayout w:type="fixed"/>
        <w:tblCellMar>
          <w:left w:w="70" w:type="dxa"/>
          <w:right w:w="70" w:type="dxa"/>
        </w:tblCellMar>
        <w:tblLook w:val="04A0" w:firstRow="1" w:lastRow="0" w:firstColumn="1" w:lastColumn="0" w:noHBand="0" w:noVBand="1"/>
      </w:tblPr>
      <w:tblGrid>
        <w:gridCol w:w="7230"/>
        <w:gridCol w:w="709"/>
        <w:gridCol w:w="227"/>
        <w:gridCol w:w="906"/>
      </w:tblGrid>
      <w:tr w:rsidR="001B1320" w:rsidRPr="001B1320" w:rsidTr="007816CF">
        <w:trPr>
          <w:trHeight w:val="532"/>
        </w:trPr>
        <w:tc>
          <w:tcPr>
            <w:tcW w:w="7230" w:type="dxa"/>
            <w:tcBorders>
              <w:top w:val="single" w:sz="12" w:space="0" w:color="7030A0"/>
              <w:left w:val="nil"/>
              <w:bottom w:val="single" w:sz="8" w:space="0" w:color="7030A0"/>
              <w:right w:val="nil"/>
            </w:tcBorders>
            <w:shd w:val="clear" w:color="auto" w:fill="auto"/>
            <w:vAlign w:val="center"/>
            <w:hideMark/>
          </w:tcPr>
          <w:p w:rsidR="00505903" w:rsidRPr="007816CF" w:rsidRDefault="00505903" w:rsidP="00522788">
            <w:pPr>
              <w:rPr>
                <w:rFonts w:asciiTheme="minorHAnsi" w:hAnsiTheme="minorHAnsi" w:cstheme="minorHAnsi"/>
                <w:b/>
                <w:bCs/>
                <w:color w:val="000000"/>
                <w:sz w:val="18"/>
                <w:szCs w:val="18"/>
                <w:lang w:val="fr-FR" w:eastAsia="fr-FR"/>
              </w:rPr>
            </w:pPr>
            <w:r w:rsidRPr="007816CF">
              <w:rPr>
                <w:rFonts w:asciiTheme="minorHAnsi" w:hAnsiTheme="minorHAnsi" w:cstheme="minorHAnsi"/>
                <w:b/>
                <w:bCs/>
                <w:color w:val="000000"/>
                <w:sz w:val="18"/>
                <w:szCs w:val="18"/>
                <w:lang w:val="fr-FR" w:eastAsia="fr-FR"/>
              </w:rPr>
              <w:t>Catégorie</w:t>
            </w:r>
          </w:p>
        </w:tc>
        <w:tc>
          <w:tcPr>
            <w:tcW w:w="709" w:type="dxa"/>
            <w:tcBorders>
              <w:top w:val="single" w:sz="12" w:space="0" w:color="7030A0"/>
              <w:left w:val="nil"/>
              <w:bottom w:val="single" w:sz="8" w:space="0" w:color="7030A0"/>
              <w:right w:val="nil"/>
            </w:tcBorders>
            <w:shd w:val="clear" w:color="auto" w:fill="auto"/>
            <w:vAlign w:val="center"/>
            <w:hideMark/>
          </w:tcPr>
          <w:p w:rsidR="00505903" w:rsidRPr="007816CF" w:rsidRDefault="00505903" w:rsidP="007816CF">
            <w:pPr>
              <w:ind w:left="-212"/>
              <w:jc w:val="center"/>
              <w:rPr>
                <w:rFonts w:asciiTheme="minorHAnsi" w:hAnsiTheme="minorHAnsi" w:cstheme="minorHAnsi"/>
                <w:b/>
                <w:bCs/>
                <w:color w:val="000000"/>
                <w:sz w:val="18"/>
                <w:szCs w:val="18"/>
                <w:lang w:val="fr-FR" w:eastAsia="fr-FR"/>
              </w:rPr>
            </w:pPr>
            <w:r w:rsidRPr="007816CF">
              <w:rPr>
                <w:rFonts w:asciiTheme="minorHAnsi" w:hAnsiTheme="minorHAnsi" w:cstheme="minorHAnsi"/>
                <w:b/>
                <w:bCs/>
                <w:color w:val="000000"/>
                <w:sz w:val="18"/>
                <w:szCs w:val="18"/>
                <w:lang w:val="fr-FR" w:eastAsia="fr-FR"/>
              </w:rPr>
              <w:t>BSA</w:t>
            </w:r>
          </w:p>
        </w:tc>
        <w:tc>
          <w:tcPr>
            <w:tcW w:w="227" w:type="dxa"/>
            <w:tcBorders>
              <w:top w:val="nil"/>
              <w:left w:val="nil"/>
              <w:bottom w:val="nil"/>
              <w:right w:val="nil"/>
            </w:tcBorders>
            <w:shd w:val="clear" w:color="auto" w:fill="auto"/>
            <w:vAlign w:val="center"/>
            <w:hideMark/>
          </w:tcPr>
          <w:p w:rsidR="00505903" w:rsidRPr="007816CF" w:rsidRDefault="00505903" w:rsidP="00432828">
            <w:pPr>
              <w:jc w:val="center"/>
              <w:rPr>
                <w:rFonts w:asciiTheme="minorHAnsi" w:hAnsiTheme="minorHAnsi" w:cstheme="minorHAnsi"/>
                <w:b/>
                <w:bCs/>
                <w:color w:val="000000"/>
                <w:sz w:val="18"/>
                <w:szCs w:val="18"/>
                <w:lang w:val="fr-FR" w:eastAsia="fr-FR"/>
              </w:rPr>
            </w:pPr>
          </w:p>
        </w:tc>
        <w:tc>
          <w:tcPr>
            <w:tcW w:w="906" w:type="dxa"/>
            <w:tcBorders>
              <w:top w:val="single" w:sz="12" w:space="0" w:color="7030A0"/>
              <w:left w:val="nil"/>
              <w:bottom w:val="single" w:sz="8" w:space="0" w:color="7030A0"/>
              <w:right w:val="nil"/>
            </w:tcBorders>
            <w:shd w:val="clear" w:color="auto" w:fill="auto"/>
            <w:vAlign w:val="center"/>
            <w:hideMark/>
          </w:tcPr>
          <w:p w:rsidR="00505903" w:rsidRPr="007816CF" w:rsidRDefault="00505903" w:rsidP="00432828">
            <w:pPr>
              <w:jc w:val="center"/>
              <w:rPr>
                <w:rFonts w:asciiTheme="minorHAnsi" w:hAnsiTheme="minorHAnsi" w:cstheme="minorHAnsi"/>
                <w:b/>
                <w:bCs/>
                <w:color w:val="000000"/>
                <w:sz w:val="18"/>
                <w:szCs w:val="18"/>
                <w:lang w:val="fr-FR" w:eastAsia="fr-FR"/>
              </w:rPr>
            </w:pPr>
            <w:r w:rsidRPr="007816CF">
              <w:rPr>
                <w:rFonts w:asciiTheme="minorHAnsi" w:hAnsiTheme="minorHAnsi" w:cstheme="minorHAnsi"/>
                <w:b/>
                <w:bCs/>
                <w:color w:val="000000"/>
                <w:sz w:val="18"/>
                <w:szCs w:val="18"/>
                <w:lang w:val="fr-FR" w:eastAsia="fr-FR"/>
              </w:rPr>
              <w:t>BCE</w:t>
            </w:r>
          </w:p>
        </w:tc>
      </w:tr>
      <w:tr w:rsidR="001B1320" w:rsidRPr="001B1320" w:rsidTr="007816CF">
        <w:trPr>
          <w:trHeight w:val="3"/>
        </w:trPr>
        <w:tc>
          <w:tcPr>
            <w:tcW w:w="7230" w:type="dxa"/>
            <w:tcBorders>
              <w:top w:val="nil"/>
              <w:left w:val="nil"/>
              <w:bottom w:val="single" w:sz="4" w:space="0" w:color="7030A0"/>
              <w:right w:val="nil"/>
            </w:tcBorders>
            <w:shd w:val="clear" w:color="auto" w:fill="auto"/>
            <w:hideMark/>
          </w:tcPr>
          <w:p w:rsidR="00505903" w:rsidRPr="007816CF" w:rsidRDefault="00505903" w:rsidP="006A487E">
            <w:pPr>
              <w:rPr>
                <w:rFonts w:asciiTheme="minorHAnsi" w:hAnsiTheme="minorHAnsi" w:cstheme="minorHAnsi"/>
                <w:color w:val="000000"/>
                <w:sz w:val="18"/>
                <w:szCs w:val="18"/>
                <w:lang w:val="fr-FR" w:eastAsia="fr-FR"/>
              </w:rPr>
            </w:pPr>
            <w:r w:rsidRPr="007816CF">
              <w:rPr>
                <w:rFonts w:asciiTheme="minorHAnsi" w:eastAsiaTheme="minorHAnsi" w:hAnsiTheme="minorHAnsi" w:cstheme="minorHAnsi"/>
                <w:szCs w:val="20"/>
                <w:lang w:val="fr-FR"/>
              </w:rPr>
              <w:t xml:space="preserve">Nombre total des BSA/BCE </w:t>
            </w:r>
            <w:r w:rsidR="006A487E" w:rsidRPr="007816CF">
              <w:rPr>
                <w:rFonts w:asciiTheme="minorHAnsi" w:eastAsiaTheme="minorHAnsi" w:hAnsiTheme="minorHAnsi" w:cstheme="minorHAnsi"/>
                <w:szCs w:val="20"/>
                <w:lang w:val="fr-FR"/>
              </w:rPr>
              <w:t>émis</w:t>
            </w:r>
          </w:p>
        </w:tc>
        <w:tc>
          <w:tcPr>
            <w:tcW w:w="709" w:type="dxa"/>
            <w:tcBorders>
              <w:top w:val="nil"/>
              <w:left w:val="nil"/>
              <w:bottom w:val="single" w:sz="4" w:space="0" w:color="7030A0"/>
              <w:right w:val="nil"/>
            </w:tcBorders>
            <w:shd w:val="clear" w:color="auto" w:fill="auto"/>
            <w:hideMark/>
          </w:tcPr>
          <w:p w:rsidR="006A487E" w:rsidRPr="007816CF" w:rsidRDefault="006A487E" w:rsidP="007816CF">
            <w:pPr>
              <w:ind w:left="-212"/>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371 276</w:t>
            </w:r>
          </w:p>
        </w:tc>
        <w:tc>
          <w:tcPr>
            <w:tcW w:w="227" w:type="dxa"/>
            <w:tcBorders>
              <w:top w:val="nil"/>
              <w:left w:val="nil"/>
              <w:bottom w:val="nil"/>
              <w:right w:val="nil"/>
            </w:tcBorders>
            <w:shd w:val="clear" w:color="auto" w:fill="auto"/>
            <w:noWrap/>
            <w:hideMark/>
          </w:tcPr>
          <w:p w:rsidR="00505903" w:rsidRPr="007816CF" w:rsidRDefault="00505903" w:rsidP="00505903">
            <w:pPr>
              <w:jc w:val="right"/>
              <w:rPr>
                <w:rFonts w:asciiTheme="minorHAnsi" w:hAnsiTheme="minorHAnsi" w:cstheme="minorHAnsi"/>
                <w:color w:val="000000"/>
                <w:sz w:val="18"/>
                <w:szCs w:val="18"/>
                <w:lang w:val="fr-FR" w:eastAsia="fr-FR"/>
              </w:rPr>
            </w:pPr>
          </w:p>
        </w:tc>
        <w:tc>
          <w:tcPr>
            <w:tcW w:w="906" w:type="dxa"/>
            <w:tcBorders>
              <w:top w:val="nil"/>
              <w:left w:val="nil"/>
              <w:bottom w:val="single" w:sz="4" w:space="0" w:color="7030A0"/>
              <w:right w:val="nil"/>
            </w:tcBorders>
            <w:shd w:val="clear" w:color="auto" w:fill="auto"/>
            <w:hideMark/>
          </w:tcPr>
          <w:p w:rsidR="00505903" w:rsidRPr="007816CF" w:rsidRDefault="006A7073" w:rsidP="00505903">
            <w:pPr>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749 550</w:t>
            </w:r>
          </w:p>
        </w:tc>
      </w:tr>
      <w:tr w:rsidR="001B1320" w:rsidRPr="001B1320" w:rsidTr="007816CF">
        <w:trPr>
          <w:trHeight w:val="3"/>
        </w:trPr>
        <w:tc>
          <w:tcPr>
            <w:tcW w:w="7230" w:type="dxa"/>
            <w:tcBorders>
              <w:top w:val="nil"/>
              <w:left w:val="nil"/>
              <w:bottom w:val="single" w:sz="4" w:space="0" w:color="7030A0"/>
              <w:right w:val="nil"/>
            </w:tcBorders>
            <w:shd w:val="clear" w:color="auto" w:fill="auto"/>
            <w:vAlign w:val="center"/>
          </w:tcPr>
          <w:p w:rsidR="006A487E" w:rsidRPr="007816CF" w:rsidRDefault="006A487E" w:rsidP="006A487E">
            <w:pPr>
              <w:rPr>
                <w:rFonts w:asciiTheme="minorHAnsi" w:eastAsiaTheme="minorHAnsi" w:hAnsiTheme="minorHAnsi" w:cstheme="minorHAnsi"/>
                <w:szCs w:val="20"/>
                <w:lang w:val="fr-FR"/>
              </w:rPr>
            </w:pPr>
            <w:r w:rsidRPr="007816CF">
              <w:rPr>
                <w:rFonts w:asciiTheme="minorHAnsi" w:eastAsiaTheme="minorHAnsi" w:hAnsiTheme="minorHAnsi" w:cstheme="minorHAnsi"/>
                <w:szCs w:val="20"/>
                <w:lang w:val="fr-FR"/>
              </w:rPr>
              <w:t>Nombre total des BSA/BCE souscrits</w:t>
            </w:r>
          </w:p>
        </w:tc>
        <w:tc>
          <w:tcPr>
            <w:tcW w:w="709" w:type="dxa"/>
            <w:tcBorders>
              <w:top w:val="nil"/>
              <w:left w:val="nil"/>
              <w:bottom w:val="single" w:sz="4" w:space="0" w:color="7030A0"/>
              <w:right w:val="nil"/>
            </w:tcBorders>
            <w:shd w:val="clear" w:color="auto" w:fill="auto"/>
          </w:tcPr>
          <w:p w:rsidR="006A487E" w:rsidRPr="007816CF" w:rsidRDefault="006A487E" w:rsidP="007816CF">
            <w:pPr>
              <w:ind w:left="-212"/>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199 638</w:t>
            </w:r>
          </w:p>
        </w:tc>
        <w:tc>
          <w:tcPr>
            <w:tcW w:w="227" w:type="dxa"/>
            <w:tcBorders>
              <w:top w:val="nil"/>
              <w:left w:val="nil"/>
              <w:bottom w:val="nil"/>
              <w:right w:val="nil"/>
            </w:tcBorders>
            <w:shd w:val="clear" w:color="auto" w:fill="auto"/>
            <w:noWrap/>
            <w:vAlign w:val="bottom"/>
          </w:tcPr>
          <w:p w:rsidR="006A487E" w:rsidRPr="007816CF" w:rsidRDefault="006A487E" w:rsidP="006A487E">
            <w:pPr>
              <w:jc w:val="right"/>
              <w:rPr>
                <w:rFonts w:asciiTheme="minorHAnsi" w:hAnsiTheme="minorHAnsi" w:cstheme="minorHAnsi"/>
                <w:color w:val="000000"/>
                <w:sz w:val="18"/>
                <w:szCs w:val="18"/>
                <w:lang w:val="fr-FR" w:eastAsia="fr-FR"/>
              </w:rPr>
            </w:pPr>
          </w:p>
        </w:tc>
        <w:tc>
          <w:tcPr>
            <w:tcW w:w="906" w:type="dxa"/>
            <w:tcBorders>
              <w:top w:val="nil"/>
              <w:left w:val="nil"/>
              <w:bottom w:val="single" w:sz="4" w:space="0" w:color="7030A0"/>
              <w:right w:val="nil"/>
            </w:tcBorders>
            <w:shd w:val="clear" w:color="auto" w:fill="auto"/>
          </w:tcPr>
          <w:p w:rsidR="006A487E" w:rsidRPr="007816CF" w:rsidRDefault="006A487E" w:rsidP="006A487E">
            <w:pPr>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749 550</w:t>
            </w:r>
          </w:p>
        </w:tc>
      </w:tr>
      <w:tr w:rsidR="001B1320" w:rsidRPr="001B1320" w:rsidTr="007816CF">
        <w:trPr>
          <w:trHeight w:val="3"/>
        </w:trPr>
        <w:tc>
          <w:tcPr>
            <w:tcW w:w="7230" w:type="dxa"/>
            <w:tcBorders>
              <w:top w:val="nil"/>
              <w:left w:val="nil"/>
              <w:bottom w:val="single" w:sz="4" w:space="0" w:color="7030A0"/>
              <w:right w:val="nil"/>
            </w:tcBorders>
            <w:shd w:val="clear" w:color="auto" w:fill="auto"/>
            <w:vAlign w:val="center"/>
            <w:hideMark/>
          </w:tcPr>
          <w:p w:rsidR="00505903" w:rsidRPr="007816CF" w:rsidRDefault="00505903" w:rsidP="00505903">
            <w:pPr>
              <w:rPr>
                <w:rFonts w:asciiTheme="minorHAnsi" w:hAnsiTheme="minorHAnsi" w:cstheme="minorHAnsi"/>
                <w:color w:val="000000"/>
                <w:sz w:val="18"/>
                <w:szCs w:val="18"/>
                <w:lang w:val="fr-FR" w:eastAsia="fr-FR"/>
              </w:rPr>
            </w:pPr>
            <w:r w:rsidRPr="007816CF">
              <w:rPr>
                <w:rFonts w:asciiTheme="minorHAnsi" w:eastAsiaTheme="minorHAnsi" w:hAnsiTheme="minorHAnsi" w:cstheme="minorHAnsi"/>
                <w:szCs w:val="20"/>
                <w:lang w:val="fr-FR"/>
              </w:rPr>
              <w:t>Nombre total de BSA/BCE annulés ou caducs</w:t>
            </w:r>
          </w:p>
        </w:tc>
        <w:tc>
          <w:tcPr>
            <w:tcW w:w="709" w:type="dxa"/>
            <w:tcBorders>
              <w:top w:val="nil"/>
              <w:left w:val="nil"/>
              <w:bottom w:val="single" w:sz="4" w:space="0" w:color="7030A0"/>
              <w:right w:val="nil"/>
            </w:tcBorders>
            <w:shd w:val="clear" w:color="auto" w:fill="auto"/>
            <w:vAlign w:val="center"/>
            <w:hideMark/>
          </w:tcPr>
          <w:p w:rsidR="00505903" w:rsidRPr="007816CF" w:rsidRDefault="006A7073" w:rsidP="007816CF">
            <w:pPr>
              <w:ind w:left="-212"/>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329</w:t>
            </w:r>
          </w:p>
        </w:tc>
        <w:tc>
          <w:tcPr>
            <w:tcW w:w="227" w:type="dxa"/>
            <w:tcBorders>
              <w:top w:val="nil"/>
              <w:left w:val="nil"/>
              <w:bottom w:val="nil"/>
              <w:right w:val="nil"/>
            </w:tcBorders>
            <w:shd w:val="clear" w:color="auto" w:fill="auto"/>
            <w:noWrap/>
            <w:vAlign w:val="bottom"/>
            <w:hideMark/>
          </w:tcPr>
          <w:p w:rsidR="00505903" w:rsidRPr="007816CF" w:rsidRDefault="00505903" w:rsidP="00432828">
            <w:pPr>
              <w:jc w:val="right"/>
              <w:rPr>
                <w:rFonts w:asciiTheme="minorHAnsi" w:hAnsiTheme="minorHAnsi" w:cstheme="minorHAnsi"/>
                <w:color w:val="000000"/>
                <w:sz w:val="18"/>
                <w:szCs w:val="18"/>
                <w:lang w:val="fr-FR" w:eastAsia="fr-FR"/>
              </w:rPr>
            </w:pPr>
          </w:p>
        </w:tc>
        <w:tc>
          <w:tcPr>
            <w:tcW w:w="906" w:type="dxa"/>
            <w:tcBorders>
              <w:top w:val="nil"/>
              <w:left w:val="nil"/>
              <w:bottom w:val="single" w:sz="4" w:space="0" w:color="7030A0"/>
              <w:right w:val="nil"/>
            </w:tcBorders>
            <w:shd w:val="clear" w:color="auto" w:fill="auto"/>
            <w:vAlign w:val="center"/>
            <w:hideMark/>
          </w:tcPr>
          <w:p w:rsidR="00505903" w:rsidRPr="007816CF" w:rsidRDefault="006A7073" w:rsidP="00432828">
            <w:pPr>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210 574</w:t>
            </w:r>
          </w:p>
        </w:tc>
      </w:tr>
      <w:tr w:rsidR="001B1320" w:rsidRPr="001B1320" w:rsidTr="007816CF">
        <w:trPr>
          <w:trHeight w:val="3"/>
        </w:trPr>
        <w:tc>
          <w:tcPr>
            <w:tcW w:w="7230" w:type="dxa"/>
            <w:tcBorders>
              <w:top w:val="nil"/>
              <w:left w:val="nil"/>
              <w:bottom w:val="single" w:sz="4" w:space="0" w:color="7030A0"/>
              <w:right w:val="nil"/>
            </w:tcBorders>
            <w:shd w:val="clear" w:color="auto" w:fill="auto"/>
            <w:hideMark/>
          </w:tcPr>
          <w:p w:rsidR="00505903" w:rsidRPr="007816CF" w:rsidRDefault="00505903" w:rsidP="00505903">
            <w:pPr>
              <w:rPr>
                <w:rFonts w:asciiTheme="minorHAnsi" w:hAnsiTheme="minorHAnsi" w:cstheme="minorHAnsi"/>
                <w:color w:val="000000"/>
                <w:sz w:val="18"/>
                <w:szCs w:val="18"/>
                <w:lang w:val="fr-FR" w:eastAsia="fr-FR"/>
              </w:rPr>
            </w:pPr>
            <w:r w:rsidRPr="007816CF">
              <w:rPr>
                <w:rFonts w:asciiTheme="minorHAnsi" w:eastAsiaTheme="minorHAnsi" w:hAnsiTheme="minorHAnsi" w:cstheme="minorHAnsi"/>
                <w:szCs w:val="20"/>
                <w:lang w:val="fr-FR"/>
              </w:rPr>
              <w:t>Nombre total de BSA/BCE exercés</w:t>
            </w:r>
          </w:p>
        </w:tc>
        <w:tc>
          <w:tcPr>
            <w:tcW w:w="709" w:type="dxa"/>
            <w:tcBorders>
              <w:top w:val="nil"/>
              <w:left w:val="nil"/>
              <w:bottom w:val="single" w:sz="4" w:space="0" w:color="7030A0"/>
              <w:right w:val="nil"/>
            </w:tcBorders>
            <w:shd w:val="clear" w:color="auto" w:fill="auto"/>
            <w:vAlign w:val="center"/>
            <w:hideMark/>
          </w:tcPr>
          <w:p w:rsidR="00505903" w:rsidRPr="007816CF" w:rsidRDefault="006A7073" w:rsidP="007816CF">
            <w:pPr>
              <w:ind w:left="-212"/>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1 460</w:t>
            </w:r>
          </w:p>
        </w:tc>
        <w:tc>
          <w:tcPr>
            <w:tcW w:w="227" w:type="dxa"/>
            <w:tcBorders>
              <w:top w:val="nil"/>
              <w:left w:val="nil"/>
              <w:bottom w:val="nil"/>
              <w:right w:val="nil"/>
            </w:tcBorders>
            <w:shd w:val="clear" w:color="auto" w:fill="auto"/>
            <w:noWrap/>
            <w:vAlign w:val="bottom"/>
            <w:hideMark/>
          </w:tcPr>
          <w:p w:rsidR="00505903" w:rsidRPr="007816CF" w:rsidRDefault="00505903" w:rsidP="00505903">
            <w:pPr>
              <w:jc w:val="right"/>
              <w:rPr>
                <w:rFonts w:asciiTheme="minorHAnsi" w:hAnsiTheme="minorHAnsi" w:cstheme="minorHAnsi"/>
                <w:color w:val="000000"/>
                <w:sz w:val="18"/>
                <w:szCs w:val="18"/>
                <w:lang w:val="fr-FR" w:eastAsia="fr-FR"/>
              </w:rPr>
            </w:pPr>
          </w:p>
        </w:tc>
        <w:tc>
          <w:tcPr>
            <w:tcW w:w="906" w:type="dxa"/>
            <w:tcBorders>
              <w:top w:val="nil"/>
              <w:left w:val="nil"/>
              <w:bottom w:val="single" w:sz="4" w:space="0" w:color="7030A0"/>
              <w:right w:val="nil"/>
            </w:tcBorders>
            <w:shd w:val="clear" w:color="auto" w:fill="auto"/>
            <w:vAlign w:val="center"/>
          </w:tcPr>
          <w:p w:rsidR="00505903" w:rsidRPr="007816CF" w:rsidRDefault="006A7073" w:rsidP="00505903">
            <w:pPr>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4 193</w:t>
            </w:r>
          </w:p>
        </w:tc>
      </w:tr>
      <w:tr w:rsidR="001B1320" w:rsidRPr="001B1320" w:rsidTr="007816CF">
        <w:trPr>
          <w:trHeight w:val="3"/>
        </w:trPr>
        <w:tc>
          <w:tcPr>
            <w:tcW w:w="7230" w:type="dxa"/>
            <w:tcBorders>
              <w:top w:val="nil"/>
              <w:left w:val="nil"/>
              <w:bottom w:val="single" w:sz="4" w:space="0" w:color="7030A0"/>
              <w:right w:val="nil"/>
            </w:tcBorders>
            <w:shd w:val="clear" w:color="auto" w:fill="auto"/>
            <w:hideMark/>
          </w:tcPr>
          <w:p w:rsidR="00505903" w:rsidRPr="007816CF" w:rsidRDefault="00505903" w:rsidP="00505903">
            <w:pPr>
              <w:rPr>
                <w:rFonts w:asciiTheme="minorHAnsi" w:hAnsiTheme="minorHAnsi" w:cstheme="minorHAnsi"/>
                <w:color w:val="000000"/>
                <w:sz w:val="18"/>
                <w:szCs w:val="18"/>
                <w:lang w:val="fr-FR" w:eastAsia="fr-FR"/>
              </w:rPr>
            </w:pPr>
            <w:r w:rsidRPr="007816CF">
              <w:rPr>
                <w:rFonts w:asciiTheme="minorHAnsi" w:eastAsiaTheme="minorHAnsi" w:hAnsiTheme="minorHAnsi" w:cstheme="minorHAnsi"/>
                <w:szCs w:val="20"/>
                <w:lang w:val="fr-FR"/>
              </w:rPr>
              <w:t>Nombre total de BSA/BCE restants</w:t>
            </w:r>
          </w:p>
        </w:tc>
        <w:tc>
          <w:tcPr>
            <w:tcW w:w="709" w:type="dxa"/>
            <w:tcBorders>
              <w:top w:val="nil"/>
              <w:left w:val="nil"/>
              <w:bottom w:val="single" w:sz="4" w:space="0" w:color="7030A0"/>
              <w:right w:val="nil"/>
            </w:tcBorders>
            <w:shd w:val="clear" w:color="auto" w:fill="auto"/>
            <w:vAlign w:val="center"/>
            <w:hideMark/>
          </w:tcPr>
          <w:p w:rsidR="00505903" w:rsidRPr="007816CF" w:rsidRDefault="006A7073" w:rsidP="007816CF">
            <w:pPr>
              <w:ind w:left="-212"/>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197 849</w:t>
            </w:r>
          </w:p>
        </w:tc>
        <w:tc>
          <w:tcPr>
            <w:tcW w:w="227" w:type="dxa"/>
            <w:tcBorders>
              <w:top w:val="nil"/>
              <w:left w:val="nil"/>
              <w:bottom w:val="nil"/>
              <w:right w:val="nil"/>
            </w:tcBorders>
            <w:shd w:val="clear" w:color="auto" w:fill="auto"/>
            <w:noWrap/>
            <w:vAlign w:val="bottom"/>
            <w:hideMark/>
          </w:tcPr>
          <w:p w:rsidR="00505903" w:rsidRPr="007816CF" w:rsidRDefault="00505903" w:rsidP="00505903">
            <w:pPr>
              <w:jc w:val="right"/>
              <w:rPr>
                <w:rFonts w:asciiTheme="minorHAnsi" w:hAnsiTheme="minorHAnsi" w:cstheme="minorHAnsi"/>
                <w:color w:val="000000"/>
                <w:sz w:val="18"/>
                <w:szCs w:val="18"/>
                <w:lang w:val="fr-FR" w:eastAsia="fr-FR"/>
              </w:rPr>
            </w:pPr>
          </w:p>
        </w:tc>
        <w:tc>
          <w:tcPr>
            <w:tcW w:w="906" w:type="dxa"/>
            <w:tcBorders>
              <w:top w:val="nil"/>
              <w:left w:val="nil"/>
              <w:bottom w:val="single" w:sz="4" w:space="0" w:color="7030A0"/>
              <w:right w:val="nil"/>
            </w:tcBorders>
            <w:shd w:val="clear" w:color="auto" w:fill="auto"/>
            <w:vAlign w:val="center"/>
            <w:hideMark/>
          </w:tcPr>
          <w:p w:rsidR="00505903" w:rsidRPr="007816CF" w:rsidRDefault="006A7073" w:rsidP="00505903">
            <w:pPr>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534 783</w:t>
            </w:r>
          </w:p>
        </w:tc>
      </w:tr>
      <w:tr w:rsidR="001B1320" w:rsidRPr="001B1320" w:rsidTr="007816CF">
        <w:trPr>
          <w:trHeight w:val="3"/>
        </w:trPr>
        <w:tc>
          <w:tcPr>
            <w:tcW w:w="7230" w:type="dxa"/>
            <w:tcBorders>
              <w:top w:val="nil"/>
              <w:left w:val="nil"/>
              <w:bottom w:val="single" w:sz="4" w:space="0" w:color="7030A0"/>
              <w:right w:val="nil"/>
            </w:tcBorders>
            <w:shd w:val="clear" w:color="auto" w:fill="auto"/>
          </w:tcPr>
          <w:p w:rsidR="001B1320" w:rsidRPr="007816CF" w:rsidRDefault="001B1320" w:rsidP="001B1320">
            <w:pPr>
              <w:rPr>
                <w:rFonts w:asciiTheme="minorHAnsi" w:eastAsiaTheme="minorHAnsi" w:hAnsiTheme="minorHAnsi" w:cstheme="minorHAnsi"/>
                <w:szCs w:val="20"/>
                <w:lang w:val="fr-FR"/>
              </w:rPr>
            </w:pPr>
            <w:r w:rsidRPr="007816CF">
              <w:rPr>
                <w:rFonts w:asciiTheme="minorHAnsi" w:eastAsiaTheme="minorHAnsi" w:hAnsiTheme="minorHAnsi" w:cstheme="minorHAnsi"/>
                <w:szCs w:val="20"/>
                <w:lang w:val="fr-FR"/>
              </w:rPr>
              <w:t>Nombre total d’actions pouvant être souscrites sur la base des BSA/BCE restants</w:t>
            </w:r>
            <w:r w:rsidRPr="007816CF">
              <w:rPr>
                <w:rFonts w:asciiTheme="minorHAnsi" w:hAnsiTheme="minorHAnsi" w:cstheme="minorHAnsi"/>
                <w:b/>
                <w:bCs/>
                <w:color w:val="000000"/>
                <w:sz w:val="18"/>
                <w:szCs w:val="18"/>
                <w:lang w:val="fr-FR" w:eastAsia="fr-FR"/>
              </w:rPr>
              <w:t>*</w:t>
            </w:r>
          </w:p>
        </w:tc>
        <w:tc>
          <w:tcPr>
            <w:tcW w:w="709" w:type="dxa"/>
            <w:tcBorders>
              <w:top w:val="nil"/>
              <w:left w:val="nil"/>
              <w:bottom w:val="single" w:sz="4" w:space="0" w:color="7030A0"/>
              <w:right w:val="nil"/>
            </w:tcBorders>
            <w:shd w:val="clear" w:color="auto" w:fill="auto"/>
            <w:vAlign w:val="center"/>
          </w:tcPr>
          <w:p w:rsidR="001B1320" w:rsidRPr="007816CF" w:rsidRDefault="001B1320" w:rsidP="007816CF">
            <w:pPr>
              <w:ind w:left="-212"/>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447 784</w:t>
            </w:r>
          </w:p>
        </w:tc>
        <w:tc>
          <w:tcPr>
            <w:tcW w:w="227" w:type="dxa"/>
            <w:tcBorders>
              <w:top w:val="nil"/>
              <w:left w:val="nil"/>
              <w:bottom w:val="nil"/>
              <w:right w:val="nil"/>
            </w:tcBorders>
            <w:shd w:val="clear" w:color="auto" w:fill="auto"/>
            <w:noWrap/>
            <w:vAlign w:val="bottom"/>
          </w:tcPr>
          <w:p w:rsidR="001B1320" w:rsidRPr="007816CF" w:rsidRDefault="001B1320" w:rsidP="001B1320">
            <w:pPr>
              <w:jc w:val="right"/>
              <w:rPr>
                <w:rFonts w:asciiTheme="minorHAnsi" w:hAnsiTheme="minorHAnsi" w:cstheme="minorHAnsi"/>
                <w:color w:val="000000"/>
                <w:sz w:val="18"/>
                <w:szCs w:val="18"/>
                <w:lang w:val="fr-FR" w:eastAsia="fr-FR"/>
              </w:rPr>
            </w:pPr>
          </w:p>
        </w:tc>
        <w:tc>
          <w:tcPr>
            <w:tcW w:w="906" w:type="dxa"/>
            <w:tcBorders>
              <w:top w:val="nil"/>
              <w:left w:val="nil"/>
              <w:bottom w:val="single" w:sz="4" w:space="0" w:color="7030A0"/>
              <w:right w:val="nil"/>
            </w:tcBorders>
            <w:shd w:val="clear" w:color="auto" w:fill="auto"/>
            <w:vAlign w:val="center"/>
          </w:tcPr>
          <w:p w:rsidR="001B1320" w:rsidRPr="007816CF" w:rsidRDefault="001B1320" w:rsidP="001B1320">
            <w:pPr>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1 204 914</w:t>
            </w:r>
          </w:p>
        </w:tc>
      </w:tr>
      <w:tr w:rsidR="001B1320" w:rsidRPr="001B1320" w:rsidTr="007816CF">
        <w:trPr>
          <w:trHeight w:val="3"/>
        </w:trPr>
        <w:tc>
          <w:tcPr>
            <w:tcW w:w="7230" w:type="dxa"/>
            <w:tcBorders>
              <w:top w:val="nil"/>
              <w:left w:val="nil"/>
              <w:bottom w:val="single" w:sz="4" w:space="0" w:color="7030A0"/>
              <w:right w:val="nil"/>
            </w:tcBorders>
            <w:shd w:val="clear" w:color="auto" w:fill="auto"/>
            <w:noWrap/>
          </w:tcPr>
          <w:p w:rsidR="001B1320" w:rsidRPr="007816CF" w:rsidRDefault="001B1320">
            <w:pPr>
              <w:rPr>
                <w:rFonts w:asciiTheme="minorHAnsi" w:hAnsiTheme="minorHAnsi" w:cstheme="minorHAnsi"/>
                <w:color w:val="000000"/>
                <w:sz w:val="18"/>
                <w:szCs w:val="18"/>
                <w:lang w:val="fr-FR" w:eastAsia="fr-FR"/>
              </w:rPr>
            </w:pPr>
            <w:r w:rsidRPr="007816CF">
              <w:rPr>
                <w:rFonts w:asciiTheme="minorHAnsi" w:eastAsiaTheme="minorHAnsi" w:hAnsiTheme="minorHAnsi" w:cstheme="minorHAnsi"/>
                <w:szCs w:val="20"/>
                <w:lang w:val="fr-FR"/>
              </w:rPr>
              <w:t>Nombre total d’actions pouvant être souscrites sur la base des BSA/BCE exerçables</w:t>
            </w:r>
            <w:r w:rsidRPr="007816CF">
              <w:rPr>
                <w:rFonts w:asciiTheme="minorHAnsi" w:hAnsiTheme="minorHAnsi" w:cstheme="minorHAnsi"/>
                <w:b/>
                <w:bCs/>
                <w:color w:val="000000"/>
                <w:sz w:val="18"/>
                <w:szCs w:val="18"/>
                <w:lang w:val="fr-FR" w:eastAsia="fr-FR"/>
              </w:rPr>
              <w:t>**</w:t>
            </w:r>
          </w:p>
        </w:tc>
        <w:tc>
          <w:tcPr>
            <w:tcW w:w="709" w:type="dxa"/>
            <w:tcBorders>
              <w:top w:val="nil"/>
              <w:left w:val="nil"/>
              <w:bottom w:val="single" w:sz="4" w:space="0" w:color="7030A0"/>
              <w:right w:val="nil"/>
            </w:tcBorders>
            <w:shd w:val="clear" w:color="auto" w:fill="auto"/>
            <w:vAlign w:val="center"/>
          </w:tcPr>
          <w:p w:rsidR="001B1320" w:rsidRPr="007816CF" w:rsidRDefault="001B1320" w:rsidP="007816CF">
            <w:pPr>
              <w:ind w:left="-212"/>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385 081</w:t>
            </w:r>
          </w:p>
        </w:tc>
        <w:tc>
          <w:tcPr>
            <w:tcW w:w="227" w:type="dxa"/>
            <w:tcBorders>
              <w:top w:val="nil"/>
              <w:left w:val="nil"/>
              <w:bottom w:val="nil"/>
              <w:right w:val="nil"/>
            </w:tcBorders>
            <w:shd w:val="clear" w:color="auto" w:fill="auto"/>
            <w:noWrap/>
            <w:vAlign w:val="bottom"/>
          </w:tcPr>
          <w:p w:rsidR="001B1320" w:rsidRPr="007816CF" w:rsidRDefault="001B1320" w:rsidP="001B1320">
            <w:pPr>
              <w:jc w:val="right"/>
              <w:rPr>
                <w:rFonts w:asciiTheme="minorHAnsi" w:hAnsiTheme="minorHAnsi" w:cstheme="minorHAnsi"/>
                <w:color w:val="000000"/>
                <w:sz w:val="18"/>
                <w:szCs w:val="18"/>
                <w:lang w:val="fr-FR" w:eastAsia="fr-FR"/>
              </w:rPr>
            </w:pPr>
          </w:p>
        </w:tc>
        <w:tc>
          <w:tcPr>
            <w:tcW w:w="906" w:type="dxa"/>
            <w:tcBorders>
              <w:top w:val="nil"/>
              <w:left w:val="nil"/>
              <w:bottom w:val="single" w:sz="4" w:space="0" w:color="7030A0"/>
              <w:right w:val="nil"/>
            </w:tcBorders>
            <w:shd w:val="clear" w:color="auto" w:fill="auto"/>
            <w:vAlign w:val="center"/>
          </w:tcPr>
          <w:p w:rsidR="001B1320" w:rsidRPr="001B1320" w:rsidRDefault="001B1320" w:rsidP="001B1320">
            <w:pPr>
              <w:jc w:val="right"/>
              <w:rPr>
                <w:rFonts w:asciiTheme="minorHAnsi" w:hAnsiTheme="minorHAnsi" w:cstheme="minorHAnsi"/>
                <w:color w:val="000000"/>
                <w:sz w:val="18"/>
                <w:szCs w:val="18"/>
                <w:lang w:val="fr-FR" w:eastAsia="fr-FR"/>
              </w:rPr>
            </w:pPr>
            <w:r w:rsidRPr="007816CF">
              <w:rPr>
                <w:rFonts w:asciiTheme="minorHAnsi" w:hAnsiTheme="minorHAnsi" w:cstheme="minorHAnsi"/>
                <w:color w:val="000000"/>
                <w:sz w:val="18"/>
                <w:szCs w:val="18"/>
                <w:lang w:val="fr-FR" w:eastAsia="fr-FR"/>
              </w:rPr>
              <w:t>747 617</w:t>
            </w:r>
          </w:p>
        </w:tc>
      </w:tr>
    </w:tbl>
    <w:p w:rsidR="006A487E" w:rsidRDefault="006A487E" w:rsidP="006A487E">
      <w:pPr>
        <w:pStyle w:val="FootnoteText"/>
        <w:rPr>
          <w:rFonts w:asciiTheme="minorHAnsi" w:hAnsiTheme="minorHAnsi" w:cstheme="minorHAnsi"/>
          <w:sz w:val="18"/>
          <w:szCs w:val="18"/>
          <w:lang w:val="fr-FR"/>
        </w:rPr>
      </w:pPr>
      <w:r w:rsidRPr="00C73365">
        <w:rPr>
          <w:rFonts w:asciiTheme="minorHAnsi" w:hAnsiTheme="minorHAnsi" w:cstheme="minorHAnsi"/>
          <w:color w:val="000000" w:themeColor="text1"/>
          <w:sz w:val="18"/>
          <w:szCs w:val="18"/>
          <w:lang w:val="fr-FR"/>
        </w:rPr>
        <w:t>(</w:t>
      </w:r>
      <w:r w:rsidRPr="00C73365">
        <w:rPr>
          <w:rFonts w:asciiTheme="minorHAnsi" w:hAnsiTheme="minorHAnsi" w:cstheme="minorHAnsi"/>
          <w:color w:val="000000" w:themeColor="text1"/>
          <w:sz w:val="18"/>
          <w:szCs w:val="18"/>
          <w:vertAlign w:val="superscript"/>
          <w:lang w:val="fr-FR"/>
        </w:rPr>
        <w:t>*</w:t>
      </w:r>
      <w:r w:rsidRPr="00C73365">
        <w:rPr>
          <w:rFonts w:asciiTheme="minorHAnsi" w:hAnsiTheme="minorHAnsi" w:cstheme="minorHAnsi"/>
          <w:color w:val="000000" w:themeColor="text1"/>
          <w:sz w:val="18"/>
          <w:szCs w:val="18"/>
          <w:lang w:val="fr-FR"/>
        </w:rPr>
        <w:t xml:space="preserve">) </w:t>
      </w:r>
      <w:r w:rsidRPr="00C73365">
        <w:rPr>
          <w:rFonts w:asciiTheme="minorHAnsi" w:hAnsiTheme="minorHAnsi" w:cstheme="minorHAnsi"/>
          <w:sz w:val="18"/>
          <w:szCs w:val="18"/>
          <w:lang w:val="fr-FR"/>
        </w:rPr>
        <w:t>Le nombre d’actions auquel donne droit l’exercice des BSA et BCE a été multiplié par 100 pour tous les BSA et BCE émis antérieurement à la division par 100 du nominal des actions, décidée par l’assemblée générale de la Société en date du 20 février 2015.</w:t>
      </w:r>
    </w:p>
    <w:p w:rsidR="001B1320" w:rsidRPr="00C73365" w:rsidRDefault="001B1320" w:rsidP="006A487E">
      <w:pPr>
        <w:pStyle w:val="FootnoteText"/>
        <w:rPr>
          <w:rFonts w:asciiTheme="minorHAnsi" w:hAnsiTheme="minorHAnsi" w:cstheme="minorHAnsi"/>
          <w:sz w:val="18"/>
          <w:szCs w:val="18"/>
          <w:lang w:val="fr-FR"/>
        </w:rPr>
      </w:pPr>
      <w:r>
        <w:rPr>
          <w:rFonts w:asciiTheme="minorHAnsi" w:hAnsiTheme="minorHAnsi" w:cstheme="minorHAnsi"/>
          <w:sz w:val="18"/>
          <w:szCs w:val="18"/>
          <w:lang w:val="fr-FR"/>
        </w:rPr>
        <w:t>(**) Exerçables au 31/03/2018 dans les conditions décrites précédemment.</w:t>
      </w:r>
    </w:p>
    <w:p w:rsidR="00B740A8" w:rsidRPr="000C259A" w:rsidRDefault="00B740A8" w:rsidP="00B740A8">
      <w:pPr>
        <w:rPr>
          <w:iCs/>
          <w:lang w:val="fr-FR"/>
        </w:rPr>
      </w:pPr>
      <w:r w:rsidRPr="00C73365">
        <w:rPr>
          <w:rFonts w:asciiTheme="minorHAnsi" w:hAnsiTheme="minorHAnsi" w:cstheme="minorHAnsi"/>
          <w:color w:val="7030A0"/>
          <w:sz w:val="18"/>
          <w:szCs w:val="18"/>
          <w:lang w:val="fr-FR"/>
        </w:rPr>
        <w:br w:type="page"/>
      </w:r>
    </w:p>
    <w:p w:rsidR="00B740A8" w:rsidRPr="00C73365" w:rsidRDefault="00B740A8" w:rsidP="00B740A8">
      <w:pPr>
        <w:pStyle w:val="ConmainL3"/>
        <w:tabs>
          <w:tab w:val="clear" w:pos="360"/>
        </w:tabs>
        <w:ind w:left="0" w:firstLine="0"/>
        <w:rPr>
          <w:rFonts w:asciiTheme="minorHAnsi" w:hAnsiTheme="minorHAnsi" w:cstheme="minorHAnsi"/>
          <w:color w:val="7030A0"/>
          <w:sz w:val="18"/>
          <w:szCs w:val="18"/>
          <w:lang w:val="fr-FR"/>
        </w:rPr>
        <w:sectPr w:rsidR="00B740A8" w:rsidRPr="00C73365" w:rsidSect="00D1541A">
          <w:pgSz w:w="11900" w:h="16840"/>
          <w:pgMar w:top="1134" w:right="1134" w:bottom="1134" w:left="1134" w:header="720" w:footer="720" w:gutter="0"/>
          <w:cols w:space="720" w:equalWidth="0">
            <w:col w:w="9573"/>
          </w:cols>
          <w:noEndnote/>
        </w:sectPr>
      </w:pPr>
    </w:p>
    <w:p w:rsidR="00B740A8" w:rsidRPr="00C73365" w:rsidRDefault="00B740A8" w:rsidP="00434C49">
      <w:pPr>
        <w:pStyle w:val="ConmainL3"/>
        <w:numPr>
          <w:ilvl w:val="2"/>
          <w:numId w:val="102"/>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Capital autorisé</w:t>
      </w:r>
      <w:bookmarkStart w:id="1547" w:name="_Toc290245461"/>
      <w:bookmarkStart w:id="1548" w:name="_Toc290293384"/>
      <w:bookmarkStart w:id="1549" w:name="_Toc290295018"/>
      <w:bookmarkEnd w:id="1536"/>
      <w:bookmarkEnd w:id="1537"/>
      <w:bookmarkEnd w:id="1538"/>
      <w:bookmarkEnd w:id="1539"/>
      <w:bookmarkEnd w:id="1540"/>
      <w:bookmarkEnd w:id="1541"/>
      <w:bookmarkEnd w:id="1542"/>
      <w:bookmarkEnd w:id="1543"/>
      <w:bookmarkEnd w:id="1544"/>
      <w:bookmarkEnd w:id="1545"/>
      <w:r w:rsidRPr="00C73365">
        <w:rPr>
          <w:rFonts w:asciiTheme="minorHAnsi" w:hAnsiTheme="minorHAnsi" w:cstheme="minorHAnsi"/>
          <w:b/>
          <w:color w:val="7030A0"/>
          <w:lang w:val="fr-FR"/>
        </w:rPr>
        <w:t xml:space="preserve"> non émis</w:t>
      </w:r>
      <w:bookmarkStart w:id="1550" w:name="_Toc291712786"/>
      <w:bookmarkStart w:id="1551" w:name="_Toc292267624"/>
      <w:bookmarkStart w:id="1552" w:name="_Toc292876544"/>
      <w:bookmarkStart w:id="1553" w:name="_Toc293328380"/>
      <w:bookmarkStart w:id="1554" w:name="_Toc299090773"/>
      <w:bookmarkStart w:id="1555" w:name="_Toc299093072"/>
      <w:bookmarkStart w:id="1556" w:name="_Toc299094557"/>
    </w:p>
    <w:p w:rsidR="00B740A8" w:rsidRPr="00C73365" w:rsidRDefault="00B740A8" w:rsidP="00B740A8">
      <w:pPr>
        <w:pStyle w:val="ConmainL3"/>
        <w:tabs>
          <w:tab w:val="clear" w:pos="360"/>
        </w:tabs>
        <w:ind w:left="0" w:firstLine="0"/>
        <w:outlineLvl w:val="9"/>
        <w:rPr>
          <w:rFonts w:asciiTheme="minorHAnsi" w:hAnsiTheme="minorHAnsi" w:cstheme="minorHAnsi"/>
          <w:b/>
          <w:color w:val="7030A0"/>
          <w:lang w:val="fr-FR"/>
        </w:rPr>
      </w:pPr>
    </w:p>
    <w:p w:rsidR="00B740A8" w:rsidRPr="00C73365" w:rsidRDefault="00B740A8" w:rsidP="00B740A8">
      <w:pPr>
        <w:pStyle w:val="ConmainL3"/>
        <w:tabs>
          <w:tab w:val="clear" w:pos="360"/>
        </w:tabs>
        <w:ind w:left="0" w:firstLine="0"/>
        <w:outlineLvl w:val="9"/>
        <w:rPr>
          <w:rFonts w:asciiTheme="minorHAnsi" w:hAnsiTheme="minorHAnsi" w:cstheme="minorHAnsi"/>
          <w:color w:val="000000"/>
          <w:lang w:val="fr-FR"/>
        </w:rPr>
      </w:pPr>
      <w:r w:rsidRPr="00C73365">
        <w:rPr>
          <w:rFonts w:asciiTheme="minorHAnsi" w:hAnsiTheme="minorHAnsi" w:cstheme="minorHAnsi"/>
          <w:color w:val="000000"/>
          <w:lang w:val="fr-FR"/>
        </w:rPr>
        <w:t xml:space="preserve">Les résolutions d’émission approuvées par les assemblées générales du 24 juin 2016 </w:t>
      </w:r>
      <w:r w:rsidRPr="00C73365">
        <w:rPr>
          <w:rFonts w:asciiTheme="minorHAnsi" w:hAnsiTheme="minorHAnsi" w:cstheme="minorHAnsi"/>
          <w:color w:val="000000"/>
          <w:lang w:val="fr-FR"/>
        </w:rPr>
        <w:br/>
        <w:t>et 23 juin 2017 statuant à titre extraordinaire sont synthétisées ci-dessous.</w:t>
      </w:r>
    </w:p>
    <w:p w:rsidR="00B740A8" w:rsidRPr="00C73365" w:rsidRDefault="00B740A8" w:rsidP="00B740A8">
      <w:pPr>
        <w:pStyle w:val="ConmainL3"/>
        <w:tabs>
          <w:tab w:val="clear" w:pos="360"/>
        </w:tabs>
        <w:ind w:left="0" w:firstLine="0"/>
        <w:outlineLvl w:val="9"/>
        <w:rPr>
          <w:rFonts w:asciiTheme="minorHAnsi" w:hAnsiTheme="minorHAnsi" w:cstheme="minorHAnsi"/>
          <w:b/>
          <w:color w:val="000000"/>
          <w:u w:val="single"/>
          <w:lang w:val="fr-FR"/>
        </w:rPr>
      </w:pPr>
      <w:r w:rsidRPr="00C73365">
        <w:rPr>
          <w:rFonts w:asciiTheme="minorHAnsi" w:hAnsiTheme="minorHAnsi" w:cstheme="minorHAnsi"/>
          <w:b/>
          <w:color w:val="000000"/>
          <w:u w:val="single"/>
          <w:lang w:val="fr-FR"/>
        </w:rPr>
        <w:t>Assemblée générale du 24 juin 2016</w:t>
      </w:r>
    </w:p>
    <w:tbl>
      <w:tblPr>
        <w:tblW w:w="14352" w:type="dxa"/>
        <w:tblLayout w:type="fixed"/>
        <w:tblCellMar>
          <w:left w:w="70" w:type="dxa"/>
          <w:right w:w="70" w:type="dxa"/>
        </w:tblCellMar>
        <w:tblLook w:val="04A0" w:firstRow="1" w:lastRow="0" w:firstColumn="1" w:lastColumn="0" w:noHBand="0" w:noVBand="1"/>
      </w:tblPr>
      <w:tblGrid>
        <w:gridCol w:w="6653"/>
        <w:gridCol w:w="160"/>
        <w:gridCol w:w="1407"/>
        <w:gridCol w:w="160"/>
        <w:gridCol w:w="1401"/>
        <w:gridCol w:w="160"/>
        <w:gridCol w:w="1523"/>
        <w:gridCol w:w="160"/>
        <w:gridCol w:w="2728"/>
      </w:tblGrid>
      <w:tr w:rsidR="00B740A8" w:rsidRPr="00C73365" w:rsidTr="00D1541A">
        <w:trPr>
          <w:cantSplit/>
          <w:trHeight w:val="676"/>
        </w:trPr>
        <w:tc>
          <w:tcPr>
            <w:tcW w:w="665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Nature de la délégation ou autorisation</w:t>
            </w:r>
          </w:p>
        </w:tc>
        <w:tc>
          <w:tcPr>
            <w:tcW w:w="160" w:type="dxa"/>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1407"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Date de l’assemblée générale</w:t>
            </w:r>
          </w:p>
        </w:tc>
        <w:tc>
          <w:tcPr>
            <w:tcW w:w="160" w:type="dxa"/>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1401"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Durée de validité/ Expiration</w:t>
            </w:r>
          </w:p>
        </w:tc>
        <w:tc>
          <w:tcPr>
            <w:tcW w:w="160" w:type="dxa"/>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152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Utilisation</w:t>
            </w:r>
          </w:p>
        </w:tc>
        <w:tc>
          <w:tcPr>
            <w:tcW w:w="160" w:type="dxa"/>
            <w:vAlign w:val="center"/>
            <w:hideMark/>
          </w:tcPr>
          <w:p w:rsidR="00B740A8" w:rsidRPr="00C73365" w:rsidRDefault="00B740A8" w:rsidP="00D1541A">
            <w:pPr>
              <w:rPr>
                <w:rFonts w:asciiTheme="minorHAnsi" w:hAnsiTheme="minorHAnsi" w:cstheme="minorHAnsi"/>
                <w:b/>
                <w:bCs/>
                <w:color w:val="000000"/>
                <w:szCs w:val="20"/>
                <w:lang w:val="fr-FR" w:eastAsia="fr-FR"/>
              </w:rPr>
            </w:pPr>
          </w:p>
        </w:tc>
        <w:tc>
          <w:tcPr>
            <w:tcW w:w="2728"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Plafond maximum autorisé</w:t>
            </w:r>
          </w:p>
        </w:tc>
      </w:tr>
      <w:tr w:rsidR="00B740A8" w:rsidRPr="00C73365" w:rsidTr="00D1541A">
        <w:trPr>
          <w:cantSplit/>
          <w:trHeight w:val="676"/>
        </w:trPr>
        <w:tc>
          <w:tcPr>
            <w:tcW w:w="665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Emission avec maintien du droit préférentiel de souscription, d</w:t>
            </w:r>
            <w:r w:rsidR="004572A0" w:rsidRPr="00C73365">
              <w:rPr>
                <w:rFonts w:asciiTheme="minorHAnsi" w:hAnsiTheme="minorHAnsi" w:cstheme="minorHAnsi"/>
                <w:bCs/>
                <w:color w:val="000000"/>
                <w:szCs w:val="20"/>
                <w:lang w:val="fr-FR" w:eastAsia="fr-FR"/>
              </w:rPr>
              <w:t>’</w:t>
            </w:r>
            <w:r w:rsidRPr="00C73365">
              <w:rPr>
                <w:rFonts w:asciiTheme="minorHAnsi" w:hAnsiTheme="minorHAnsi" w:cstheme="minorHAnsi"/>
                <w:bCs/>
                <w:color w:val="000000"/>
                <w:szCs w:val="20"/>
                <w:lang w:val="fr-FR" w:eastAsia="fr-FR"/>
              </w:rPr>
              <w:t>actions et/ou de valeurs mobilières donnant accès immédiatement et/ou à terme au capital de la Société (dixième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7"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1"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2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728"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50 000 € (1)</w:t>
            </w:r>
          </w:p>
        </w:tc>
      </w:tr>
      <w:tr w:rsidR="00B740A8" w:rsidRPr="00C73365" w:rsidTr="00D1541A">
        <w:trPr>
          <w:cantSplit/>
          <w:trHeight w:val="676"/>
        </w:trPr>
        <w:tc>
          <w:tcPr>
            <w:tcW w:w="665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Emission avec suppression du droit préférentiel de souscription, par une offre au public, d</w:t>
            </w:r>
            <w:r w:rsidR="004572A0" w:rsidRPr="00C73365">
              <w:rPr>
                <w:rFonts w:asciiTheme="minorHAnsi" w:hAnsiTheme="minorHAnsi" w:cstheme="minorHAnsi"/>
                <w:bCs/>
                <w:color w:val="000000"/>
                <w:szCs w:val="20"/>
                <w:lang w:val="fr-FR" w:eastAsia="fr-FR"/>
              </w:rPr>
              <w:t>’</w:t>
            </w:r>
            <w:r w:rsidRPr="00C73365">
              <w:rPr>
                <w:rFonts w:asciiTheme="minorHAnsi" w:hAnsiTheme="minorHAnsi" w:cstheme="minorHAnsi"/>
                <w:bCs/>
                <w:color w:val="000000"/>
                <w:szCs w:val="20"/>
                <w:lang w:val="fr-FR" w:eastAsia="fr-FR"/>
              </w:rPr>
              <w:t>actions et/ou de valeurs mobilières donnant accès immédiatement et/ou à terme au capital de la Société et faculté de conférer un droit de priorité (onzième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7"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1"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2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728"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50 000 € (1)</w:t>
            </w:r>
          </w:p>
        </w:tc>
      </w:tr>
      <w:tr w:rsidR="00B740A8" w:rsidRPr="008C1A4A" w:rsidTr="00D1541A">
        <w:trPr>
          <w:cantSplit/>
          <w:trHeight w:val="676"/>
        </w:trPr>
        <w:tc>
          <w:tcPr>
            <w:tcW w:w="665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Augmentation de capital immédiatement ou à terme par émission d’actions ordinaires ou de toutes valeurs mobilières donnant accès au capital, dans la limite de 20 % du capital social par an, avec suppression du droit préférentiel de souscription des actionnaires, par une offre à des investisseurs qualifiés ou à un cercle restreint d’investisseurs au sens du paragraphe II de l’article L. 411-2 du code monétaire et financier (placement privé) (douzième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7"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1"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2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 CA du 18 </w:t>
            </w:r>
            <w:r w:rsidR="00E73A7C">
              <w:rPr>
                <w:rFonts w:asciiTheme="minorHAnsi" w:hAnsiTheme="minorHAnsi" w:cstheme="minorHAnsi"/>
                <w:bCs/>
                <w:color w:val="000000"/>
                <w:szCs w:val="20"/>
                <w:lang w:val="fr-FR" w:eastAsia="fr-FR"/>
              </w:rPr>
              <w:t>septembre</w:t>
            </w:r>
            <w:r w:rsidRPr="00C73365">
              <w:rPr>
                <w:rFonts w:asciiTheme="minorHAnsi" w:hAnsiTheme="minorHAnsi" w:cstheme="minorHAnsi"/>
                <w:bCs/>
                <w:color w:val="000000"/>
                <w:szCs w:val="20"/>
                <w:lang w:val="fr-FR" w:eastAsia="fr-FR"/>
              </w:rPr>
              <w:t xml:space="preserve"> 2017 (émission de BSA Kepler pour un maximum de 970 000 BSA Kepler)  </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728"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50 000 € et dans la limite de 20% du capital social existant à la date de l’opération et par an (1)</w:t>
            </w:r>
          </w:p>
        </w:tc>
      </w:tr>
      <w:tr w:rsidR="00B740A8" w:rsidRPr="008C1A4A" w:rsidTr="00D1541A">
        <w:trPr>
          <w:cantSplit/>
          <w:trHeight w:val="676"/>
        </w:trPr>
        <w:tc>
          <w:tcPr>
            <w:tcW w:w="665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au conseil, en cas d’émission d’actions ou de toute valeur mobilière donnant accès au capital avec suppression du droit préférentiel de souscription des actionnaires, de fixer le prix d’émission dans la limite de 10% du capital social et dans les limites prévues par l’assemblée générale (treizième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7"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1"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2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728"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Dans la limite de 10% du capital social par an </w:t>
            </w:r>
          </w:p>
        </w:tc>
      </w:tr>
      <w:tr w:rsidR="00B740A8" w:rsidRPr="00C73365" w:rsidTr="00D1541A">
        <w:trPr>
          <w:cantSplit/>
          <w:trHeight w:val="676"/>
        </w:trPr>
        <w:tc>
          <w:tcPr>
            <w:tcW w:w="6653" w:type="dxa"/>
            <w:tcBorders>
              <w:top w:val="single" w:sz="12" w:space="0" w:color="7030A0"/>
              <w:left w:val="nil"/>
              <w:bottom w:val="single" w:sz="12" w:space="0" w:color="7030A0"/>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Emission d’actions ordinaires ou de valeurs mobilières donnant accès au capital destinées à rémunérer des apports de titres en cas d’offre publique comportant une composante d’échange initiée par la Société (quinzième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7" w:type="dxa"/>
            <w:tcBorders>
              <w:top w:val="single" w:sz="12" w:space="0" w:color="7030A0"/>
              <w:left w:val="nil"/>
              <w:bottom w:val="single" w:sz="12"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1" w:type="dxa"/>
            <w:tcBorders>
              <w:top w:val="single" w:sz="12" w:space="0" w:color="7030A0"/>
              <w:left w:val="nil"/>
              <w:bottom w:val="single" w:sz="12"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23" w:type="dxa"/>
            <w:tcBorders>
              <w:top w:val="single" w:sz="12" w:space="0" w:color="7030A0"/>
              <w:left w:val="nil"/>
              <w:bottom w:val="single" w:sz="12"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728" w:type="dxa"/>
            <w:tcBorders>
              <w:top w:val="single" w:sz="12" w:space="0" w:color="7030A0"/>
              <w:left w:val="nil"/>
              <w:bottom w:val="single" w:sz="12"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50 000 € (1) </w:t>
            </w:r>
          </w:p>
        </w:tc>
      </w:tr>
      <w:tr w:rsidR="00B740A8" w:rsidRPr="008C1A4A" w:rsidTr="00D1541A">
        <w:trPr>
          <w:cantSplit/>
          <w:trHeight w:val="676"/>
        </w:trPr>
        <w:tc>
          <w:tcPr>
            <w:tcW w:w="6653" w:type="dxa"/>
            <w:tcBorders>
              <w:top w:val="single" w:sz="12" w:space="0" w:color="7030A0"/>
              <w:left w:val="nil"/>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lastRenderedPageBreak/>
              <w:t>Délégation de compétence consentie au conseil en vue d’augmenter le capital social, dans les limites de 10% du capital, pour rémunérer des apports en nature de titres de capital ou de valeurs mobilières donnant accès au capital de sociétés tierces en dehors d’une offre publique d’échange (seizième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7" w:type="dxa"/>
            <w:tcBorders>
              <w:top w:val="single" w:sz="12" w:space="0" w:color="7030A0"/>
              <w:left w:val="nil"/>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01" w:type="dxa"/>
            <w:tcBorders>
              <w:top w:val="single" w:sz="12" w:space="0" w:color="7030A0"/>
              <w:left w:val="nil"/>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23" w:type="dxa"/>
            <w:tcBorders>
              <w:top w:val="single" w:sz="12" w:space="0" w:color="7030A0"/>
              <w:left w:val="nil"/>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728" w:type="dxa"/>
            <w:tcBorders>
              <w:top w:val="single" w:sz="12" w:space="0" w:color="7030A0"/>
              <w:left w:val="nil"/>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50 000 € et dans la limite de 10% du capital social par an (1)</w:t>
            </w:r>
          </w:p>
        </w:tc>
      </w:tr>
    </w:tbl>
    <w:p w:rsidR="00B740A8" w:rsidRPr="00C73365" w:rsidRDefault="00B740A8" w:rsidP="00B740A8">
      <w:pPr>
        <w:rPr>
          <w:rFonts w:asciiTheme="minorHAnsi" w:hAnsiTheme="minorHAnsi" w:cstheme="minorHAnsi"/>
          <w:lang w:val="fr-FR"/>
        </w:rPr>
      </w:pPr>
    </w:p>
    <w:tbl>
      <w:tblPr>
        <w:tblW w:w="14522" w:type="dxa"/>
        <w:tblCellMar>
          <w:left w:w="70" w:type="dxa"/>
          <w:right w:w="70" w:type="dxa"/>
        </w:tblCellMar>
        <w:tblLook w:val="04A0" w:firstRow="1" w:lastRow="0" w:firstColumn="1" w:lastColumn="0" w:noHBand="0" w:noVBand="1"/>
      </w:tblPr>
      <w:tblGrid>
        <w:gridCol w:w="6663"/>
        <w:gridCol w:w="160"/>
        <w:gridCol w:w="1330"/>
        <w:gridCol w:w="159"/>
        <w:gridCol w:w="1469"/>
        <w:gridCol w:w="160"/>
        <w:gridCol w:w="1586"/>
        <w:gridCol w:w="159"/>
        <w:gridCol w:w="2836"/>
      </w:tblGrid>
      <w:tr w:rsidR="00B740A8" w:rsidRPr="00C73365" w:rsidTr="00D1541A">
        <w:trPr>
          <w:cantSplit/>
          <w:trHeight w:val="444"/>
        </w:trPr>
        <w:tc>
          <w:tcPr>
            <w:tcW w:w="6663"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Délégation de compétence consentie au conseil en vue d’augmenter le capital par incorporation de primes, réserves, bénéfices ou autres (dix-septième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330"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59"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69"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- 24/08/2018</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86"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9"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836"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50 000 €</w:t>
            </w:r>
          </w:p>
        </w:tc>
      </w:tr>
      <w:tr w:rsidR="00B740A8" w:rsidRPr="008C1A4A" w:rsidTr="00D1541A">
        <w:trPr>
          <w:cantSplit/>
          <w:trHeight w:val="613"/>
        </w:trPr>
        <w:tc>
          <w:tcPr>
            <w:tcW w:w="6663" w:type="dxa"/>
            <w:tcBorders>
              <w:top w:val="single" w:sz="12" w:space="0" w:color="7030A0"/>
              <w:left w:val="nil"/>
              <w:bottom w:val="single" w:sz="12" w:space="0" w:color="7030A0"/>
              <w:right w:val="nil"/>
            </w:tcBorders>
            <w:vAlign w:val="center"/>
            <w:hideMark/>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à donner au conseil de consentir des options de souscription ou d’achat d’actions de la Société (dix-huitième résolution)</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330"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59"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469"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38 mois - 24/08/2019</w:t>
            </w:r>
          </w:p>
        </w:tc>
        <w:tc>
          <w:tcPr>
            <w:tcW w:w="160"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586"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9" w:type="dxa"/>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2836" w:type="dxa"/>
            <w:tcBorders>
              <w:top w:val="single" w:sz="12" w:space="0" w:color="7030A0"/>
              <w:left w:val="nil"/>
              <w:bottom w:val="single" w:sz="8" w:space="0" w:color="7030A0"/>
              <w:right w:val="nil"/>
            </w:tcBorders>
            <w:vAlign w:val="center"/>
            <w:hideMark/>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dans la limite de 5 % du capital social existant au moment de l’attribution (2)</w:t>
            </w:r>
          </w:p>
        </w:tc>
      </w:tr>
      <w:tr w:rsidR="00B740A8" w:rsidRPr="008C1A4A" w:rsidTr="00D1541A">
        <w:trPr>
          <w:cantSplit/>
          <w:trHeight w:val="613"/>
        </w:trPr>
        <w:tc>
          <w:tcPr>
            <w:tcW w:w="6663" w:type="dxa"/>
            <w:tcBorders>
              <w:top w:val="single" w:sz="12" w:space="0" w:color="7030A0"/>
              <w:left w:val="nil"/>
              <w:bottom w:val="single" w:sz="12" w:space="0" w:color="7030A0"/>
              <w:right w:val="nil"/>
            </w:tcBorders>
            <w:vAlign w:val="center"/>
          </w:tcPr>
          <w:p w:rsidR="00B740A8" w:rsidRPr="00C73365" w:rsidRDefault="00B740A8" w:rsidP="00D1541A">
            <w:pPr>
              <w:spacing w:line="256" w:lineRule="auto"/>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à donner au conseil de procéder à l’attribution gratuite d’actions existantes ou à émettre (dix-neuvième résolution)</w:t>
            </w:r>
          </w:p>
        </w:tc>
        <w:tc>
          <w:tcPr>
            <w:tcW w:w="160" w:type="dxa"/>
            <w:vAlign w:val="center"/>
          </w:tcPr>
          <w:p w:rsidR="00B740A8" w:rsidRPr="00C73365" w:rsidRDefault="00B740A8" w:rsidP="00D1541A">
            <w:pPr>
              <w:rPr>
                <w:rFonts w:asciiTheme="minorHAnsi" w:hAnsiTheme="minorHAnsi" w:cstheme="minorHAnsi"/>
                <w:bCs/>
                <w:color w:val="000000"/>
                <w:szCs w:val="20"/>
                <w:lang w:val="fr-FR" w:eastAsia="fr-FR"/>
              </w:rPr>
            </w:pPr>
          </w:p>
        </w:tc>
        <w:tc>
          <w:tcPr>
            <w:tcW w:w="1330" w:type="dxa"/>
            <w:tcBorders>
              <w:top w:val="single" w:sz="12" w:space="0" w:color="7030A0"/>
              <w:left w:val="nil"/>
              <w:bottom w:val="single" w:sz="12" w:space="0" w:color="7030A0"/>
              <w:right w:val="nil"/>
            </w:tcBorders>
            <w:vAlign w:val="center"/>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24.06.2016</w:t>
            </w:r>
          </w:p>
        </w:tc>
        <w:tc>
          <w:tcPr>
            <w:tcW w:w="159" w:type="dxa"/>
            <w:vAlign w:val="center"/>
          </w:tcPr>
          <w:p w:rsidR="00B740A8" w:rsidRPr="00C73365" w:rsidRDefault="00B740A8" w:rsidP="00D1541A">
            <w:pPr>
              <w:rPr>
                <w:rFonts w:asciiTheme="minorHAnsi" w:hAnsiTheme="minorHAnsi" w:cstheme="minorHAnsi"/>
                <w:bCs/>
                <w:color w:val="000000"/>
                <w:szCs w:val="20"/>
                <w:lang w:val="fr-FR" w:eastAsia="fr-FR"/>
              </w:rPr>
            </w:pPr>
          </w:p>
        </w:tc>
        <w:tc>
          <w:tcPr>
            <w:tcW w:w="1469" w:type="dxa"/>
            <w:tcBorders>
              <w:top w:val="single" w:sz="12" w:space="0" w:color="7030A0"/>
              <w:left w:val="nil"/>
              <w:bottom w:val="single" w:sz="12" w:space="0" w:color="7030A0"/>
              <w:right w:val="nil"/>
            </w:tcBorders>
            <w:vAlign w:val="center"/>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38 mois - 24/08/2019</w:t>
            </w:r>
          </w:p>
        </w:tc>
        <w:tc>
          <w:tcPr>
            <w:tcW w:w="160" w:type="dxa"/>
            <w:vAlign w:val="center"/>
          </w:tcPr>
          <w:p w:rsidR="00B740A8" w:rsidRPr="00C73365" w:rsidRDefault="00B740A8" w:rsidP="00D1541A">
            <w:pPr>
              <w:rPr>
                <w:rFonts w:asciiTheme="minorHAnsi" w:hAnsiTheme="minorHAnsi" w:cstheme="minorHAnsi"/>
                <w:bCs/>
                <w:color w:val="000000"/>
                <w:szCs w:val="20"/>
                <w:lang w:val="fr-FR" w:eastAsia="fr-FR"/>
              </w:rPr>
            </w:pPr>
          </w:p>
        </w:tc>
        <w:tc>
          <w:tcPr>
            <w:tcW w:w="1586" w:type="dxa"/>
            <w:tcBorders>
              <w:top w:val="single" w:sz="12" w:space="0" w:color="7030A0"/>
              <w:left w:val="nil"/>
              <w:bottom w:val="single" w:sz="12" w:space="0" w:color="7030A0"/>
              <w:right w:val="nil"/>
            </w:tcBorders>
            <w:vAlign w:val="center"/>
          </w:tcPr>
          <w:p w:rsidR="00B740A8" w:rsidRPr="00C73365" w:rsidRDefault="00B740A8" w:rsidP="00D1541A">
            <w:pPr>
              <w:spacing w:line="256" w:lineRule="auto"/>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9" w:type="dxa"/>
            <w:vAlign w:val="center"/>
          </w:tcPr>
          <w:p w:rsidR="00B740A8" w:rsidRPr="00C73365" w:rsidRDefault="00B740A8" w:rsidP="00D1541A">
            <w:pPr>
              <w:rPr>
                <w:rFonts w:asciiTheme="minorHAnsi" w:hAnsiTheme="minorHAnsi" w:cstheme="minorHAnsi"/>
                <w:bCs/>
                <w:color w:val="000000"/>
                <w:szCs w:val="20"/>
                <w:lang w:val="fr-FR" w:eastAsia="fr-FR"/>
              </w:rPr>
            </w:pPr>
          </w:p>
        </w:tc>
        <w:tc>
          <w:tcPr>
            <w:tcW w:w="2836" w:type="dxa"/>
            <w:tcBorders>
              <w:top w:val="single" w:sz="12" w:space="0" w:color="7030A0"/>
              <w:left w:val="nil"/>
              <w:bottom w:val="single" w:sz="12" w:space="0" w:color="7030A0"/>
              <w:right w:val="nil"/>
            </w:tcBorders>
            <w:vAlign w:val="center"/>
          </w:tcPr>
          <w:p w:rsidR="00B740A8" w:rsidRPr="00C73365" w:rsidRDefault="00B740A8" w:rsidP="00D1541A">
            <w:pPr>
              <w:spacing w:line="256" w:lineRule="auto"/>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dans la limite de 5 % du capital social existant au moment de l’attribution (2)</w:t>
            </w:r>
          </w:p>
        </w:tc>
      </w:tr>
    </w:tbl>
    <w:p w:rsidR="00B740A8" w:rsidRPr="00C73365" w:rsidRDefault="00B740A8" w:rsidP="00B740A8">
      <w:pPr>
        <w:pStyle w:val="ConmainL3"/>
        <w:tabs>
          <w:tab w:val="clear" w:pos="360"/>
        </w:tabs>
        <w:ind w:left="0" w:firstLine="0"/>
        <w:outlineLvl w:val="9"/>
        <w:rPr>
          <w:rFonts w:asciiTheme="minorHAnsi" w:hAnsiTheme="minorHAnsi" w:cstheme="minorHAnsi"/>
          <w:b/>
          <w:color w:val="000000"/>
          <w:u w:val="single"/>
          <w:lang w:val="fr-FR"/>
        </w:rPr>
      </w:pPr>
    </w:p>
    <w:p w:rsidR="00B740A8" w:rsidRPr="00C73365" w:rsidRDefault="00B740A8" w:rsidP="00B740A8">
      <w:pPr>
        <w:pStyle w:val="ConmainL3"/>
        <w:tabs>
          <w:tab w:val="clear" w:pos="360"/>
        </w:tabs>
        <w:ind w:left="0" w:firstLine="0"/>
        <w:outlineLvl w:val="9"/>
        <w:rPr>
          <w:rFonts w:asciiTheme="minorHAnsi" w:hAnsiTheme="minorHAnsi" w:cstheme="minorHAnsi"/>
          <w:color w:val="000000"/>
          <w:lang w:val="fr-FR"/>
        </w:rPr>
      </w:pPr>
      <w:r w:rsidRPr="00C73365">
        <w:rPr>
          <w:rFonts w:asciiTheme="minorHAnsi" w:hAnsiTheme="minorHAnsi" w:cstheme="minorHAnsi"/>
          <w:b/>
          <w:color w:val="000000"/>
          <w:u w:val="single"/>
          <w:lang w:val="fr-FR"/>
        </w:rPr>
        <w:t>Assemblée générale du 23 juin 2017</w:t>
      </w:r>
    </w:p>
    <w:tbl>
      <w:tblPr>
        <w:tblW w:w="14475" w:type="dxa"/>
        <w:tblCellMar>
          <w:left w:w="70" w:type="dxa"/>
          <w:right w:w="70" w:type="dxa"/>
        </w:tblCellMar>
        <w:tblLook w:val="04A0" w:firstRow="1" w:lastRow="0" w:firstColumn="1" w:lastColumn="0" w:noHBand="0" w:noVBand="1"/>
      </w:tblPr>
      <w:tblGrid>
        <w:gridCol w:w="6888"/>
        <w:gridCol w:w="153"/>
        <w:gridCol w:w="1171"/>
        <w:gridCol w:w="153"/>
        <w:gridCol w:w="1516"/>
        <w:gridCol w:w="153"/>
        <w:gridCol w:w="1678"/>
        <w:gridCol w:w="153"/>
        <w:gridCol w:w="2610"/>
      </w:tblGrid>
      <w:tr w:rsidR="00B740A8" w:rsidRPr="008C1A4A" w:rsidTr="00D1541A">
        <w:trPr>
          <w:cantSplit/>
          <w:trHeight w:val="700"/>
        </w:trPr>
        <w:tc>
          <w:tcPr>
            <w:tcW w:w="688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Emission et attribution à titre gratuit de bons de souscription de parts de créateurs d’entreprise aux salariés et dirigeants de la Société (seizième résolution).</w:t>
            </w:r>
          </w:p>
        </w:tc>
        <w:tc>
          <w:tcPr>
            <w:tcW w:w="153"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171"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23.06.2017</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516"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18 mois - 23/12/2018</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67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CA du 20 novembre 2017 (émission de 150.000 BCE 2017-2, 101.061 BCE 2017-3, 67.374 BCE 2017-4, 67.374 BCE 2017-5)</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2610"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dans la limite de 5 % du capital social existant au moment de l’attribution (2)</w:t>
            </w:r>
          </w:p>
        </w:tc>
      </w:tr>
      <w:tr w:rsidR="00B740A8" w:rsidRPr="008C1A4A" w:rsidTr="00D1541A">
        <w:trPr>
          <w:cantSplit/>
          <w:trHeight w:val="700"/>
        </w:trPr>
        <w:tc>
          <w:tcPr>
            <w:tcW w:w="688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lastRenderedPageBreak/>
              <w:t>Emission de bons de souscription d’actions au profit de catégories de personnes définies (dix-septième résolution).</w:t>
            </w:r>
          </w:p>
        </w:tc>
        <w:tc>
          <w:tcPr>
            <w:tcW w:w="153"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171"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23.06.2017</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516"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- 23/12/2018</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67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CA du 18 </w:t>
            </w:r>
            <w:r w:rsidR="00E73A7C">
              <w:rPr>
                <w:rFonts w:asciiTheme="minorHAnsi" w:hAnsiTheme="minorHAnsi" w:cstheme="minorHAnsi"/>
                <w:bCs/>
                <w:color w:val="000000"/>
                <w:szCs w:val="20"/>
                <w:lang w:val="fr-FR" w:eastAsia="fr-FR"/>
              </w:rPr>
              <w:t>septembre</w:t>
            </w:r>
            <w:r w:rsidRPr="00C73365">
              <w:rPr>
                <w:rFonts w:asciiTheme="minorHAnsi" w:hAnsiTheme="minorHAnsi" w:cstheme="minorHAnsi"/>
                <w:bCs/>
                <w:color w:val="000000"/>
                <w:szCs w:val="20"/>
                <w:lang w:val="fr-FR" w:eastAsia="fr-FR"/>
              </w:rPr>
              <w:t xml:space="preserve"> 2017 (émission de 16.400 BSA-2017-1) et CA du 22 janvier 2018 (émission de 49.200 BSA-2018-1)</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2610"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dans la limite de 5 % du capital social existant au moment de l’attribution (2)</w:t>
            </w:r>
          </w:p>
        </w:tc>
      </w:tr>
      <w:tr w:rsidR="00B740A8" w:rsidRPr="008C1A4A" w:rsidTr="00D1541A">
        <w:trPr>
          <w:cantSplit/>
          <w:trHeight w:val="700"/>
        </w:trPr>
        <w:tc>
          <w:tcPr>
            <w:tcW w:w="688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de procéder à une augmentation de capital social dont la souscription serait réservée aux adhérents d’un plan d’épargne d’entreprise établi en application des articles L.3332-1 et suivants du Code du Travail, avec suppression du droit préférentiel de souscription au profit de ces derniers (dix-huitième résolution).</w:t>
            </w:r>
          </w:p>
        </w:tc>
        <w:tc>
          <w:tcPr>
            <w:tcW w:w="153"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171"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23.06.2017</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516"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- 23/08/2019</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67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2610"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dans la limite de 5 % du capital social existant au moment de l’attribution (2)</w:t>
            </w:r>
          </w:p>
        </w:tc>
      </w:tr>
      <w:tr w:rsidR="00B740A8" w:rsidRPr="008C1A4A" w:rsidTr="00D1541A">
        <w:trPr>
          <w:cantSplit/>
          <w:trHeight w:val="700"/>
        </w:trPr>
        <w:tc>
          <w:tcPr>
            <w:tcW w:w="6888"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de procéder à la réduction du capital par annulation des actions auto détenues par la Société (dix-neuvième résolution).</w:t>
            </w:r>
          </w:p>
        </w:tc>
        <w:tc>
          <w:tcPr>
            <w:tcW w:w="153"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171"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23.06.2017</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516"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24 mois - 23/06/2019</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678"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2610"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Dans la limite de 10% du capital social par an </w:t>
            </w:r>
          </w:p>
        </w:tc>
      </w:tr>
      <w:tr w:rsidR="00B740A8" w:rsidRPr="00C73365" w:rsidTr="00D1541A">
        <w:trPr>
          <w:cantSplit/>
          <w:trHeight w:val="700"/>
        </w:trPr>
        <w:tc>
          <w:tcPr>
            <w:tcW w:w="6888"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de procéder à une augmentation de capital par émission d’actions, de titres de capital donnant accès à d’autres titres de capital ou donnant droit à l’attribution de titres de créance et/ou de valeurs mobilières donnant accès à des titres de capital, avec suppression du droit préférentiel de souscription au profit d’une catégorie de personnes (vingtième résolution).</w:t>
            </w:r>
          </w:p>
        </w:tc>
        <w:tc>
          <w:tcPr>
            <w:tcW w:w="153"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171"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23.06.2017</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516"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- 23/06/2019</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678"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2610"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50 000 € (1) </w:t>
            </w:r>
          </w:p>
        </w:tc>
      </w:tr>
      <w:tr w:rsidR="00B740A8" w:rsidRPr="00C73365" w:rsidTr="00D1541A">
        <w:trPr>
          <w:cantSplit/>
          <w:trHeight w:val="700"/>
        </w:trPr>
        <w:tc>
          <w:tcPr>
            <w:tcW w:w="688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Autorisation d’une augmentation du nombre de titres à émettre en cas d’augmentation de capital avec ou sans droit préférentiel de souscription (vingt-et-unième résolution).</w:t>
            </w:r>
          </w:p>
        </w:tc>
        <w:tc>
          <w:tcPr>
            <w:tcW w:w="153" w:type="dxa"/>
            <w:tcBorders>
              <w:top w:val="nil"/>
              <w:left w:val="nil"/>
              <w:bottom w:val="nil"/>
              <w:right w:val="nil"/>
            </w:tcBorders>
            <w:shd w:val="clear" w:color="auto" w:fill="auto"/>
            <w:vAlign w:val="center"/>
            <w:hideMark/>
          </w:tcPr>
          <w:p w:rsidR="00B740A8" w:rsidRPr="00C73365" w:rsidRDefault="00B740A8" w:rsidP="00D1541A">
            <w:pPr>
              <w:rPr>
                <w:rFonts w:asciiTheme="minorHAnsi" w:hAnsiTheme="minorHAnsi" w:cstheme="minorHAnsi"/>
                <w:bCs/>
                <w:color w:val="000000"/>
                <w:szCs w:val="20"/>
                <w:lang w:val="fr-FR" w:eastAsia="fr-FR"/>
              </w:rPr>
            </w:pPr>
          </w:p>
        </w:tc>
        <w:tc>
          <w:tcPr>
            <w:tcW w:w="1171"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23.06.2017</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516"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26 mois - 23/06/2019</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1678"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w:t>
            </w:r>
          </w:p>
        </w:tc>
        <w:tc>
          <w:tcPr>
            <w:tcW w:w="153"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Cs/>
                <w:color w:val="000000"/>
                <w:szCs w:val="20"/>
                <w:lang w:val="fr-FR" w:eastAsia="fr-FR"/>
              </w:rPr>
            </w:pPr>
          </w:p>
        </w:tc>
        <w:tc>
          <w:tcPr>
            <w:tcW w:w="2610" w:type="dxa"/>
            <w:tcBorders>
              <w:top w:val="single" w:sz="12" w:space="0" w:color="7030A0"/>
              <w:left w:val="nil"/>
              <w:bottom w:val="single" w:sz="12" w:space="0" w:color="7030A0"/>
              <w:right w:val="nil"/>
            </w:tcBorders>
            <w:shd w:val="clear" w:color="auto" w:fill="auto"/>
            <w:vAlign w:val="center"/>
            <w:hideMark/>
          </w:tcPr>
          <w:p w:rsidR="00B740A8" w:rsidRPr="00C73365" w:rsidRDefault="00B740A8" w:rsidP="00D1541A">
            <w:pPr>
              <w:jc w:val="right"/>
              <w:rPr>
                <w:rFonts w:asciiTheme="minorHAnsi" w:hAnsiTheme="minorHAnsi" w:cstheme="minorHAnsi"/>
                <w:bCs/>
                <w:color w:val="000000"/>
                <w:szCs w:val="20"/>
                <w:lang w:val="fr-FR" w:eastAsia="fr-FR"/>
              </w:rPr>
            </w:pPr>
            <w:r w:rsidRPr="00C73365">
              <w:rPr>
                <w:rFonts w:asciiTheme="minorHAnsi" w:hAnsiTheme="minorHAnsi" w:cstheme="minorHAnsi"/>
                <w:bCs/>
                <w:color w:val="000000"/>
                <w:szCs w:val="20"/>
                <w:lang w:val="fr-FR" w:eastAsia="fr-FR"/>
              </w:rPr>
              <w:t xml:space="preserve">15% de l’émission initiale </w:t>
            </w:r>
          </w:p>
        </w:tc>
      </w:tr>
    </w:tbl>
    <w:p w:rsidR="00B740A8" w:rsidRPr="00C73365" w:rsidRDefault="00B740A8" w:rsidP="00B740A8">
      <w:pPr>
        <w:pStyle w:val="ListParagraph"/>
        <w:widowControl w:val="0"/>
        <w:autoSpaceDE w:val="0"/>
        <w:autoSpaceDN w:val="0"/>
        <w:adjustRightInd w:val="0"/>
        <w:spacing w:before="27"/>
        <w:ind w:left="0"/>
        <w:rPr>
          <w:rFonts w:asciiTheme="minorHAnsi" w:hAnsiTheme="minorHAnsi" w:cstheme="minorHAnsi"/>
          <w:sz w:val="18"/>
          <w:szCs w:val="18"/>
          <w:lang w:val="fr-FR"/>
        </w:rPr>
      </w:pPr>
    </w:p>
    <w:p w:rsidR="00B740A8" w:rsidRPr="00C73365" w:rsidRDefault="00B740A8" w:rsidP="00B740A8">
      <w:pPr>
        <w:pStyle w:val="ListParagraph"/>
        <w:widowControl w:val="0"/>
        <w:autoSpaceDE w:val="0"/>
        <w:autoSpaceDN w:val="0"/>
        <w:adjustRightInd w:val="0"/>
        <w:spacing w:before="27"/>
        <w:ind w:left="0"/>
        <w:rPr>
          <w:rFonts w:asciiTheme="minorHAnsi" w:hAnsiTheme="minorHAnsi" w:cstheme="minorHAnsi"/>
          <w:sz w:val="18"/>
          <w:szCs w:val="18"/>
          <w:lang w:val="fr-FR"/>
        </w:rPr>
      </w:pPr>
      <w:r w:rsidRPr="00C73365">
        <w:rPr>
          <w:rFonts w:asciiTheme="minorHAnsi" w:hAnsiTheme="minorHAnsi" w:cstheme="minorHAnsi"/>
          <w:sz w:val="18"/>
          <w:szCs w:val="18"/>
          <w:lang w:val="fr-FR"/>
        </w:rPr>
        <w:t>1) Ces montants ne sont pas cumulatifs. Le plafond cumulé maximum autorisé par l’assemblée générale des augmentations de capital en valeur nominale est fixé à 50 000 €. Le montant nominal global des émissions de valeurs mobilières représentatives de créances sur la Société donnant accès au capital de la Société ne pourra pour sa part, excéder 50 000 000 € ;</w:t>
      </w:r>
    </w:p>
    <w:p w:rsidR="00B740A8" w:rsidRPr="00C73365" w:rsidRDefault="00B740A8" w:rsidP="00B740A8">
      <w:pPr>
        <w:pStyle w:val="ListParagraph"/>
        <w:ind w:left="0"/>
        <w:rPr>
          <w:rFonts w:asciiTheme="minorHAnsi" w:hAnsiTheme="minorHAnsi" w:cstheme="minorHAnsi"/>
          <w:sz w:val="18"/>
          <w:szCs w:val="18"/>
          <w:lang w:val="fr-FR"/>
        </w:rPr>
      </w:pPr>
      <w:r w:rsidRPr="00C73365">
        <w:rPr>
          <w:rFonts w:asciiTheme="minorHAnsi" w:hAnsiTheme="minorHAnsi" w:cstheme="minorHAnsi"/>
          <w:sz w:val="18"/>
          <w:szCs w:val="18"/>
          <w:lang w:val="fr-FR"/>
        </w:rPr>
        <w:t xml:space="preserve">(2) 5 % du capital social de la Société, sur une base pleinement diluée (c’est-à-dire en supposant exercés l’ensemble des valeurs mobilières et autres droits donnant accès au capital de la Société en circulation) au jour de la décision du conseil d’administration de consentir les options de souscription ou d’achat d’actions, d’attribuer les actions gratuites ou d’attribuer les bons de souscription de parts de créateur d’entreprise ou les bons de souscription d’actions. </w:t>
      </w:r>
    </w:p>
    <w:p w:rsidR="00B740A8" w:rsidRPr="00C73365" w:rsidRDefault="00B740A8" w:rsidP="00B740A8">
      <w:pPr>
        <w:widowControl w:val="0"/>
        <w:autoSpaceDE w:val="0"/>
        <w:autoSpaceDN w:val="0"/>
        <w:adjustRightInd w:val="0"/>
        <w:rPr>
          <w:rFonts w:asciiTheme="minorHAnsi" w:hAnsiTheme="minorHAnsi" w:cstheme="minorHAnsi"/>
          <w:sz w:val="18"/>
          <w:szCs w:val="18"/>
          <w:lang w:val="fr-FR"/>
        </w:rPr>
      </w:pPr>
    </w:p>
    <w:p w:rsidR="00B740A8" w:rsidRPr="00C73365" w:rsidRDefault="00B740A8" w:rsidP="004572A0">
      <w:pPr>
        <w:pStyle w:val="BodyText"/>
        <w:rPr>
          <w:rFonts w:asciiTheme="minorHAnsi" w:hAnsiTheme="minorHAnsi" w:cstheme="minorHAnsi"/>
          <w:lang w:val="fr-FR"/>
        </w:rPr>
        <w:sectPr w:rsidR="00B740A8" w:rsidRPr="00C73365" w:rsidSect="00D1541A">
          <w:pgSz w:w="16840" w:h="11900" w:orient="landscape"/>
          <w:pgMar w:top="1134" w:right="1134" w:bottom="1134" w:left="1134" w:header="720" w:footer="720" w:gutter="0"/>
          <w:cols w:space="720" w:equalWidth="0">
            <w:col w:w="9352"/>
          </w:cols>
          <w:noEndnote/>
        </w:sectPr>
      </w:pPr>
    </w:p>
    <w:p w:rsidR="00B740A8" w:rsidRPr="00C73365" w:rsidRDefault="00B740A8" w:rsidP="00434C49">
      <w:pPr>
        <w:pStyle w:val="ConmainL3"/>
        <w:keepNext w:val="0"/>
        <w:widowControl w:val="0"/>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Informations sur le capital de la Société faisant l’objet d’une option ou d’un accord conditionnel ou inconditionnel prévoyant de le placer sous option</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Néant.</w:t>
      </w:r>
    </w:p>
    <w:p w:rsidR="00B740A8" w:rsidRPr="00C73365" w:rsidRDefault="00B740A8" w:rsidP="00434C49">
      <w:pPr>
        <w:pStyle w:val="ConmainL3"/>
        <w:keepNext w:val="0"/>
        <w:widowControl w:val="0"/>
        <w:numPr>
          <w:ilvl w:val="2"/>
          <w:numId w:val="102"/>
        </w:numPr>
        <w:ind w:left="1440"/>
        <w:rPr>
          <w:rFonts w:asciiTheme="minorHAnsi" w:hAnsiTheme="minorHAnsi" w:cstheme="minorHAnsi"/>
          <w:b/>
          <w:color w:val="7030A0"/>
          <w:lang w:val="fr-FR"/>
        </w:rPr>
      </w:pPr>
      <w:bookmarkStart w:id="1557" w:name="_Toc290245462"/>
      <w:bookmarkStart w:id="1558" w:name="_Toc290293385"/>
      <w:bookmarkStart w:id="1559" w:name="_Toc290295019"/>
      <w:bookmarkStart w:id="1560" w:name="_Toc291712787"/>
      <w:bookmarkStart w:id="1561" w:name="_Toc292267625"/>
      <w:bookmarkStart w:id="1562" w:name="_Toc292876545"/>
      <w:bookmarkStart w:id="1563" w:name="_Toc293328381"/>
      <w:bookmarkStart w:id="1564" w:name="_Toc299090774"/>
      <w:bookmarkStart w:id="1565" w:name="_Toc299093073"/>
      <w:bookmarkStart w:id="1566" w:name="_Toc299094558"/>
      <w:r w:rsidRPr="00C73365">
        <w:rPr>
          <w:rFonts w:asciiTheme="minorHAnsi" w:hAnsiTheme="minorHAnsi" w:cstheme="minorHAnsi"/>
          <w:b/>
          <w:color w:val="7030A0"/>
          <w:lang w:val="fr-FR"/>
        </w:rPr>
        <w:t>Historique du capital social</w:t>
      </w:r>
      <w:bookmarkStart w:id="1567" w:name="_Toc290245463"/>
      <w:bookmarkStart w:id="1568" w:name="_Toc290293386"/>
      <w:bookmarkStart w:id="1569" w:name="_Toc290295020"/>
      <w:bookmarkStart w:id="1570" w:name="_Toc291712788"/>
      <w:bookmarkStart w:id="1571" w:name="_Toc292267626"/>
      <w:bookmarkStart w:id="1572" w:name="_Toc292876546"/>
      <w:bookmarkStart w:id="1573" w:name="_Toc293328382"/>
      <w:bookmarkStart w:id="1574" w:name="_Toc299090775"/>
      <w:bookmarkStart w:id="1575" w:name="_Toc299093074"/>
      <w:bookmarkStart w:id="1576" w:name="_Toc299094559"/>
      <w:bookmarkEnd w:id="1557"/>
      <w:bookmarkEnd w:id="1558"/>
      <w:bookmarkEnd w:id="1559"/>
      <w:bookmarkEnd w:id="1560"/>
      <w:bookmarkEnd w:id="1561"/>
      <w:bookmarkEnd w:id="1562"/>
      <w:bookmarkEnd w:id="1563"/>
      <w:bookmarkEnd w:id="1564"/>
      <w:bookmarkEnd w:id="1565"/>
      <w:bookmarkEnd w:id="1566"/>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Evolution </w:t>
      </w:r>
      <w:bookmarkEnd w:id="1567"/>
      <w:bookmarkEnd w:id="1568"/>
      <w:bookmarkEnd w:id="1569"/>
      <w:bookmarkEnd w:id="1570"/>
      <w:bookmarkEnd w:id="1571"/>
      <w:bookmarkEnd w:id="1572"/>
      <w:bookmarkEnd w:id="1573"/>
      <w:bookmarkEnd w:id="1574"/>
      <w:bookmarkEnd w:id="1575"/>
      <w:bookmarkEnd w:id="1576"/>
      <w:r w:rsidRPr="00C73365">
        <w:rPr>
          <w:rFonts w:asciiTheme="minorHAnsi" w:hAnsiTheme="minorHAnsi" w:cstheme="minorHAnsi"/>
          <w:b/>
          <w:lang w:val="fr-FR"/>
        </w:rPr>
        <w:t>historique :</w:t>
      </w:r>
    </w:p>
    <w:tbl>
      <w:tblPr>
        <w:tblW w:w="10206" w:type="dxa"/>
        <w:tblCellMar>
          <w:left w:w="70" w:type="dxa"/>
          <w:right w:w="70" w:type="dxa"/>
        </w:tblCellMar>
        <w:tblLook w:val="04A0" w:firstRow="1" w:lastRow="0" w:firstColumn="1" w:lastColumn="0" w:noHBand="0" w:noVBand="1"/>
      </w:tblPr>
      <w:tblGrid>
        <w:gridCol w:w="1427"/>
        <w:gridCol w:w="160"/>
        <w:gridCol w:w="1189"/>
        <w:gridCol w:w="146"/>
        <w:gridCol w:w="869"/>
        <w:gridCol w:w="146"/>
        <w:gridCol w:w="961"/>
        <w:gridCol w:w="146"/>
        <w:gridCol w:w="870"/>
        <w:gridCol w:w="160"/>
        <w:gridCol w:w="992"/>
        <w:gridCol w:w="181"/>
        <w:gridCol w:w="845"/>
        <w:gridCol w:w="146"/>
        <w:gridCol w:w="869"/>
        <w:gridCol w:w="146"/>
        <w:gridCol w:w="953"/>
      </w:tblGrid>
      <w:tr w:rsidR="00B740A8" w:rsidRPr="008C1A4A" w:rsidTr="00D1541A">
        <w:trPr>
          <w:trHeight w:val="1383"/>
        </w:trPr>
        <w:tc>
          <w:tcPr>
            <w:tcW w:w="1427" w:type="dxa"/>
            <w:tcBorders>
              <w:top w:val="single" w:sz="12" w:space="0" w:color="7030A0"/>
              <w:left w:val="nil"/>
              <w:bottom w:val="single" w:sz="8" w:space="0" w:color="7030A0"/>
              <w:right w:val="nil"/>
            </w:tcBorders>
            <w:shd w:val="clear" w:color="auto" w:fill="auto"/>
            <w:vAlign w:val="center"/>
            <w:hideMark/>
          </w:tcPr>
          <w:bookmarkEnd w:id="1547"/>
          <w:bookmarkEnd w:id="1548"/>
          <w:bookmarkEnd w:id="1549"/>
          <w:bookmarkEnd w:id="1550"/>
          <w:bookmarkEnd w:id="1551"/>
          <w:bookmarkEnd w:id="1552"/>
          <w:bookmarkEnd w:id="1553"/>
          <w:bookmarkEnd w:id="1554"/>
          <w:bookmarkEnd w:id="1555"/>
          <w:bookmarkEnd w:id="1556"/>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Date des émissions</w:t>
            </w:r>
          </w:p>
        </w:tc>
        <w:tc>
          <w:tcPr>
            <w:tcW w:w="160"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118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Nature des opérations</w:t>
            </w:r>
          </w:p>
        </w:tc>
        <w:tc>
          <w:tcPr>
            <w:tcW w:w="146"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86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Capital</w:t>
            </w:r>
          </w:p>
        </w:tc>
        <w:tc>
          <w:tcPr>
            <w:tcW w:w="146"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961"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Prime d’émission</w:t>
            </w:r>
          </w:p>
        </w:tc>
        <w:tc>
          <w:tcPr>
            <w:tcW w:w="146"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870"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Nombre d’actions créées</w:t>
            </w:r>
          </w:p>
        </w:tc>
        <w:tc>
          <w:tcPr>
            <w:tcW w:w="160"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992"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Nombre d’actions cumulés composant le capital social après opération</w:t>
            </w:r>
          </w:p>
        </w:tc>
        <w:tc>
          <w:tcPr>
            <w:tcW w:w="181"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845"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Valeur nominale</w:t>
            </w:r>
          </w:p>
        </w:tc>
        <w:tc>
          <w:tcPr>
            <w:tcW w:w="146"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869"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Capital social</w:t>
            </w:r>
          </w:p>
        </w:tc>
        <w:tc>
          <w:tcPr>
            <w:tcW w:w="146" w:type="dxa"/>
            <w:tcBorders>
              <w:top w:val="nil"/>
              <w:left w:val="nil"/>
              <w:bottom w:val="nil"/>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p>
        </w:tc>
        <w:tc>
          <w:tcPr>
            <w:tcW w:w="953" w:type="dxa"/>
            <w:tcBorders>
              <w:top w:val="single" w:sz="12" w:space="0" w:color="7030A0"/>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b/>
                <w:bCs/>
                <w:color w:val="000000"/>
                <w:sz w:val="18"/>
                <w:szCs w:val="18"/>
                <w:lang w:val="fr-FR" w:eastAsia="fr-FR"/>
              </w:rPr>
            </w:pPr>
            <w:r w:rsidRPr="00C73365">
              <w:rPr>
                <w:rFonts w:asciiTheme="minorHAnsi" w:hAnsiTheme="minorHAnsi" w:cstheme="minorHAnsi"/>
                <w:b/>
                <w:bCs/>
                <w:color w:val="000000"/>
                <w:sz w:val="18"/>
                <w:szCs w:val="18"/>
                <w:lang w:val="fr-FR" w:eastAsia="fr-FR"/>
              </w:rPr>
              <w:t>Prix d’émission par action avant division par 100 de la valeur nominale des actions</w:t>
            </w:r>
          </w:p>
        </w:tc>
      </w:tr>
      <w:tr w:rsidR="00B740A8" w:rsidRPr="00C73365" w:rsidTr="00D1541A">
        <w:trPr>
          <w:trHeight w:val="1766"/>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25.04.2014</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Augmentation de capital par apport en nature et augmentation de capital par émission d’actions nouvelles</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40.000</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32.467.755</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25.995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65.995</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65.995</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1.250 €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21.05.2014</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BCE-2014-3</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65.995</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555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66.550</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66.550</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1 €</w:t>
            </w:r>
          </w:p>
        </w:tc>
      </w:tr>
      <w:tr w:rsidR="00B740A8" w:rsidRPr="00C73365" w:rsidTr="00D1541A">
        <w:trPr>
          <w:trHeight w:val="984"/>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30.07.2014</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Augmentation de capital par émissions d’actions nouvelles</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66.550</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3.247.400</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2.600</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69.150</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69.150</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1.250 €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20.02.2015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Division du nominal</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6.915.000</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69.150</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24.03.2015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BCE-2014-5</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69.150</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2.800</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6.917.800</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69.178</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w:t>
            </w:r>
          </w:p>
        </w:tc>
      </w:tr>
      <w:tr w:rsidR="00B740A8" w:rsidRPr="00C73365" w:rsidTr="00D1541A">
        <w:trPr>
          <w:trHeight w:val="984"/>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06.07.2015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Augmentation de capital par émission d’actions nouvelles</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69.178</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57.633.924</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2.707.089</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9.624.889</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96.248,89</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21,30 €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25.09.2015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BSA-2014-3</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96.248,89</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6.400</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9.631.289</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96.312,89</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26.09.2015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BSA-2014-2</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96.312,89</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44.800</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9.676.089</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96.760,89</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22.12.2015</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BCE-2014-3</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96.760,89</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20.800</w:t>
            </w:r>
          </w:p>
        </w:tc>
        <w:tc>
          <w:tcPr>
            <w:tcW w:w="160"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9.696.889</w:t>
            </w:r>
          </w:p>
        </w:tc>
        <w:tc>
          <w:tcPr>
            <w:tcW w:w="181"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96.968,89</w:t>
            </w:r>
          </w:p>
        </w:tc>
        <w:tc>
          <w:tcPr>
            <w:tcW w:w="146" w:type="dxa"/>
            <w:tcBorders>
              <w:top w:val="nil"/>
              <w:left w:val="nil"/>
              <w:bottom w:val="nil"/>
              <w:right w:val="nil"/>
            </w:tcBorders>
            <w:shd w:val="clear" w:color="auto" w:fill="auto"/>
            <w:noWrap/>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hideMark/>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11.04.2016</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BSA-2014-6</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96.968,89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5.200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9.702.089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97.020,89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17.03.2017</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BSA-2014-1</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97 020,89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39.400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9.741.489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97.414,89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01.08.2017</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 2014-4</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97.414,89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47.340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9.788.829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97.988,29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lastRenderedPageBreak/>
              <w:t>01.08.2017</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 2014-4</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97.988,29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10.000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9.798.829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97.988,29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28.09.2017</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BCE-2014-2</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97.988,29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40.000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9.838.829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98.388,29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09.2017</w:t>
            </w:r>
          </w:p>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10.2017</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 Kepler</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98.388,29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60.000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9.898.829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98.988,29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30.10.2017</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BSA 2014-7</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98.988,29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2.900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9.901.729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rPr>
              <w:t>99.017,29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20.12.2017</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 2016-1</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rPr>
              <w:t>99.017,29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2.500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rPr>
              <w:t>9.904.229</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rPr>
              <w:t>99.042,29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14.02.2018</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BCE-2016-1</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rPr>
              <w:t>99.042,29</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rPr>
              <w:t>9.904.230</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99.042,30</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20.03.2018</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 2014-2</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lang w:val="fr-FR"/>
              </w:rPr>
              <w:t>99.042,30</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40.000</w:t>
            </w:r>
          </w:p>
        </w:tc>
        <w:tc>
          <w:tcPr>
            <w:tcW w:w="160"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rPr>
            </w:pPr>
            <w:r w:rsidRPr="00C73365">
              <w:rPr>
                <w:rFonts w:asciiTheme="minorHAnsi" w:hAnsiTheme="minorHAnsi" w:cstheme="minorHAnsi"/>
                <w:color w:val="000000"/>
                <w:sz w:val="18"/>
                <w:szCs w:val="18"/>
                <w:lang w:val="fr-FR"/>
              </w:rPr>
              <w:t>9.944.230</w:t>
            </w:r>
          </w:p>
        </w:tc>
        <w:tc>
          <w:tcPr>
            <w:tcW w:w="181"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99.442,30</w:t>
            </w:r>
          </w:p>
        </w:tc>
        <w:tc>
          <w:tcPr>
            <w:tcW w:w="146" w:type="dxa"/>
            <w:tcBorders>
              <w:top w:val="nil"/>
              <w:left w:val="nil"/>
              <w:bottom w:val="nil"/>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8"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r w:rsidR="00B740A8" w:rsidRPr="00C73365" w:rsidTr="00D1541A">
        <w:trPr>
          <w:trHeight w:val="396"/>
        </w:trPr>
        <w:tc>
          <w:tcPr>
            <w:tcW w:w="1427"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20.03.2018</w:t>
            </w:r>
          </w:p>
        </w:tc>
        <w:tc>
          <w:tcPr>
            <w:tcW w:w="160" w:type="dxa"/>
            <w:tcBorders>
              <w:top w:val="nil"/>
              <w:left w:val="nil"/>
              <w:bottom w:val="single" w:sz="4" w:space="0" w:color="7030A0"/>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189"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Exercice BCE 2016-1</w:t>
            </w:r>
          </w:p>
        </w:tc>
        <w:tc>
          <w:tcPr>
            <w:tcW w:w="146" w:type="dxa"/>
            <w:tcBorders>
              <w:top w:val="nil"/>
              <w:left w:val="nil"/>
              <w:bottom w:val="single" w:sz="4" w:space="0" w:color="7030A0"/>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99.042,30</w:t>
            </w:r>
          </w:p>
        </w:tc>
        <w:tc>
          <w:tcPr>
            <w:tcW w:w="146" w:type="dxa"/>
            <w:tcBorders>
              <w:top w:val="nil"/>
              <w:left w:val="nil"/>
              <w:bottom w:val="single" w:sz="4" w:space="0" w:color="7030A0"/>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61"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146" w:type="dxa"/>
            <w:tcBorders>
              <w:top w:val="nil"/>
              <w:left w:val="nil"/>
              <w:bottom w:val="single" w:sz="4" w:space="0" w:color="7030A0"/>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70"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1</w:t>
            </w:r>
          </w:p>
        </w:tc>
        <w:tc>
          <w:tcPr>
            <w:tcW w:w="160" w:type="dxa"/>
            <w:tcBorders>
              <w:top w:val="nil"/>
              <w:left w:val="nil"/>
              <w:bottom w:val="single" w:sz="4" w:space="0" w:color="7030A0"/>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92"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9.944.231</w:t>
            </w:r>
          </w:p>
        </w:tc>
        <w:tc>
          <w:tcPr>
            <w:tcW w:w="181"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45"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c>
          <w:tcPr>
            <w:tcW w:w="146" w:type="dxa"/>
            <w:tcBorders>
              <w:top w:val="nil"/>
              <w:left w:val="nil"/>
              <w:bottom w:val="single" w:sz="4" w:space="0" w:color="7030A0"/>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869"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rPr>
            </w:pPr>
            <w:r w:rsidRPr="00C73365">
              <w:rPr>
                <w:rFonts w:asciiTheme="minorHAnsi" w:hAnsiTheme="minorHAnsi" w:cstheme="minorHAnsi"/>
                <w:color w:val="000000"/>
                <w:sz w:val="18"/>
                <w:szCs w:val="18"/>
                <w:lang w:val="fr-FR"/>
              </w:rPr>
              <w:t>99.442,31</w:t>
            </w:r>
          </w:p>
        </w:tc>
        <w:tc>
          <w:tcPr>
            <w:tcW w:w="146" w:type="dxa"/>
            <w:tcBorders>
              <w:top w:val="nil"/>
              <w:left w:val="nil"/>
              <w:bottom w:val="single" w:sz="4" w:space="0" w:color="7030A0"/>
              <w:right w:val="nil"/>
            </w:tcBorders>
            <w:shd w:val="clear" w:color="auto" w:fill="auto"/>
            <w:noWrap/>
            <w:vAlign w:val="center"/>
          </w:tcPr>
          <w:p w:rsidR="00B740A8" w:rsidRPr="00C73365" w:rsidRDefault="00B740A8" w:rsidP="00D1541A">
            <w:pPr>
              <w:jc w:val="center"/>
              <w:rPr>
                <w:rFonts w:asciiTheme="minorHAnsi" w:hAnsiTheme="minorHAnsi" w:cstheme="minorHAnsi"/>
                <w:color w:val="000000"/>
                <w:sz w:val="18"/>
                <w:szCs w:val="18"/>
                <w:lang w:val="fr-FR" w:eastAsia="fr-FR"/>
              </w:rPr>
            </w:pPr>
          </w:p>
        </w:tc>
        <w:tc>
          <w:tcPr>
            <w:tcW w:w="953" w:type="dxa"/>
            <w:tcBorders>
              <w:top w:val="nil"/>
              <w:left w:val="nil"/>
              <w:bottom w:val="single" w:sz="4" w:space="0" w:color="7030A0"/>
              <w:right w:val="nil"/>
            </w:tcBorders>
            <w:shd w:val="clear" w:color="auto" w:fill="auto"/>
            <w:vAlign w:val="center"/>
          </w:tcPr>
          <w:p w:rsidR="00B740A8" w:rsidRPr="00C73365" w:rsidRDefault="00B740A8" w:rsidP="00D1541A">
            <w:pPr>
              <w:jc w:val="center"/>
              <w:rPr>
                <w:rFonts w:asciiTheme="minorHAnsi" w:hAnsiTheme="minorHAnsi" w:cstheme="minorHAnsi"/>
                <w:color w:val="000000"/>
                <w:sz w:val="18"/>
                <w:szCs w:val="18"/>
                <w:lang w:val="fr-FR" w:eastAsia="fr-FR"/>
              </w:rPr>
            </w:pPr>
            <w:r w:rsidRPr="00C73365">
              <w:rPr>
                <w:rFonts w:asciiTheme="minorHAnsi" w:hAnsiTheme="minorHAnsi" w:cstheme="minorHAnsi"/>
                <w:color w:val="000000"/>
                <w:sz w:val="18"/>
                <w:szCs w:val="18"/>
                <w:lang w:val="fr-FR" w:eastAsia="fr-FR"/>
              </w:rPr>
              <w:t>0,01 €</w:t>
            </w:r>
          </w:p>
        </w:tc>
      </w:tr>
    </w:tbl>
    <w:p w:rsidR="00B740A8" w:rsidRPr="00C73365" w:rsidRDefault="00B740A8" w:rsidP="00B740A8">
      <w:pPr>
        <w:rPr>
          <w:rFonts w:asciiTheme="minorHAnsi" w:hAnsiTheme="minorHAnsi" w:cstheme="minorHAnsi"/>
          <w:b/>
          <w:color w:val="7030A0"/>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Répartition du capital et des droits de vote de la Société :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Se reporter au tableau figurant à la section 18.1.</w:t>
      </w:r>
    </w:p>
    <w:p w:rsidR="00B740A8" w:rsidRPr="00C73365" w:rsidRDefault="00B740A8" w:rsidP="00B740A8">
      <w:pPr>
        <w:rPr>
          <w:rFonts w:asciiTheme="minorHAnsi" w:hAnsiTheme="minorHAnsi" w:cstheme="minorHAnsi"/>
          <w:szCs w:val="22"/>
          <w:lang w:val="fr-FR"/>
        </w:rPr>
      </w:pPr>
    </w:p>
    <w:p w:rsidR="00B740A8" w:rsidRPr="00C73365" w:rsidRDefault="00B740A8" w:rsidP="00434C49">
      <w:pPr>
        <w:pStyle w:val="ConmainL2"/>
        <w:numPr>
          <w:ilvl w:val="1"/>
          <w:numId w:val="102"/>
        </w:numPr>
        <w:rPr>
          <w:rFonts w:asciiTheme="minorHAnsi" w:hAnsiTheme="minorHAnsi" w:cstheme="minorHAnsi"/>
          <w:sz w:val="22"/>
          <w:szCs w:val="22"/>
          <w:lang w:val="fr-FR"/>
        </w:rPr>
      </w:pPr>
      <w:bookmarkStart w:id="1577" w:name="_Toc401594145"/>
      <w:bookmarkStart w:id="1578" w:name="_Toc462673305"/>
      <w:bookmarkStart w:id="1579" w:name="_Toc467835654"/>
      <w:bookmarkStart w:id="1580" w:name="_Toc482695330"/>
      <w:bookmarkStart w:id="1581" w:name="_Toc512863975"/>
      <w:r w:rsidRPr="00C73365">
        <w:rPr>
          <w:rFonts w:asciiTheme="minorHAnsi" w:hAnsiTheme="minorHAnsi" w:cstheme="minorHAnsi"/>
          <w:sz w:val="22"/>
          <w:szCs w:val="22"/>
          <w:lang w:val="fr-FR"/>
        </w:rPr>
        <w:t>Eléments susceptibles d’avoir une incidence en cas d’offre publique</w:t>
      </w:r>
      <w:bookmarkEnd w:id="1581"/>
    </w:p>
    <w:p w:rsidR="00B740A8" w:rsidRPr="00C73365" w:rsidRDefault="00B740A8" w:rsidP="004572A0">
      <w:pPr>
        <w:pStyle w:val="ListContinue"/>
        <w:rPr>
          <w:rFonts w:asciiTheme="minorHAnsi" w:eastAsia="Calibri" w:hAnsiTheme="minorHAnsi" w:cstheme="minorHAnsi"/>
          <w:lang w:val="fr-FR"/>
        </w:rPr>
      </w:pPr>
      <w:r w:rsidRPr="00C73365">
        <w:rPr>
          <w:rFonts w:asciiTheme="minorHAnsi" w:eastAsia="Calibri" w:hAnsiTheme="minorHAnsi" w:cstheme="minorHAnsi"/>
          <w:lang w:val="fr-FR"/>
        </w:rPr>
        <w:t>Les éléments susceptibles d’avoir une incidence en cas d’offre publique sont exposés et expliqués conformément aux dispositions de l’article L. 225-37-5 du Code de commerce.</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bookmarkStart w:id="1582" w:name="_Toc480795837"/>
      <w:r w:rsidRPr="00C73365">
        <w:rPr>
          <w:rFonts w:asciiTheme="minorHAnsi" w:hAnsiTheme="minorHAnsi" w:cstheme="minorHAnsi"/>
          <w:b/>
          <w:color w:val="7030A0"/>
          <w:lang w:val="fr-FR"/>
        </w:rPr>
        <w:t>Structure du capital de la Société</w:t>
      </w:r>
      <w:bookmarkEnd w:id="1582"/>
    </w:p>
    <w:p w:rsidR="00B740A8" w:rsidRPr="00C73365" w:rsidRDefault="00B740A8" w:rsidP="004572A0">
      <w:pPr>
        <w:pStyle w:val="BodyText"/>
        <w:rPr>
          <w:rFonts w:asciiTheme="minorHAnsi" w:eastAsiaTheme="minorHAnsi" w:hAnsiTheme="minorHAnsi" w:cstheme="minorHAnsi"/>
          <w:b/>
          <w:highlight w:val="green"/>
          <w:lang w:val="fr-FR"/>
        </w:rPr>
      </w:pPr>
      <w:r w:rsidRPr="00C73365">
        <w:rPr>
          <w:rFonts w:asciiTheme="minorHAnsi" w:hAnsiTheme="minorHAnsi" w:cstheme="minorHAnsi"/>
          <w:lang w:val="fr-FR"/>
        </w:rPr>
        <w:t>La structure du capital de la Société est décrite à la section 18.1 du présent document de référence.</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Restrictions statutaires à l’exercice des droits de vote et aux transferts d’actions ou les clauses portées à la connaissance de la Société en application de l’article L. 233-11 du Code de commerce</w:t>
      </w:r>
    </w:p>
    <w:p w:rsidR="00B740A8" w:rsidRPr="00C73365" w:rsidRDefault="00B740A8" w:rsidP="004572A0">
      <w:pPr>
        <w:pStyle w:val="BodyText"/>
        <w:rPr>
          <w:rFonts w:asciiTheme="minorHAnsi" w:eastAsiaTheme="minorHAnsi" w:hAnsiTheme="minorHAnsi" w:cstheme="minorHAnsi"/>
        </w:rPr>
      </w:pPr>
      <w:r w:rsidRPr="00C73365">
        <w:rPr>
          <w:rFonts w:asciiTheme="minorHAnsi" w:eastAsiaTheme="minorHAnsi" w:hAnsiTheme="minorHAnsi" w:cstheme="minorHAnsi"/>
        </w:rPr>
        <w:t>Sans objet.</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Participations directes ou indirectes dans le capital de la Société dont elle a connaissance en vertu des articles L. 233-7 et L. 233-12 du Code de commerce</w:t>
      </w:r>
    </w:p>
    <w:p w:rsidR="00B740A8" w:rsidRPr="00C73365" w:rsidRDefault="00B740A8"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Les participations directes ou indirectes dans le capital dont la Société a connaissance en vertu des articles L. 233-7 (déclaration de franchissement de seuils) et L. 233-12 du Code de commerce sont décrites à la section 18.1 du présent document de référence.</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Liste des détenteurs de tous titres comportant des droits de contrôle spéciaux et description de ceux-ci</w:t>
      </w:r>
    </w:p>
    <w:p w:rsidR="00B740A8" w:rsidRPr="00C73365" w:rsidRDefault="00B740A8"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 xml:space="preserve">La Société n’a pas connaissance de l’existence de droits de contrôle spéciaux. </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Mécanismes de contrôle prévus dans un éventuel système d’actionnariat du personnel, quand les droits de contrôle ne sont pas exercés par ce dernier</w:t>
      </w:r>
    </w:p>
    <w:p w:rsidR="00B740A8" w:rsidRPr="00C73365" w:rsidRDefault="00B740A8"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 xml:space="preserve">La Société n’a pas mis en place de système d’actionnariat du personnel susceptible de contenir des mécanismes de contrôle lorsque les droits de contrôle ne sont pas exercés par le personnel. </w:t>
      </w:r>
    </w:p>
    <w:p w:rsidR="00B740A8" w:rsidRPr="00C73365" w:rsidRDefault="00F06F79" w:rsidP="00434C49">
      <w:pPr>
        <w:pStyle w:val="ConmainL3"/>
        <w:numPr>
          <w:ilvl w:val="2"/>
          <w:numId w:val="102"/>
        </w:numPr>
        <w:ind w:left="1440"/>
        <w:rPr>
          <w:rFonts w:asciiTheme="minorHAnsi" w:hAnsiTheme="minorHAnsi" w:cstheme="minorHAnsi"/>
          <w:b/>
          <w:color w:val="7030A0"/>
          <w:lang w:val="fr-FR"/>
        </w:rPr>
      </w:pPr>
      <w:hyperlink w:anchor="_Toc480795842" w:history="1">
        <w:r w:rsidR="00B740A8" w:rsidRPr="00C73365">
          <w:rPr>
            <w:rFonts w:asciiTheme="minorHAnsi" w:hAnsiTheme="minorHAnsi" w:cstheme="minorHAnsi"/>
            <w:b/>
            <w:color w:val="7030A0"/>
            <w:lang w:val="fr-FR"/>
          </w:rPr>
          <w:t>Accords</w:t>
        </w:r>
      </w:hyperlink>
      <w:r w:rsidR="00B740A8" w:rsidRPr="00C73365">
        <w:rPr>
          <w:rFonts w:asciiTheme="minorHAnsi" w:hAnsiTheme="minorHAnsi" w:cstheme="minorHAnsi"/>
          <w:b/>
          <w:color w:val="7030A0"/>
          <w:lang w:val="fr-FR"/>
        </w:rPr>
        <w:t xml:space="preserve"> entre actionnaires dont la Société a connaissance qui peuvent entraîner des restrictions au transfert d</w:t>
      </w:r>
      <w:r w:rsidR="004572A0" w:rsidRPr="00C73365">
        <w:rPr>
          <w:rFonts w:asciiTheme="minorHAnsi" w:hAnsiTheme="minorHAnsi" w:cstheme="minorHAnsi"/>
          <w:b/>
          <w:color w:val="7030A0"/>
          <w:lang w:val="fr-FR"/>
        </w:rPr>
        <w:t>’</w:t>
      </w:r>
      <w:r w:rsidR="00B740A8" w:rsidRPr="00C73365">
        <w:rPr>
          <w:rFonts w:asciiTheme="minorHAnsi" w:hAnsiTheme="minorHAnsi" w:cstheme="minorHAnsi"/>
          <w:b/>
          <w:color w:val="7030A0"/>
          <w:lang w:val="fr-FR"/>
        </w:rPr>
        <w:t>actions et à l</w:t>
      </w:r>
      <w:r w:rsidR="004572A0" w:rsidRPr="00C73365">
        <w:rPr>
          <w:rFonts w:asciiTheme="minorHAnsi" w:hAnsiTheme="minorHAnsi" w:cstheme="minorHAnsi"/>
          <w:b/>
          <w:color w:val="7030A0"/>
          <w:lang w:val="fr-FR"/>
        </w:rPr>
        <w:t>’</w:t>
      </w:r>
      <w:r w:rsidR="00B740A8" w:rsidRPr="00C73365">
        <w:rPr>
          <w:rFonts w:asciiTheme="minorHAnsi" w:hAnsiTheme="minorHAnsi" w:cstheme="minorHAnsi"/>
          <w:b/>
          <w:color w:val="7030A0"/>
          <w:lang w:val="fr-FR"/>
        </w:rPr>
        <w:t>exercice des droits de vote</w:t>
      </w:r>
    </w:p>
    <w:p w:rsidR="00B740A8" w:rsidRPr="00C73365" w:rsidRDefault="00B740A8"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Sans objet.</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Règles applicables à la nomination et au remplacement des membres du conseil d’administration ainsi qu’à la modification des statuts</w:t>
      </w:r>
    </w:p>
    <w:p w:rsidR="00B740A8" w:rsidRPr="00C73365" w:rsidRDefault="00B740A8"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Les règles applicables en cette matière sont statutaires et sont conformes à la loi et à la règlementation en vigueur.</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Pouvoirs du conseil d’administration, en particulier en ce qui concerne l’émission ou le rachat d’actions</w:t>
      </w:r>
    </w:p>
    <w:p w:rsidR="00B740A8" w:rsidRPr="00C73365" w:rsidRDefault="00B740A8" w:rsidP="004572A0">
      <w:pPr>
        <w:pStyle w:val="BodyText"/>
        <w:rPr>
          <w:rFonts w:asciiTheme="minorHAnsi" w:hAnsiTheme="minorHAnsi" w:cstheme="minorHAnsi"/>
          <w:lang w:val="fr-FR" w:eastAsia="fr-FR"/>
        </w:rPr>
      </w:pPr>
      <w:r w:rsidRPr="00C73365">
        <w:rPr>
          <w:rFonts w:asciiTheme="minorHAnsi" w:hAnsiTheme="minorHAnsi" w:cstheme="minorHAnsi"/>
          <w:lang w:val="fr-FR" w:eastAsia="fr-FR"/>
        </w:rPr>
        <w:t xml:space="preserve">Les renseignements sur les délégations de compétence figurent au paragraphe 21.1.5 du présent document de référence. </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Accords conclus par la Société qui sont modifiés ou prennent fin en cas de changement de contrôle de la Société</w:t>
      </w:r>
    </w:p>
    <w:p w:rsidR="00402C7C" w:rsidRPr="001D15EF" w:rsidRDefault="00A5021C" w:rsidP="004572A0">
      <w:pPr>
        <w:pStyle w:val="BodyText"/>
        <w:rPr>
          <w:rFonts w:asciiTheme="minorHAnsi" w:hAnsiTheme="minorHAnsi" w:cstheme="minorHAnsi"/>
          <w:lang w:val="fr-FR"/>
        </w:rPr>
      </w:pPr>
      <w:bookmarkStart w:id="1583" w:name="_Hlk510193236"/>
      <w:r w:rsidRPr="001D15EF">
        <w:rPr>
          <w:rFonts w:asciiTheme="minorHAnsi" w:hAnsiTheme="minorHAnsi" w:cstheme="minorHAnsi"/>
          <w:lang w:val="fr-FR"/>
        </w:rPr>
        <w:t>La Société a conclu certains accords qui peuvent prévoir le cas échéant des stipulations applicables en cas de changement de contrôle de la Société</w:t>
      </w:r>
      <w:r w:rsidR="00402C7C" w:rsidRPr="001D15EF">
        <w:rPr>
          <w:rFonts w:asciiTheme="minorHAnsi" w:hAnsiTheme="minorHAnsi" w:cstheme="minorHAnsi"/>
          <w:lang w:val="fr-FR"/>
        </w:rPr>
        <w:t>.</w:t>
      </w:r>
    </w:p>
    <w:bookmarkEnd w:id="1583"/>
    <w:p w:rsidR="00B740A8" w:rsidRPr="00C73365" w:rsidRDefault="00B740A8" w:rsidP="004572A0">
      <w:pPr>
        <w:pStyle w:val="BodyText"/>
        <w:rPr>
          <w:rFonts w:asciiTheme="minorHAnsi" w:hAnsiTheme="minorHAnsi" w:cstheme="minorHAnsi"/>
          <w:lang w:val="fr-FR"/>
        </w:rPr>
      </w:pPr>
      <w:r w:rsidRPr="001D15EF">
        <w:rPr>
          <w:rFonts w:asciiTheme="minorHAnsi" w:hAnsiTheme="minorHAnsi" w:cstheme="minorHAnsi"/>
          <w:lang w:val="fr-FR"/>
        </w:rPr>
        <w:t>Certains termes et conditions des valeurs mobilières donnant accès au capital comportent également des stipulations tenant à une accélération de la période d’indisponibilité en cas de changement de contrôle de la Société (se référer au paragraphe 21.1.5 du présent document de référence).</w:t>
      </w:r>
      <w:r w:rsidRPr="00C73365">
        <w:rPr>
          <w:rFonts w:asciiTheme="minorHAnsi" w:hAnsiTheme="minorHAnsi" w:cstheme="minorHAnsi"/>
          <w:lang w:val="fr-FR"/>
        </w:rPr>
        <w:t xml:space="preserve"> </w:t>
      </w:r>
    </w:p>
    <w:p w:rsidR="00B740A8" w:rsidRPr="00C73365" w:rsidRDefault="00B740A8" w:rsidP="00434C49">
      <w:pPr>
        <w:pStyle w:val="ConmainL2"/>
        <w:numPr>
          <w:ilvl w:val="1"/>
          <w:numId w:val="102"/>
        </w:numPr>
        <w:rPr>
          <w:rFonts w:asciiTheme="minorHAnsi" w:hAnsiTheme="minorHAnsi" w:cstheme="minorHAnsi"/>
          <w:sz w:val="22"/>
          <w:szCs w:val="22"/>
          <w:lang w:val="fr-FR"/>
        </w:rPr>
      </w:pPr>
      <w:bookmarkStart w:id="1584" w:name="_Toc512863976"/>
      <w:r w:rsidRPr="00C73365">
        <w:rPr>
          <w:rFonts w:asciiTheme="minorHAnsi" w:hAnsiTheme="minorHAnsi" w:cstheme="minorHAnsi"/>
          <w:sz w:val="22"/>
          <w:szCs w:val="22"/>
          <w:lang w:val="fr-FR"/>
        </w:rPr>
        <w:t>Acte constitutif et statuts</w:t>
      </w:r>
      <w:bookmarkEnd w:id="1577"/>
      <w:bookmarkEnd w:id="1578"/>
      <w:bookmarkEnd w:id="1579"/>
      <w:bookmarkEnd w:id="1580"/>
      <w:bookmarkEnd w:id="1584"/>
    </w:p>
    <w:p w:rsidR="00B740A8" w:rsidRPr="00C255DF" w:rsidRDefault="00B740A8" w:rsidP="00434C49">
      <w:pPr>
        <w:pStyle w:val="ConmainL3"/>
        <w:numPr>
          <w:ilvl w:val="2"/>
          <w:numId w:val="102"/>
        </w:numPr>
        <w:ind w:left="1440"/>
        <w:rPr>
          <w:rFonts w:asciiTheme="minorHAnsi" w:hAnsiTheme="minorHAnsi" w:cstheme="minorHAnsi"/>
          <w:b/>
          <w:color w:val="7030A0"/>
          <w:lang w:val="fr-FR"/>
        </w:rPr>
      </w:pPr>
      <w:r w:rsidRPr="00C255DF">
        <w:rPr>
          <w:rFonts w:asciiTheme="minorHAnsi" w:hAnsiTheme="minorHAnsi" w:cstheme="minorHAnsi"/>
          <w:b/>
          <w:color w:val="7030A0"/>
          <w:lang w:val="fr-FR"/>
        </w:rPr>
        <w:t>Objet social (article 4 des statuts de la Société)</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Société a pour objet, directement ou indirectement, en France et à l</w:t>
      </w:r>
      <w:r w:rsidR="004572A0" w:rsidRPr="00C73365">
        <w:rPr>
          <w:rFonts w:asciiTheme="minorHAnsi" w:hAnsiTheme="minorHAnsi" w:cstheme="minorHAnsi"/>
          <w:lang w:val="fr-FR"/>
        </w:rPr>
        <w:t>’</w:t>
      </w:r>
      <w:r w:rsidRPr="00C73365">
        <w:rPr>
          <w:rFonts w:asciiTheme="minorHAnsi" w:hAnsiTheme="minorHAnsi" w:cstheme="minorHAnsi"/>
          <w:lang w:val="fr-FR"/>
        </w:rPr>
        <w:t>étranger :</w:t>
      </w:r>
    </w:p>
    <w:p w:rsidR="00B740A8" w:rsidRPr="00C73365" w:rsidRDefault="00B740A8" w:rsidP="00434C49">
      <w:pPr>
        <w:pStyle w:val="ListParagraph"/>
        <w:widowControl w:val="0"/>
        <w:numPr>
          <w:ilvl w:val="0"/>
          <w:numId w:val="54"/>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exercice de toute activité liée à la recherche, au développement et à la commercialisation de vaccins thérapeutiques et prophylactiques et de petites molécules thérapeutiques ayant des applications principalement dans le domaine anti-infectieux ;</w:t>
      </w:r>
    </w:p>
    <w:p w:rsidR="00B740A8" w:rsidRPr="00C73365" w:rsidRDefault="00B740A8" w:rsidP="00434C49">
      <w:pPr>
        <w:pStyle w:val="ListParagraph"/>
        <w:widowControl w:val="0"/>
        <w:numPr>
          <w:ilvl w:val="0"/>
          <w:numId w:val="54"/>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acquisition, la souscription, la détention, la gestion ou la cession sous quelque forme que ce soit, de toutes parts sociales et de toutes valeurs mobilières, dans toutes sociétés ou entités juridiques, créées ou à créer, françaises ou étrangères, et plus généralement, la gestion de participations dans le domaine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activité de la Société ;</w:t>
      </w:r>
    </w:p>
    <w:p w:rsidR="00B740A8" w:rsidRPr="00C73365" w:rsidRDefault="00B740A8" w:rsidP="00434C49">
      <w:pPr>
        <w:pStyle w:val="ListParagraph"/>
        <w:widowControl w:val="0"/>
        <w:numPr>
          <w:ilvl w:val="0"/>
          <w:numId w:val="54"/>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la participation directe ou indirecte, dans toutes opérations pouvant se rattacher à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un quelconque des objets précités, ou de nature à les favoriser, par voie de création de sociétés nouvelles,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apports ou de souscription ou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achat de titres ou de droits sociaux, de fusion,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association, de participation ou autre;</w:t>
      </w:r>
    </w:p>
    <w:p w:rsidR="00B740A8" w:rsidRPr="00C73365" w:rsidRDefault="00B740A8" w:rsidP="00434C49">
      <w:pPr>
        <w:pStyle w:val="ListParagraph"/>
        <w:widowControl w:val="0"/>
        <w:numPr>
          <w:ilvl w:val="0"/>
          <w:numId w:val="54"/>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et, plus généralement, toutes opérations mobilières ou immobilières, industrielles, commerciales ou financières se rattachant, directement ou indirectement, à cet objet ou à tous objets similaires ou connexes, ou pouvant être utiles à cet objet ou de nature à en faciliter la réalisation.</w:t>
      </w:r>
    </w:p>
    <w:p w:rsidR="00B740A8" w:rsidRPr="00C73365" w:rsidRDefault="00B740A8" w:rsidP="00B740A8">
      <w:pPr>
        <w:rPr>
          <w:rFonts w:asciiTheme="minorHAnsi" w:hAnsiTheme="minorHAnsi" w:cstheme="minorHAnsi"/>
          <w:sz w:val="24"/>
          <w:lang w:val="fr-FR"/>
        </w:rPr>
      </w:pPr>
    </w:p>
    <w:p w:rsidR="00B740A8" w:rsidRPr="00C255DF" w:rsidRDefault="00B740A8" w:rsidP="00434C49">
      <w:pPr>
        <w:pStyle w:val="ConmainL3"/>
        <w:numPr>
          <w:ilvl w:val="2"/>
          <w:numId w:val="102"/>
        </w:numPr>
        <w:ind w:left="1440"/>
        <w:rPr>
          <w:rFonts w:asciiTheme="minorHAnsi" w:hAnsiTheme="minorHAnsi" w:cstheme="minorHAnsi"/>
          <w:b/>
          <w:color w:val="7030A0"/>
          <w:lang w:val="fr-FR"/>
        </w:rPr>
      </w:pPr>
      <w:r w:rsidRPr="00C255DF">
        <w:rPr>
          <w:rFonts w:asciiTheme="minorHAnsi" w:hAnsiTheme="minorHAnsi" w:cstheme="minorHAnsi"/>
          <w:b/>
          <w:color w:val="7030A0"/>
          <w:lang w:val="fr-FR"/>
        </w:rPr>
        <w:t>Dispositions statutaires ou autres relatives aux membres des organes d’administration et de direction</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Article 13</w:t>
      </w:r>
      <w:r w:rsidRPr="00C73365">
        <w:rPr>
          <w:rFonts w:asciiTheme="minorHAnsi" w:hAnsiTheme="minorHAnsi" w:cstheme="minorHAnsi"/>
          <w:b/>
          <w:lang w:val="fr-FR"/>
        </w:rPr>
        <w:tab/>
        <w:t>CONSEIL D’ADMINISTRATION</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Société est administrée par un Conseil d’administration composé de trois (3) membres au minimum et qui ne peut dépasser dix-huit (18) membres au plus, sous réserve de la dérogation prévue par la loi en cas de fusion.</w:t>
      </w:r>
    </w:p>
    <w:p w:rsidR="00B740A8" w:rsidRPr="00C73365" w:rsidRDefault="00B740A8" w:rsidP="00B740A8">
      <w:pPr>
        <w:rPr>
          <w:rFonts w:asciiTheme="minorHAnsi" w:hAnsiTheme="minorHAnsi" w:cstheme="minorHAnsi"/>
          <w:b/>
          <w:lang w:val="fr-FR"/>
        </w:rPr>
      </w:pPr>
      <w:r w:rsidRPr="00C73365">
        <w:rPr>
          <w:rFonts w:asciiTheme="minorHAnsi" w:hAnsiTheme="minorHAnsi" w:cstheme="minorHAnsi"/>
          <w:b/>
          <w:lang w:val="fr-FR"/>
        </w:rPr>
        <w:t>Article 14</w:t>
      </w:r>
      <w:r w:rsidRPr="00C73365">
        <w:rPr>
          <w:rFonts w:asciiTheme="minorHAnsi" w:hAnsiTheme="minorHAnsi" w:cstheme="minorHAnsi"/>
          <w:b/>
          <w:lang w:val="fr-FR"/>
        </w:rPr>
        <w:tab/>
        <w:t>MANDATS DES ADMINISTRATEURS</w:t>
      </w:r>
    </w:p>
    <w:p w:rsidR="00B740A8" w:rsidRPr="00C73365" w:rsidRDefault="00B740A8" w:rsidP="00B740A8">
      <w:pPr>
        <w:rPr>
          <w:rFonts w:asciiTheme="minorHAnsi" w:hAnsiTheme="minorHAnsi" w:cstheme="minorHAnsi"/>
          <w:b/>
          <w:lang w:val="fr-FR"/>
        </w:rPr>
      </w:pPr>
    </w:p>
    <w:p w:rsidR="00B740A8" w:rsidRPr="004834A9" w:rsidRDefault="00B740A8" w:rsidP="004834A9">
      <w:pPr>
        <w:pStyle w:val="List"/>
        <w:rPr>
          <w:rFonts w:asciiTheme="minorHAnsi" w:hAnsiTheme="minorHAnsi" w:cstheme="minorHAnsi"/>
          <w:lang w:val="fr-FR"/>
        </w:rPr>
      </w:pPr>
      <w:r w:rsidRPr="00C73365">
        <w:rPr>
          <w:rFonts w:asciiTheme="minorHAnsi" w:hAnsiTheme="minorHAnsi" w:cstheme="minorHAnsi"/>
          <w:lang w:val="fr-FR"/>
        </w:rPr>
        <w:t>14.1</w:t>
      </w:r>
      <w:r w:rsidR="004572A0" w:rsidRPr="00C73365">
        <w:rPr>
          <w:rFonts w:asciiTheme="minorHAnsi" w:hAnsiTheme="minorHAnsi" w:cstheme="minorHAnsi"/>
          <w:lang w:val="fr-FR"/>
        </w:rPr>
        <w:tab/>
      </w:r>
      <w:r w:rsidRPr="00C73365">
        <w:rPr>
          <w:rFonts w:asciiTheme="minorHAnsi" w:hAnsiTheme="minorHAnsi" w:cstheme="minorHAnsi"/>
          <w:lang w:val="fr-FR"/>
        </w:rPr>
        <w:t>Nomination des administrateurs</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lastRenderedPageBreak/>
        <w:t>Les conditions de nomination des membres du conseil d’administration de la Société sont fixées à l’article 14 des statuts de la Société et sont reprises ci-dessous.</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Au cours de la vie sociale, les administrateurs sont nommés par assemblée générale ordinaire. Toutefois, en cas de fusion ou de scission, la nomination peut être faite par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extraordinaire. La durée de leurs fonctions est de quatre (4) années. Elle prend fin à l</w:t>
      </w:r>
      <w:r w:rsidR="004572A0" w:rsidRPr="00C73365">
        <w:rPr>
          <w:rFonts w:asciiTheme="minorHAnsi" w:hAnsiTheme="minorHAnsi" w:cstheme="minorHAnsi"/>
          <w:lang w:val="fr-FR"/>
        </w:rPr>
        <w:t>’</w:t>
      </w:r>
      <w:r w:rsidRPr="00C73365">
        <w:rPr>
          <w:rFonts w:asciiTheme="minorHAnsi" w:hAnsiTheme="minorHAnsi" w:cstheme="minorHAnsi"/>
          <w:lang w:val="fr-FR"/>
        </w:rPr>
        <w:t>issue de la réunion de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des actionnaires ayant statué sur les comptes de l</w:t>
      </w:r>
      <w:r w:rsidR="004572A0" w:rsidRPr="00C73365">
        <w:rPr>
          <w:rFonts w:asciiTheme="minorHAnsi" w:hAnsiTheme="minorHAnsi" w:cstheme="minorHAnsi"/>
          <w:lang w:val="fr-FR"/>
        </w:rPr>
        <w:t>’</w:t>
      </w:r>
      <w:r w:rsidRPr="00C73365">
        <w:rPr>
          <w:rFonts w:asciiTheme="minorHAnsi" w:hAnsiTheme="minorHAnsi" w:cstheme="minorHAnsi"/>
          <w:lang w:val="fr-FR"/>
        </w:rPr>
        <w:t>exercice écoulé et tenue dans l</w:t>
      </w:r>
      <w:r w:rsidR="004572A0" w:rsidRPr="00C73365">
        <w:rPr>
          <w:rFonts w:asciiTheme="minorHAnsi" w:hAnsiTheme="minorHAnsi" w:cstheme="minorHAnsi"/>
          <w:lang w:val="fr-FR"/>
        </w:rPr>
        <w:t>’</w:t>
      </w:r>
      <w:r w:rsidRPr="00C73365">
        <w:rPr>
          <w:rFonts w:asciiTheme="minorHAnsi" w:hAnsiTheme="minorHAnsi" w:cstheme="minorHAnsi"/>
          <w:lang w:val="fr-FR"/>
        </w:rPr>
        <w:t>année au cours de laquelle expire le mandat dudit administrateur.</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Les administrateurs sont rééligibles. Ils peuvent être révoqués à tout moment par décision de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des actionnaires.</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Les personnes physiques âgées de plus de quatre-vingt-cinq (85) ans ne peuvent être administrateurs ; lorsqu</w:t>
      </w:r>
      <w:r w:rsidR="004572A0" w:rsidRPr="00C73365">
        <w:rPr>
          <w:rFonts w:asciiTheme="minorHAnsi" w:hAnsiTheme="minorHAnsi" w:cstheme="minorHAnsi"/>
          <w:lang w:val="fr-FR"/>
        </w:rPr>
        <w:t>’</w:t>
      </w:r>
      <w:r w:rsidRPr="00C73365">
        <w:rPr>
          <w:rFonts w:asciiTheme="minorHAnsi" w:hAnsiTheme="minorHAnsi" w:cstheme="minorHAnsi"/>
          <w:lang w:val="fr-FR"/>
        </w:rPr>
        <w:t>elles dépassent cet âge en cours de mandat, elles sont réputées démissionnaires d</w:t>
      </w:r>
      <w:r w:rsidR="004572A0" w:rsidRPr="00C73365">
        <w:rPr>
          <w:rFonts w:asciiTheme="minorHAnsi" w:hAnsiTheme="minorHAnsi" w:cstheme="minorHAnsi"/>
          <w:lang w:val="fr-FR"/>
        </w:rPr>
        <w:t>’</w:t>
      </w:r>
      <w:r w:rsidRPr="00C73365">
        <w:rPr>
          <w:rFonts w:asciiTheme="minorHAnsi" w:hAnsiTheme="minorHAnsi" w:cstheme="minorHAnsi"/>
          <w:lang w:val="fr-FR"/>
        </w:rPr>
        <w:t>office lors de la plus prochaine assemblée générale. Toute nomination intervenue en violation des dispositions précédentes est nulle, à l</w:t>
      </w:r>
      <w:r w:rsidR="004572A0" w:rsidRPr="00C73365">
        <w:rPr>
          <w:rFonts w:asciiTheme="minorHAnsi" w:hAnsiTheme="minorHAnsi" w:cstheme="minorHAnsi"/>
          <w:lang w:val="fr-FR"/>
        </w:rPr>
        <w:t>’</w:t>
      </w:r>
      <w:r w:rsidRPr="00C73365">
        <w:rPr>
          <w:rFonts w:asciiTheme="minorHAnsi" w:hAnsiTheme="minorHAnsi" w:cstheme="minorHAnsi"/>
          <w:lang w:val="fr-FR"/>
        </w:rPr>
        <w:t>exception de celles auxquelles il peut être procédé à titre provisoire.</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Tout administrateur personne physique devra, tant lors de sa nomination que pendant toute la durée de son mandat, se conformer aux dispositions légales en matière de cumul de mandats qu</w:t>
      </w:r>
      <w:r w:rsidR="004572A0" w:rsidRPr="00C73365">
        <w:rPr>
          <w:rFonts w:asciiTheme="minorHAnsi" w:hAnsiTheme="minorHAnsi" w:cstheme="minorHAnsi"/>
          <w:lang w:val="fr-FR"/>
        </w:rPr>
        <w:t>’</w:t>
      </w:r>
      <w:r w:rsidRPr="00C73365">
        <w:rPr>
          <w:rFonts w:asciiTheme="minorHAnsi" w:hAnsiTheme="minorHAnsi" w:cstheme="minorHAnsi"/>
          <w:lang w:val="fr-FR"/>
        </w:rPr>
        <w:t>une même personne physique peut détenir au sein de sociétés anonymes ayant leur siège en France métropolitaine, sauf les exceptions prévues par la loi.</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Un salarié de la Société ne peut être nommé administrateur que si son contrat de travail correspond à un emploi effectif. Le nombre des administrateurs liés à la Société par un contrat de travail ne peut dépasser le tiers des administrateurs en fonction.</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14.2</w:t>
      </w:r>
      <w:r w:rsidR="004572A0" w:rsidRPr="00C73365">
        <w:rPr>
          <w:rFonts w:asciiTheme="minorHAnsi" w:hAnsiTheme="minorHAnsi" w:cstheme="minorHAnsi"/>
          <w:lang w:val="fr-FR"/>
        </w:rPr>
        <w:tab/>
      </w:r>
      <w:r w:rsidRPr="00C73365">
        <w:rPr>
          <w:rFonts w:asciiTheme="minorHAnsi" w:hAnsiTheme="minorHAnsi" w:cstheme="minorHAnsi"/>
          <w:lang w:val="fr-FR"/>
        </w:rPr>
        <w:t>Administrateur personne morale</w:t>
      </w:r>
    </w:p>
    <w:p w:rsidR="00B740A8" w:rsidRPr="00C73365" w:rsidRDefault="00B740A8" w:rsidP="00B740A8">
      <w:pPr>
        <w:rPr>
          <w:rFonts w:asciiTheme="minorHAnsi" w:hAnsiTheme="minorHAnsi" w:cstheme="minorHAnsi"/>
          <w:b/>
          <w:lang w:val="fr-FR"/>
        </w:rPr>
      </w:pP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Les administrateurs peuvent être des personnes physiques ou des personnes morales. Dans ce dernier cas, lors de sa nomination, la personne morale est tenue de désigner un représentant permanent qui est soumis aux mêmes conditions et obligations et qui encourt les mêmes responsabilités civile et pénale que s</w:t>
      </w:r>
      <w:r w:rsidR="004572A0" w:rsidRPr="00C73365">
        <w:rPr>
          <w:rFonts w:asciiTheme="minorHAnsi" w:hAnsiTheme="minorHAnsi" w:cstheme="minorHAnsi"/>
          <w:lang w:val="fr-FR"/>
        </w:rPr>
        <w:t>’</w:t>
      </w:r>
      <w:r w:rsidRPr="00C73365">
        <w:rPr>
          <w:rFonts w:asciiTheme="minorHAnsi" w:hAnsiTheme="minorHAnsi" w:cstheme="minorHAnsi"/>
          <w:lang w:val="fr-FR"/>
        </w:rPr>
        <w:t>il était administrateur en son nom propre, sans préjudice de la responsabilité solidaire de la personne morale qu</w:t>
      </w:r>
      <w:r w:rsidR="004572A0" w:rsidRPr="00C73365">
        <w:rPr>
          <w:rFonts w:asciiTheme="minorHAnsi" w:hAnsiTheme="minorHAnsi" w:cstheme="minorHAnsi"/>
          <w:lang w:val="fr-FR"/>
        </w:rPr>
        <w:t>’</w:t>
      </w:r>
      <w:r w:rsidRPr="00C73365">
        <w:rPr>
          <w:rFonts w:asciiTheme="minorHAnsi" w:hAnsiTheme="minorHAnsi" w:cstheme="minorHAnsi"/>
          <w:lang w:val="fr-FR"/>
        </w:rPr>
        <w:t>il représente. Le représentant permanent d</w:t>
      </w:r>
      <w:r w:rsidR="004572A0" w:rsidRPr="00C73365">
        <w:rPr>
          <w:rFonts w:asciiTheme="minorHAnsi" w:hAnsiTheme="minorHAnsi" w:cstheme="minorHAnsi"/>
          <w:lang w:val="fr-FR"/>
        </w:rPr>
        <w:t>’</w:t>
      </w:r>
      <w:r w:rsidRPr="00C73365">
        <w:rPr>
          <w:rFonts w:asciiTheme="minorHAnsi" w:hAnsiTheme="minorHAnsi" w:cstheme="minorHAnsi"/>
          <w:lang w:val="fr-FR"/>
        </w:rPr>
        <w:t>une personne morale administrateur est soumis aux conditions d</w:t>
      </w:r>
      <w:r w:rsidR="004572A0" w:rsidRPr="00C73365">
        <w:rPr>
          <w:rFonts w:asciiTheme="minorHAnsi" w:hAnsiTheme="minorHAnsi" w:cstheme="minorHAnsi"/>
          <w:lang w:val="fr-FR"/>
        </w:rPr>
        <w:t>’</w:t>
      </w:r>
      <w:r w:rsidRPr="00C73365">
        <w:rPr>
          <w:rFonts w:asciiTheme="minorHAnsi" w:hAnsiTheme="minorHAnsi" w:cstheme="minorHAnsi"/>
          <w:lang w:val="fr-FR"/>
        </w:rPr>
        <w:t>âge qui concernent les administrateurs personnes physiques.</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Le mandat du représentant permanent désigné par la personne morale nommée administrateur lui est donné pour la durée du mandat de cette dernière.</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Si la personne morale révoque le mandat de son représentant permanent, elle est tenue de notifier sans délai à la Société, par lettre recommandée, cette révocation ainsi que l</w:t>
      </w:r>
      <w:r w:rsidR="004572A0" w:rsidRPr="00C73365">
        <w:rPr>
          <w:rFonts w:asciiTheme="minorHAnsi" w:hAnsiTheme="minorHAnsi" w:cstheme="minorHAnsi"/>
          <w:lang w:val="fr-FR"/>
        </w:rPr>
        <w:t>’</w:t>
      </w:r>
      <w:r w:rsidRPr="00C73365">
        <w:rPr>
          <w:rFonts w:asciiTheme="minorHAnsi" w:hAnsiTheme="minorHAnsi" w:cstheme="minorHAnsi"/>
          <w:lang w:val="fr-FR"/>
        </w:rPr>
        <w:t>identité de son nouveau représentant permanent. Il en est de même en cas de décès ou de démission du représentant permanent.</w:t>
      </w:r>
    </w:p>
    <w:p w:rsidR="00B740A8" w:rsidRPr="00C73365" w:rsidRDefault="00B740A8" w:rsidP="00846FBD">
      <w:pPr>
        <w:pStyle w:val="ListContinue"/>
        <w:ind w:left="283"/>
        <w:rPr>
          <w:rFonts w:asciiTheme="minorHAnsi" w:hAnsiTheme="minorHAnsi" w:cstheme="minorHAnsi"/>
          <w:lang w:val="fr-FR"/>
        </w:rPr>
      </w:pPr>
      <w:r w:rsidRPr="00C73365">
        <w:rPr>
          <w:rFonts w:asciiTheme="minorHAnsi" w:hAnsiTheme="minorHAnsi" w:cstheme="minorHAnsi"/>
          <w:lang w:val="fr-FR"/>
        </w:rPr>
        <w:t>La désignation du représentant permanent ainsi que la cessation de son mandat sont soumises aux mêmes formalités de publicité que s</w:t>
      </w:r>
      <w:r w:rsidR="004572A0" w:rsidRPr="00C73365">
        <w:rPr>
          <w:rFonts w:asciiTheme="minorHAnsi" w:hAnsiTheme="minorHAnsi" w:cstheme="minorHAnsi"/>
          <w:lang w:val="fr-FR"/>
        </w:rPr>
        <w:t>’</w:t>
      </w:r>
      <w:r w:rsidRPr="00C73365">
        <w:rPr>
          <w:rFonts w:asciiTheme="minorHAnsi" w:hAnsiTheme="minorHAnsi" w:cstheme="minorHAnsi"/>
          <w:lang w:val="fr-FR"/>
        </w:rPr>
        <w:t>il était administrateur en son nom propre.</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14.3</w:t>
      </w:r>
      <w:r w:rsidR="004572A0" w:rsidRPr="00C73365">
        <w:rPr>
          <w:rFonts w:asciiTheme="minorHAnsi" w:hAnsiTheme="minorHAnsi" w:cstheme="minorHAnsi"/>
          <w:lang w:val="fr-FR"/>
        </w:rPr>
        <w:tab/>
      </w:r>
      <w:r w:rsidRPr="00C73365">
        <w:rPr>
          <w:rFonts w:asciiTheme="minorHAnsi" w:hAnsiTheme="minorHAnsi" w:cstheme="minorHAnsi"/>
          <w:lang w:val="fr-FR"/>
        </w:rPr>
        <w:t>Vacance, décès, démission</w:t>
      </w:r>
    </w:p>
    <w:p w:rsidR="00B740A8" w:rsidRPr="00C73365" w:rsidRDefault="00B740A8" w:rsidP="00B740A8">
      <w:pPr>
        <w:rPr>
          <w:rFonts w:asciiTheme="minorHAnsi" w:hAnsiTheme="minorHAnsi" w:cstheme="minorHAnsi"/>
          <w:b/>
          <w:lang w:val="fr-FR"/>
        </w:rPr>
      </w:pP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En cas de vacance par décès ou par démission d</w:t>
      </w:r>
      <w:r w:rsidR="004572A0" w:rsidRPr="00C73365">
        <w:rPr>
          <w:rFonts w:asciiTheme="minorHAnsi" w:hAnsiTheme="minorHAnsi" w:cstheme="minorHAnsi"/>
          <w:lang w:val="fr-FR"/>
        </w:rPr>
        <w:t>’</w:t>
      </w:r>
      <w:r w:rsidRPr="00C73365">
        <w:rPr>
          <w:rFonts w:asciiTheme="minorHAnsi" w:hAnsiTheme="minorHAnsi" w:cstheme="minorHAnsi"/>
          <w:lang w:val="fr-FR"/>
        </w:rPr>
        <w:t>un ou plusieurs sièges d</w:t>
      </w:r>
      <w:r w:rsidR="004572A0" w:rsidRPr="00C73365">
        <w:rPr>
          <w:rFonts w:asciiTheme="minorHAnsi" w:hAnsiTheme="minorHAnsi" w:cstheme="minorHAnsi"/>
          <w:lang w:val="fr-FR"/>
        </w:rPr>
        <w:t>’</w:t>
      </w:r>
      <w:r w:rsidRPr="00C73365">
        <w:rPr>
          <w:rFonts w:asciiTheme="minorHAnsi" w:hAnsiTheme="minorHAnsi" w:cstheme="minorHAnsi"/>
          <w:lang w:val="fr-FR"/>
        </w:rPr>
        <w:t>administrateur, le Conseil d’administration peut, entre deux Assemblées générales, procéder à des nominations à titre provisoire.</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Lorsque le nombre des administrateurs est devenu inférieur au minimum légal, les administrateurs restant doivent convoquer immédiatement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en vue de compléter l</w:t>
      </w:r>
      <w:r w:rsidR="004572A0" w:rsidRPr="00C73365">
        <w:rPr>
          <w:rFonts w:asciiTheme="minorHAnsi" w:hAnsiTheme="minorHAnsi" w:cstheme="minorHAnsi"/>
          <w:lang w:val="fr-FR"/>
        </w:rPr>
        <w:t>’</w:t>
      </w:r>
      <w:r w:rsidRPr="00C73365">
        <w:rPr>
          <w:rFonts w:asciiTheme="minorHAnsi" w:hAnsiTheme="minorHAnsi" w:cstheme="minorHAnsi"/>
          <w:lang w:val="fr-FR"/>
        </w:rPr>
        <w:t>effectif du Conseil.</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nominations provisoires effectuées par le Conseil sont soumises à ratification de la plus prochaine assemblée générale ordinaire. A défaut de ratification, les délibérations prises et les actes accomplis antérieurement par le Conseil n</w:t>
      </w:r>
      <w:r w:rsidR="004572A0" w:rsidRPr="00C73365">
        <w:rPr>
          <w:rFonts w:asciiTheme="minorHAnsi" w:hAnsiTheme="minorHAnsi" w:cstheme="minorHAnsi"/>
          <w:lang w:val="fr-FR"/>
        </w:rPr>
        <w:t>’</w:t>
      </w:r>
      <w:r w:rsidRPr="00C73365">
        <w:rPr>
          <w:rFonts w:asciiTheme="minorHAnsi" w:hAnsiTheme="minorHAnsi" w:cstheme="minorHAnsi"/>
          <w:lang w:val="fr-FR"/>
        </w:rPr>
        <w:t>en demeurent pas moins valables.</w:t>
      </w:r>
    </w:p>
    <w:p w:rsidR="00B740A8" w:rsidRDefault="00B740A8" w:rsidP="00B740A8">
      <w:pPr>
        <w:rPr>
          <w:rFonts w:asciiTheme="minorHAnsi" w:hAnsiTheme="minorHAnsi" w:cstheme="minorHAnsi"/>
          <w:lang w:val="fr-FR"/>
        </w:rPr>
      </w:pPr>
    </w:p>
    <w:p w:rsidR="004834A9" w:rsidRDefault="004834A9" w:rsidP="00B740A8">
      <w:pPr>
        <w:rPr>
          <w:rFonts w:asciiTheme="minorHAnsi" w:hAnsiTheme="minorHAnsi" w:cstheme="minorHAnsi"/>
          <w:lang w:val="fr-FR"/>
        </w:rPr>
      </w:pPr>
    </w:p>
    <w:p w:rsidR="004834A9" w:rsidRDefault="004834A9" w:rsidP="00B740A8">
      <w:pPr>
        <w:rPr>
          <w:rFonts w:asciiTheme="minorHAnsi" w:hAnsiTheme="minorHAnsi" w:cstheme="minorHAnsi"/>
          <w:lang w:val="fr-FR"/>
        </w:rPr>
      </w:pPr>
    </w:p>
    <w:p w:rsidR="004834A9" w:rsidRPr="00C73365" w:rsidRDefault="004834A9" w:rsidP="00B740A8">
      <w:pPr>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Article 15</w:t>
      </w:r>
      <w:r w:rsidRPr="00C73365">
        <w:rPr>
          <w:rFonts w:asciiTheme="minorHAnsi" w:hAnsiTheme="minorHAnsi" w:cstheme="minorHAnsi"/>
          <w:b/>
          <w:lang w:val="fr-FR"/>
        </w:rPr>
        <w:tab/>
        <w:t>ORGANISATION ET DELIBERATIONS DU CONSEIL</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15.1</w:t>
      </w:r>
      <w:r w:rsidR="004572A0" w:rsidRPr="00C73365">
        <w:rPr>
          <w:rFonts w:asciiTheme="minorHAnsi" w:hAnsiTheme="minorHAnsi" w:cstheme="minorHAnsi"/>
          <w:lang w:val="fr-FR"/>
        </w:rPr>
        <w:tab/>
      </w:r>
      <w:r w:rsidRPr="00C73365">
        <w:rPr>
          <w:rFonts w:asciiTheme="minorHAnsi" w:hAnsiTheme="minorHAnsi" w:cstheme="minorHAnsi"/>
          <w:lang w:val="fr-FR"/>
        </w:rPr>
        <w:t>Président du Conseil</w:t>
      </w:r>
    </w:p>
    <w:p w:rsidR="00B740A8" w:rsidRPr="00C73365" w:rsidRDefault="00B740A8" w:rsidP="00846FBD">
      <w:pPr>
        <w:rPr>
          <w:rFonts w:asciiTheme="minorHAnsi" w:hAnsiTheme="minorHAnsi" w:cstheme="minorHAnsi"/>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élit parmi ses membres un Président qui est, à peine de nullité de la nomination, une personne physique. Le Conseil d’administration détermine sa rémunération.</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Président du Conseil d’administration organise et dirige les travaux de celui-ci, dont il rend compte à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Il veille au bon fonctionnement des organes de la Société et s</w:t>
      </w:r>
      <w:r w:rsidR="004572A0" w:rsidRPr="00C73365">
        <w:rPr>
          <w:rFonts w:asciiTheme="minorHAnsi" w:hAnsiTheme="minorHAnsi" w:cstheme="minorHAnsi"/>
          <w:lang w:val="fr-FR"/>
        </w:rPr>
        <w:t>’</w:t>
      </w:r>
      <w:r w:rsidRPr="00C73365">
        <w:rPr>
          <w:rFonts w:asciiTheme="minorHAnsi" w:hAnsiTheme="minorHAnsi" w:cstheme="minorHAnsi"/>
          <w:lang w:val="fr-FR"/>
        </w:rPr>
        <w:t>assure, en particulier, que les administrateurs sont en mesure de remplir leur mission.</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Pour l</w:t>
      </w:r>
      <w:r w:rsidR="004572A0" w:rsidRPr="00C73365">
        <w:rPr>
          <w:rFonts w:asciiTheme="minorHAnsi" w:hAnsiTheme="minorHAnsi" w:cstheme="minorHAnsi"/>
          <w:lang w:val="fr-FR"/>
        </w:rPr>
        <w:t>’</w:t>
      </w:r>
      <w:r w:rsidRPr="00C73365">
        <w:rPr>
          <w:rFonts w:asciiTheme="minorHAnsi" w:hAnsiTheme="minorHAnsi" w:cstheme="minorHAnsi"/>
          <w:lang w:val="fr-FR"/>
        </w:rPr>
        <w:t>exercice de ses fonctions, le Président du Conseil d’administration doit être âgé de moins de quatre-vingt-cinq (85) ans. Lorsqu</w:t>
      </w:r>
      <w:r w:rsidR="004572A0" w:rsidRPr="00C73365">
        <w:rPr>
          <w:rFonts w:asciiTheme="minorHAnsi" w:hAnsiTheme="minorHAnsi" w:cstheme="minorHAnsi"/>
          <w:lang w:val="fr-FR"/>
        </w:rPr>
        <w:t>’</w:t>
      </w:r>
      <w:r w:rsidRPr="00C73365">
        <w:rPr>
          <w:rFonts w:asciiTheme="minorHAnsi" w:hAnsiTheme="minorHAnsi" w:cstheme="minorHAnsi"/>
          <w:lang w:val="fr-FR"/>
        </w:rPr>
        <w:t>en cours de fonction cette limite d</w:t>
      </w:r>
      <w:r w:rsidR="004572A0" w:rsidRPr="00C73365">
        <w:rPr>
          <w:rFonts w:asciiTheme="minorHAnsi" w:hAnsiTheme="minorHAnsi" w:cstheme="minorHAnsi"/>
          <w:lang w:val="fr-FR"/>
        </w:rPr>
        <w:t>’</w:t>
      </w:r>
      <w:r w:rsidRPr="00C73365">
        <w:rPr>
          <w:rFonts w:asciiTheme="minorHAnsi" w:hAnsiTheme="minorHAnsi" w:cstheme="minorHAnsi"/>
          <w:lang w:val="fr-FR"/>
        </w:rPr>
        <w:t>âge aura été atteinte, le Président du Conseil d’administration sera réputé démissionnaire d</w:t>
      </w:r>
      <w:r w:rsidR="004572A0" w:rsidRPr="00C73365">
        <w:rPr>
          <w:rFonts w:asciiTheme="minorHAnsi" w:hAnsiTheme="minorHAnsi" w:cstheme="minorHAnsi"/>
          <w:lang w:val="fr-FR"/>
        </w:rPr>
        <w:t>’</w:t>
      </w:r>
      <w:r w:rsidRPr="00C73365">
        <w:rPr>
          <w:rFonts w:asciiTheme="minorHAnsi" w:hAnsiTheme="minorHAnsi" w:cstheme="minorHAnsi"/>
          <w:lang w:val="fr-FR"/>
        </w:rPr>
        <w:t>office et il sera procédé à la désignation d</w:t>
      </w:r>
      <w:r w:rsidR="004572A0" w:rsidRPr="00C73365">
        <w:rPr>
          <w:rFonts w:asciiTheme="minorHAnsi" w:hAnsiTheme="minorHAnsi" w:cstheme="minorHAnsi"/>
          <w:lang w:val="fr-FR"/>
        </w:rPr>
        <w:t>’</w:t>
      </w:r>
      <w:r w:rsidRPr="00C73365">
        <w:rPr>
          <w:rFonts w:asciiTheme="minorHAnsi" w:hAnsiTheme="minorHAnsi" w:cstheme="minorHAnsi"/>
          <w:lang w:val="fr-FR"/>
        </w:rPr>
        <w:t>un nouveau Président dans les conditions prévues au présent article.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Président est nommé pour une durée qui ne peut pas excéder celle de son mandat d</w:t>
      </w:r>
      <w:r w:rsidR="004572A0" w:rsidRPr="00C73365">
        <w:rPr>
          <w:rFonts w:asciiTheme="minorHAnsi" w:hAnsiTheme="minorHAnsi" w:cstheme="minorHAnsi"/>
          <w:lang w:val="fr-FR"/>
        </w:rPr>
        <w:t>’</w:t>
      </w:r>
      <w:r w:rsidRPr="00C73365">
        <w:rPr>
          <w:rFonts w:asciiTheme="minorHAnsi" w:hAnsiTheme="minorHAnsi" w:cstheme="minorHAnsi"/>
          <w:lang w:val="fr-FR"/>
        </w:rPr>
        <w:t>administrateur. Il est rééligible.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peut le révoquer à tout moment.</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En cas d</w:t>
      </w:r>
      <w:r w:rsidR="004572A0" w:rsidRPr="00C73365">
        <w:rPr>
          <w:rFonts w:asciiTheme="minorHAnsi" w:hAnsiTheme="minorHAnsi" w:cstheme="minorHAnsi"/>
          <w:lang w:val="fr-FR"/>
        </w:rPr>
        <w:t>’</w:t>
      </w:r>
      <w:r w:rsidRPr="00C73365">
        <w:rPr>
          <w:rFonts w:asciiTheme="minorHAnsi" w:hAnsiTheme="minorHAnsi" w:cstheme="minorHAnsi"/>
          <w:lang w:val="fr-FR"/>
        </w:rPr>
        <w:t>empêchement temporaire ou de décès du Président, le Conseil d’administration peut déléguer un administrateur dans les fonctions de Président.</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En cas d</w:t>
      </w:r>
      <w:r w:rsidR="004572A0" w:rsidRPr="00C73365">
        <w:rPr>
          <w:rFonts w:asciiTheme="minorHAnsi" w:hAnsiTheme="minorHAnsi" w:cstheme="minorHAnsi"/>
          <w:lang w:val="fr-FR"/>
        </w:rPr>
        <w:t>’</w:t>
      </w:r>
      <w:r w:rsidRPr="00C73365">
        <w:rPr>
          <w:rFonts w:asciiTheme="minorHAnsi" w:hAnsiTheme="minorHAnsi" w:cstheme="minorHAnsi"/>
          <w:lang w:val="fr-FR"/>
        </w:rPr>
        <w:t>empêchement temporaire, cette délégation est donnée pour une durée limitée ; elle est renouvelable. En cas de décès, elle vaut jusqu</w:t>
      </w:r>
      <w:r w:rsidR="004572A0" w:rsidRPr="00C73365">
        <w:rPr>
          <w:rFonts w:asciiTheme="minorHAnsi" w:hAnsiTheme="minorHAnsi" w:cstheme="minorHAnsi"/>
          <w:lang w:val="fr-FR"/>
        </w:rPr>
        <w:t>’</w:t>
      </w:r>
      <w:r w:rsidRPr="00C73365">
        <w:rPr>
          <w:rFonts w:asciiTheme="minorHAnsi" w:hAnsiTheme="minorHAnsi" w:cstheme="minorHAnsi"/>
          <w:lang w:val="fr-FR"/>
        </w:rPr>
        <w:t>à l</w:t>
      </w:r>
      <w:r w:rsidR="004572A0" w:rsidRPr="00C73365">
        <w:rPr>
          <w:rFonts w:asciiTheme="minorHAnsi" w:hAnsiTheme="minorHAnsi" w:cstheme="minorHAnsi"/>
          <w:lang w:val="fr-FR"/>
        </w:rPr>
        <w:t>’</w:t>
      </w:r>
      <w:r w:rsidRPr="00C73365">
        <w:rPr>
          <w:rFonts w:asciiTheme="minorHAnsi" w:hAnsiTheme="minorHAnsi" w:cstheme="minorHAnsi"/>
          <w:lang w:val="fr-FR"/>
        </w:rPr>
        <w:t>élection du nouveau Président.</w:t>
      </w:r>
    </w:p>
    <w:p w:rsidR="004834A9" w:rsidRDefault="004834A9" w:rsidP="004572A0">
      <w:pPr>
        <w:pStyle w:val="List2"/>
        <w:rPr>
          <w:rFonts w:asciiTheme="minorHAnsi" w:hAnsiTheme="minorHAnsi" w:cstheme="minorHAnsi"/>
          <w:lang w:val="fr-FR"/>
        </w:rPr>
      </w:pPr>
    </w:p>
    <w:p w:rsidR="00B740A8" w:rsidRPr="00C73365" w:rsidRDefault="00B740A8" w:rsidP="004834A9">
      <w:pPr>
        <w:pStyle w:val="List2"/>
        <w:ind w:left="283"/>
        <w:rPr>
          <w:rFonts w:asciiTheme="minorHAnsi" w:hAnsiTheme="minorHAnsi" w:cstheme="minorHAnsi"/>
          <w:lang w:val="fr-FR"/>
        </w:rPr>
      </w:pPr>
      <w:r w:rsidRPr="00C73365">
        <w:rPr>
          <w:rFonts w:asciiTheme="minorHAnsi" w:hAnsiTheme="minorHAnsi" w:cstheme="minorHAnsi"/>
          <w:lang w:val="fr-FR"/>
        </w:rPr>
        <w:t>15.2</w:t>
      </w:r>
      <w:r w:rsidR="004572A0" w:rsidRPr="00C73365">
        <w:rPr>
          <w:rFonts w:asciiTheme="minorHAnsi" w:hAnsiTheme="minorHAnsi" w:cstheme="minorHAnsi"/>
          <w:lang w:val="fr-FR"/>
        </w:rPr>
        <w:tab/>
      </w:r>
      <w:r w:rsidRPr="00C73365">
        <w:rPr>
          <w:rFonts w:asciiTheme="minorHAnsi" w:hAnsiTheme="minorHAnsi" w:cstheme="minorHAnsi"/>
          <w:lang w:val="fr-FR"/>
        </w:rPr>
        <w:t>Réunions du Conseil</w:t>
      </w:r>
    </w:p>
    <w:p w:rsidR="00B740A8" w:rsidRPr="00C73365" w:rsidRDefault="00B740A8" w:rsidP="00B740A8">
      <w:pPr>
        <w:rPr>
          <w:rFonts w:asciiTheme="minorHAnsi" w:hAnsiTheme="minorHAnsi" w:cstheme="minorHAnsi"/>
          <w:lang w:val="fr-FR"/>
        </w:rPr>
      </w:pP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Conseil d’administration se réunit aussi souvent que l</w:t>
      </w:r>
      <w:r w:rsidR="004572A0" w:rsidRPr="00C73365">
        <w:rPr>
          <w:rFonts w:asciiTheme="minorHAnsi" w:hAnsiTheme="minorHAnsi" w:cstheme="minorHAnsi"/>
          <w:lang w:val="fr-FR"/>
        </w:rPr>
        <w:t>’</w:t>
      </w:r>
      <w:r w:rsidRPr="00C73365">
        <w:rPr>
          <w:rFonts w:asciiTheme="minorHAnsi" w:hAnsiTheme="minorHAnsi" w:cstheme="minorHAnsi"/>
          <w:lang w:val="fr-FR"/>
        </w:rPr>
        <w:t>intérêt de la Société l</w:t>
      </w:r>
      <w:r w:rsidR="004572A0" w:rsidRPr="00C73365">
        <w:rPr>
          <w:rFonts w:asciiTheme="minorHAnsi" w:hAnsiTheme="minorHAnsi" w:cstheme="minorHAnsi"/>
          <w:lang w:val="fr-FR"/>
        </w:rPr>
        <w:t>’</w:t>
      </w:r>
      <w:r w:rsidRPr="00C73365">
        <w:rPr>
          <w:rFonts w:asciiTheme="minorHAnsi" w:hAnsiTheme="minorHAnsi" w:cstheme="minorHAnsi"/>
          <w:lang w:val="fr-FR"/>
        </w:rPr>
        <w:t>exige, sur convocation du Président ou de deux administrateurs.</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Lorsqu</w:t>
      </w:r>
      <w:r w:rsidR="004572A0" w:rsidRPr="00C73365">
        <w:rPr>
          <w:rFonts w:asciiTheme="minorHAnsi" w:hAnsiTheme="minorHAnsi" w:cstheme="minorHAnsi"/>
          <w:lang w:val="fr-FR"/>
        </w:rPr>
        <w:t>’</w:t>
      </w:r>
      <w:r w:rsidRPr="00C73365">
        <w:rPr>
          <w:rFonts w:asciiTheme="minorHAnsi" w:hAnsiTheme="minorHAnsi" w:cstheme="minorHAnsi"/>
          <w:lang w:val="fr-FR"/>
        </w:rPr>
        <w:t>il ne s</w:t>
      </w:r>
      <w:r w:rsidR="004572A0" w:rsidRPr="00C73365">
        <w:rPr>
          <w:rFonts w:asciiTheme="minorHAnsi" w:hAnsiTheme="minorHAnsi" w:cstheme="minorHAnsi"/>
          <w:lang w:val="fr-FR"/>
        </w:rPr>
        <w:t>’</w:t>
      </w:r>
      <w:r w:rsidRPr="00C73365">
        <w:rPr>
          <w:rFonts w:asciiTheme="minorHAnsi" w:hAnsiTheme="minorHAnsi" w:cstheme="minorHAnsi"/>
          <w:lang w:val="fr-FR"/>
        </w:rPr>
        <w:t>est pas réuni depuis plus de deux (2) mois, le tiers au moins des membres du Conseil d’administration peut demander au Président de convoquer celui-ci sur un ordre du jour déterminé.</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Directeur Général peut également demander au Président de convoquer le Conseil d’administration sur un ordre du jour déterminé.</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 xml:space="preserve">Le Président est lié par les demandes qui lui sont adressées en vertu des deux alinéas précédents. </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convocations sont faites par tous moyens et même verbalement.</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Conseil se réunit au siège social ou en tout autre lieu (en France ou à l</w:t>
      </w:r>
      <w:r w:rsidR="004572A0" w:rsidRPr="00C73365">
        <w:rPr>
          <w:rFonts w:asciiTheme="minorHAnsi" w:hAnsiTheme="minorHAnsi" w:cstheme="minorHAnsi"/>
          <w:lang w:val="fr-FR"/>
        </w:rPr>
        <w:t>’</w:t>
      </w:r>
      <w:r w:rsidRPr="00C73365">
        <w:rPr>
          <w:rFonts w:asciiTheme="minorHAnsi" w:hAnsiTheme="minorHAnsi" w:cstheme="minorHAnsi"/>
          <w:lang w:val="fr-FR"/>
        </w:rPr>
        <w:t>étranger) désigné dans la convocation, sous la présidence de son Président ou, en cas d</w:t>
      </w:r>
      <w:r w:rsidR="004572A0" w:rsidRPr="00C73365">
        <w:rPr>
          <w:rFonts w:asciiTheme="minorHAnsi" w:hAnsiTheme="minorHAnsi" w:cstheme="minorHAnsi"/>
          <w:lang w:val="fr-FR"/>
        </w:rPr>
        <w:t>’</w:t>
      </w:r>
      <w:r w:rsidRPr="00C73365">
        <w:rPr>
          <w:rFonts w:asciiTheme="minorHAnsi" w:hAnsiTheme="minorHAnsi" w:cstheme="minorHAnsi"/>
          <w:lang w:val="fr-FR"/>
        </w:rPr>
        <w:t>empêchement, du membre désigné par le Conseil pour le présider.</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Président du Conseil d’administration préside les séances. En cas d</w:t>
      </w:r>
      <w:r w:rsidR="004572A0" w:rsidRPr="00C73365">
        <w:rPr>
          <w:rFonts w:asciiTheme="minorHAnsi" w:hAnsiTheme="minorHAnsi" w:cstheme="minorHAnsi"/>
          <w:lang w:val="fr-FR"/>
        </w:rPr>
        <w:t>’</w:t>
      </w:r>
      <w:r w:rsidRPr="00C73365">
        <w:rPr>
          <w:rFonts w:asciiTheme="minorHAnsi" w:hAnsiTheme="minorHAnsi" w:cstheme="minorHAnsi"/>
          <w:lang w:val="fr-FR"/>
        </w:rPr>
        <w:t>empêchement du Président, le Conseil désigne à chaque séance celui de ses membres présents qui présidera la séance.</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Conseil peut nommer, à chaque séance, un secrétaire, même en dehors de ses membres.</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Il est tenu un registre qui est signé par les administrateurs participant à la séance du Conseil.</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administrateurs, ainsi que toute personne appelée à assister aux réunions du Conseil d’administration, sont tenus à la discrétion à l</w:t>
      </w:r>
      <w:r w:rsidR="004572A0" w:rsidRPr="00C73365">
        <w:rPr>
          <w:rFonts w:asciiTheme="minorHAnsi" w:hAnsiTheme="minorHAnsi" w:cstheme="minorHAnsi"/>
          <w:lang w:val="fr-FR"/>
        </w:rPr>
        <w:t>’</w:t>
      </w:r>
      <w:r w:rsidRPr="00C73365">
        <w:rPr>
          <w:rFonts w:asciiTheme="minorHAnsi" w:hAnsiTheme="minorHAnsi" w:cstheme="minorHAnsi"/>
          <w:lang w:val="fr-FR"/>
        </w:rPr>
        <w:t>égard des informations présentant un caractère confidentiel et données comme telles par le Président.</w:t>
      </w:r>
    </w:p>
    <w:p w:rsidR="00B740A8" w:rsidRPr="00C73365" w:rsidRDefault="00B740A8" w:rsidP="00B740A8">
      <w:pPr>
        <w:rPr>
          <w:rFonts w:asciiTheme="minorHAnsi" w:hAnsiTheme="minorHAnsi" w:cstheme="minorHAnsi"/>
          <w:lang w:val="fr-FR"/>
        </w:rPr>
      </w:pPr>
    </w:p>
    <w:p w:rsidR="004834A9" w:rsidRDefault="004834A9" w:rsidP="00B740A8">
      <w:pPr>
        <w:rPr>
          <w:rFonts w:asciiTheme="minorHAnsi" w:hAnsiTheme="minorHAnsi" w:cstheme="minorHAnsi"/>
          <w:lang w:val="fr-FR"/>
        </w:rPr>
      </w:pPr>
    </w:p>
    <w:p w:rsidR="00846FBD" w:rsidRDefault="00846FBD" w:rsidP="00B740A8">
      <w:pPr>
        <w:rPr>
          <w:rFonts w:asciiTheme="minorHAnsi" w:hAnsiTheme="minorHAnsi" w:cstheme="minorHAnsi"/>
          <w:lang w:val="fr-FR"/>
        </w:rPr>
      </w:pPr>
    </w:p>
    <w:p w:rsidR="00846FBD" w:rsidRPr="00C73365" w:rsidRDefault="00846FBD" w:rsidP="00B740A8">
      <w:pPr>
        <w:rPr>
          <w:rFonts w:asciiTheme="minorHAnsi" w:hAnsiTheme="minorHAnsi" w:cstheme="minorHAnsi"/>
          <w:lang w:val="fr-FR"/>
        </w:rPr>
      </w:pP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lastRenderedPageBreak/>
        <w:t>15.3</w:t>
      </w:r>
      <w:r w:rsidR="004572A0" w:rsidRPr="00C73365">
        <w:rPr>
          <w:rFonts w:asciiTheme="minorHAnsi" w:hAnsiTheme="minorHAnsi" w:cstheme="minorHAnsi"/>
          <w:lang w:val="fr-FR"/>
        </w:rPr>
        <w:tab/>
      </w:r>
      <w:r w:rsidRPr="00C73365">
        <w:rPr>
          <w:rFonts w:asciiTheme="minorHAnsi" w:hAnsiTheme="minorHAnsi" w:cstheme="minorHAnsi"/>
          <w:lang w:val="fr-FR"/>
        </w:rPr>
        <w:t>Quorum et majorité</w:t>
      </w:r>
    </w:p>
    <w:p w:rsidR="00B740A8" w:rsidRPr="00C73365" w:rsidRDefault="00B740A8" w:rsidP="00B740A8">
      <w:pPr>
        <w:rPr>
          <w:rFonts w:asciiTheme="minorHAnsi" w:hAnsiTheme="minorHAnsi" w:cstheme="minorHAnsi"/>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ne délibère valablement que si la moitié au moins des administrateurs sont présents ou réputés présents, sous réserve des aménagements apportés par le règlement intérieur en cas de recours à la visioconférence et autre moyen de télécommunication.</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Sauf stipulation contraire des présents statuts et sous réserve des aménagements apportés par le règlement intérieur en cas de recours à la visioconférence ou autre moyen de télécommunication, les décisions sont prises à la majorité des voix des membres présents, réputés présents, ou représentés.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En cas de partage des voix, la voix du Président est prépondérante.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Sont réputés présents, pour le calcul du quorum et de la majorité, les administrateurs qui participent à la réunion du Conseil par des moyens de visioconférence ou de télécommunication dans les conditions définies par le règlement intérieur du Conseil d’administration. Toutefois, la présence effective ou par représentation sera nécessaire pour toutes délibérations du Conseil relatives à l</w:t>
      </w:r>
      <w:r w:rsidR="004572A0" w:rsidRPr="00C73365">
        <w:rPr>
          <w:rFonts w:asciiTheme="minorHAnsi" w:hAnsiTheme="minorHAnsi" w:cstheme="minorHAnsi"/>
          <w:lang w:val="fr-FR"/>
        </w:rPr>
        <w:t>’</w:t>
      </w:r>
      <w:r w:rsidRPr="00C73365">
        <w:rPr>
          <w:rFonts w:asciiTheme="minorHAnsi" w:hAnsiTheme="minorHAnsi" w:cstheme="minorHAnsi"/>
          <w:lang w:val="fr-FR"/>
        </w:rPr>
        <w:t>arrêté des comptes annuels et des comptes consolidés, le cas échéant, ainsi qu</w:t>
      </w:r>
      <w:r w:rsidR="004572A0" w:rsidRPr="00C73365">
        <w:rPr>
          <w:rFonts w:asciiTheme="minorHAnsi" w:hAnsiTheme="minorHAnsi" w:cstheme="minorHAnsi"/>
          <w:lang w:val="fr-FR"/>
        </w:rPr>
        <w:t>’</w:t>
      </w:r>
      <w:r w:rsidRPr="00C73365">
        <w:rPr>
          <w:rFonts w:asciiTheme="minorHAnsi" w:hAnsiTheme="minorHAnsi" w:cstheme="minorHAnsi"/>
          <w:lang w:val="fr-FR"/>
        </w:rPr>
        <w:t>à l</w:t>
      </w:r>
      <w:r w:rsidR="004572A0" w:rsidRPr="00C73365">
        <w:rPr>
          <w:rFonts w:asciiTheme="minorHAnsi" w:hAnsiTheme="minorHAnsi" w:cstheme="minorHAnsi"/>
          <w:lang w:val="fr-FR"/>
        </w:rPr>
        <w:t>’</w:t>
      </w:r>
      <w:r w:rsidRPr="00C73365">
        <w:rPr>
          <w:rFonts w:asciiTheme="minorHAnsi" w:hAnsiTheme="minorHAnsi" w:cstheme="minorHAnsi"/>
          <w:lang w:val="fr-FR"/>
        </w:rPr>
        <w:t>établissement du rapport de gestion et du rapport sur la gestion du groupe, le cas échéant, ainsi que pour les décisions relatives à la révocation du Président du Conseil d’administration, du Directeur général et du Directeur général délégué.</w:t>
      </w:r>
    </w:p>
    <w:p w:rsidR="00B740A8"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Par ailleurs, la moitié des administrateurs en fonction pourra s</w:t>
      </w:r>
      <w:r w:rsidR="004572A0" w:rsidRPr="00C73365">
        <w:rPr>
          <w:rFonts w:asciiTheme="minorHAnsi" w:hAnsiTheme="minorHAnsi" w:cstheme="minorHAnsi"/>
          <w:lang w:val="fr-FR"/>
        </w:rPr>
        <w:t>’</w:t>
      </w:r>
      <w:r w:rsidRPr="00C73365">
        <w:rPr>
          <w:rFonts w:asciiTheme="minorHAnsi" w:hAnsiTheme="minorHAnsi" w:cstheme="minorHAnsi"/>
          <w:lang w:val="fr-FR"/>
        </w:rPr>
        <w:t>opposer à la tenue d</w:t>
      </w:r>
      <w:r w:rsidR="004572A0" w:rsidRPr="00C73365">
        <w:rPr>
          <w:rFonts w:asciiTheme="minorHAnsi" w:hAnsiTheme="minorHAnsi" w:cstheme="minorHAnsi"/>
          <w:lang w:val="fr-FR"/>
        </w:rPr>
        <w:t>’</w:t>
      </w:r>
      <w:r w:rsidRPr="00C73365">
        <w:rPr>
          <w:rFonts w:asciiTheme="minorHAnsi" w:hAnsiTheme="minorHAnsi" w:cstheme="minorHAnsi"/>
          <w:lang w:val="fr-FR"/>
        </w:rPr>
        <w:t>une réunion du Conseil d’administration par des moyens de visio-conférence ou de télécommunication. Cette opposition devra être notifiée dans les formes et délais qui seront arrêtés par le règlement intérieur et/ou dans celles qui seraient déterminées par les dispositions légales ou réglementaires.</w:t>
      </w:r>
    </w:p>
    <w:p w:rsidR="004834A9" w:rsidRPr="00C73365" w:rsidRDefault="004834A9" w:rsidP="004572A0">
      <w:pPr>
        <w:pStyle w:val="ListContinue"/>
        <w:rPr>
          <w:rFonts w:asciiTheme="minorHAnsi" w:hAnsiTheme="minorHAnsi" w:cstheme="minorHAnsi"/>
          <w:lang w:val="fr-FR"/>
        </w:rPr>
      </w:pPr>
    </w:p>
    <w:p w:rsidR="00B740A8" w:rsidRPr="00C73365" w:rsidRDefault="00B740A8" w:rsidP="00846FBD">
      <w:pPr>
        <w:pStyle w:val="List2"/>
        <w:rPr>
          <w:rFonts w:asciiTheme="minorHAnsi" w:hAnsiTheme="minorHAnsi" w:cstheme="minorHAnsi"/>
          <w:lang w:val="fr-FR"/>
        </w:rPr>
      </w:pPr>
      <w:r w:rsidRPr="00C73365">
        <w:rPr>
          <w:rFonts w:asciiTheme="minorHAnsi" w:hAnsiTheme="minorHAnsi" w:cstheme="minorHAnsi"/>
          <w:lang w:val="fr-FR"/>
        </w:rPr>
        <w:t>15.4</w:t>
      </w:r>
      <w:r w:rsidR="004572A0" w:rsidRPr="00C73365">
        <w:rPr>
          <w:rFonts w:asciiTheme="minorHAnsi" w:hAnsiTheme="minorHAnsi" w:cstheme="minorHAnsi"/>
          <w:lang w:val="fr-FR"/>
        </w:rPr>
        <w:tab/>
      </w:r>
      <w:r w:rsidR="00846FBD">
        <w:rPr>
          <w:rFonts w:asciiTheme="minorHAnsi" w:hAnsiTheme="minorHAnsi" w:cstheme="minorHAnsi"/>
          <w:lang w:val="fr-FR"/>
        </w:rPr>
        <w:t>Représentation</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Tout administrateur peut donner, par écrit, mandat à un autre administrateur de le représenter à une séance du Conseil d’administration.</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Chaque administrateur ne peut disposer, au cours d</w:t>
      </w:r>
      <w:r w:rsidR="004572A0" w:rsidRPr="00C73365">
        <w:rPr>
          <w:rFonts w:asciiTheme="minorHAnsi" w:hAnsiTheme="minorHAnsi" w:cstheme="minorHAnsi"/>
          <w:lang w:val="fr-FR"/>
        </w:rPr>
        <w:t>’</w:t>
      </w:r>
      <w:r w:rsidRPr="00C73365">
        <w:rPr>
          <w:rFonts w:asciiTheme="minorHAnsi" w:hAnsiTheme="minorHAnsi" w:cstheme="minorHAnsi"/>
          <w:lang w:val="fr-FR"/>
        </w:rPr>
        <w:t>une même séance, que d</w:t>
      </w:r>
      <w:r w:rsidR="004572A0" w:rsidRPr="00C73365">
        <w:rPr>
          <w:rFonts w:asciiTheme="minorHAnsi" w:hAnsiTheme="minorHAnsi" w:cstheme="minorHAnsi"/>
          <w:lang w:val="fr-FR"/>
        </w:rPr>
        <w:t>’</w:t>
      </w:r>
      <w:r w:rsidRPr="00C73365">
        <w:rPr>
          <w:rFonts w:asciiTheme="minorHAnsi" w:hAnsiTheme="minorHAnsi" w:cstheme="minorHAnsi"/>
          <w:lang w:val="fr-FR"/>
        </w:rPr>
        <w:t>une seule des procurations reçues par application de l</w:t>
      </w:r>
      <w:r w:rsidR="004572A0" w:rsidRPr="00C73365">
        <w:rPr>
          <w:rFonts w:asciiTheme="minorHAnsi" w:hAnsiTheme="minorHAnsi" w:cstheme="minorHAnsi"/>
          <w:lang w:val="fr-FR"/>
        </w:rPr>
        <w:t>’</w:t>
      </w:r>
      <w:r w:rsidRPr="00C73365">
        <w:rPr>
          <w:rFonts w:asciiTheme="minorHAnsi" w:hAnsiTheme="minorHAnsi" w:cstheme="minorHAnsi"/>
          <w:lang w:val="fr-FR"/>
        </w:rPr>
        <w:t>alinéa précédent.</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Ces dispositions sont applicables au représentant permanent d</w:t>
      </w:r>
      <w:r w:rsidR="004572A0" w:rsidRPr="00C73365">
        <w:rPr>
          <w:rFonts w:asciiTheme="minorHAnsi" w:hAnsiTheme="minorHAnsi" w:cstheme="minorHAnsi"/>
          <w:lang w:val="fr-FR"/>
        </w:rPr>
        <w:t>’</w:t>
      </w:r>
      <w:r w:rsidRPr="00C73365">
        <w:rPr>
          <w:rFonts w:asciiTheme="minorHAnsi" w:hAnsiTheme="minorHAnsi" w:cstheme="minorHAnsi"/>
          <w:lang w:val="fr-FR"/>
        </w:rPr>
        <w:t>une personne morale administrateur.</w:t>
      </w:r>
    </w:p>
    <w:p w:rsidR="00B740A8" w:rsidRPr="00C73365" w:rsidRDefault="00B740A8" w:rsidP="004572A0">
      <w:pPr>
        <w:pStyle w:val="List2"/>
        <w:rPr>
          <w:rFonts w:asciiTheme="minorHAnsi" w:hAnsiTheme="minorHAnsi" w:cstheme="minorHAnsi"/>
          <w:lang w:val="fr-FR"/>
        </w:rPr>
      </w:pPr>
      <w:r w:rsidRPr="00C73365">
        <w:rPr>
          <w:rFonts w:asciiTheme="minorHAnsi" w:hAnsiTheme="minorHAnsi" w:cstheme="minorHAnsi"/>
          <w:lang w:val="fr-FR"/>
        </w:rPr>
        <w:t>15.5</w:t>
      </w:r>
      <w:r w:rsidR="004572A0" w:rsidRPr="00C73365">
        <w:rPr>
          <w:rFonts w:asciiTheme="minorHAnsi" w:hAnsiTheme="minorHAnsi" w:cstheme="minorHAnsi"/>
          <w:lang w:val="fr-FR"/>
        </w:rPr>
        <w:tab/>
      </w:r>
      <w:r w:rsidRPr="00C73365">
        <w:rPr>
          <w:rFonts w:asciiTheme="minorHAnsi" w:hAnsiTheme="minorHAnsi" w:cstheme="minorHAnsi"/>
          <w:lang w:val="fr-FR"/>
        </w:rPr>
        <w:t>Procès-verbaux des délibérations</w:t>
      </w:r>
    </w:p>
    <w:p w:rsidR="00B740A8" w:rsidRPr="00C73365" w:rsidRDefault="00B740A8" w:rsidP="004834A9">
      <w:pPr>
        <w:ind w:left="566"/>
        <w:rPr>
          <w:rFonts w:asciiTheme="minorHAnsi" w:hAnsiTheme="minorHAnsi" w:cstheme="minorHAnsi"/>
          <w:lang w:val="fr-FR"/>
        </w:rPr>
      </w:pP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délibérations du Conseil d’administration sont constatées par des procès-verbaux établis sur un registre spécial, coté et paraphé, et tenu au siège social conformément aux dispositions réglementaires.</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Article 16</w:t>
      </w:r>
      <w:r w:rsidRPr="00C73365">
        <w:rPr>
          <w:rFonts w:asciiTheme="minorHAnsi" w:hAnsiTheme="minorHAnsi" w:cstheme="minorHAnsi"/>
          <w:b/>
          <w:lang w:val="fr-FR"/>
        </w:rPr>
        <w:tab/>
        <w:t>POUVOIRS DU CONSEIL D’ADMINISTRATION – COMITES - CENSEURS</w:t>
      </w:r>
    </w:p>
    <w:p w:rsidR="00B740A8" w:rsidRPr="00C73365" w:rsidRDefault="00B740A8" w:rsidP="004572A0">
      <w:pPr>
        <w:pStyle w:val="List2"/>
        <w:rPr>
          <w:rFonts w:asciiTheme="minorHAnsi" w:hAnsiTheme="minorHAnsi" w:cstheme="minorHAnsi"/>
          <w:lang w:val="fr-FR"/>
        </w:rPr>
      </w:pPr>
      <w:r w:rsidRPr="00C73365">
        <w:rPr>
          <w:rFonts w:asciiTheme="minorHAnsi" w:hAnsiTheme="minorHAnsi" w:cstheme="minorHAnsi"/>
          <w:lang w:val="fr-FR"/>
        </w:rPr>
        <w:t>16.1</w:t>
      </w:r>
      <w:r w:rsidR="004572A0" w:rsidRPr="00C73365">
        <w:rPr>
          <w:rFonts w:asciiTheme="minorHAnsi" w:hAnsiTheme="minorHAnsi" w:cstheme="minorHAnsi"/>
          <w:lang w:val="fr-FR"/>
        </w:rPr>
        <w:tab/>
      </w:r>
      <w:r w:rsidRPr="00C73365">
        <w:rPr>
          <w:rFonts w:asciiTheme="minorHAnsi" w:hAnsiTheme="minorHAnsi" w:cstheme="minorHAnsi"/>
          <w:lang w:val="fr-FR"/>
        </w:rPr>
        <w:t>Pouvoirs du Conseil d’administration</w:t>
      </w:r>
    </w:p>
    <w:p w:rsidR="00B740A8" w:rsidRPr="00C73365" w:rsidRDefault="00B740A8" w:rsidP="00B740A8">
      <w:pPr>
        <w:rPr>
          <w:rFonts w:asciiTheme="minorHAnsi" w:hAnsiTheme="minorHAnsi" w:cstheme="minorHAnsi"/>
          <w:b/>
          <w:lang w:val="fr-FR"/>
        </w:rPr>
      </w:pPr>
    </w:p>
    <w:p w:rsidR="00B740A8" w:rsidRPr="00C73365" w:rsidRDefault="00B740A8" w:rsidP="00846FBD">
      <w:pPr>
        <w:pStyle w:val="BodyText"/>
        <w:rPr>
          <w:rFonts w:asciiTheme="minorHAnsi" w:hAnsiTheme="minorHAnsi" w:cstheme="minorHAnsi"/>
          <w:b/>
          <w:lang w:val="fr-FR"/>
        </w:rPr>
      </w:pPr>
      <w:r w:rsidRPr="00C73365">
        <w:rPr>
          <w:rFonts w:asciiTheme="minorHAnsi" w:hAnsiTheme="minorHAnsi" w:cstheme="minorHAnsi"/>
          <w:lang w:val="fr-FR"/>
        </w:rPr>
        <w:t>Les pouvoirs du conseil d’administration sont fixés à l’article 16 des statuts de la Société et sont repris ci-dessous</w:t>
      </w:r>
      <w:r w:rsidRPr="00C73365">
        <w:rPr>
          <w:rFonts w:asciiTheme="minorHAnsi" w:hAnsiTheme="minorHAnsi" w:cstheme="minorHAnsi"/>
          <w:b/>
          <w:lang w:val="fr-FR"/>
        </w:rPr>
        <w:t>.</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Conseil d’administration détermine les orientations de l</w:t>
      </w:r>
      <w:r w:rsidR="004572A0" w:rsidRPr="00C73365">
        <w:rPr>
          <w:rFonts w:asciiTheme="minorHAnsi" w:hAnsiTheme="minorHAnsi" w:cstheme="minorHAnsi"/>
          <w:lang w:val="fr-FR"/>
        </w:rPr>
        <w:t>’</w:t>
      </w:r>
      <w:r w:rsidRPr="00C73365">
        <w:rPr>
          <w:rFonts w:asciiTheme="minorHAnsi" w:hAnsiTheme="minorHAnsi" w:cstheme="minorHAnsi"/>
          <w:lang w:val="fr-FR"/>
        </w:rPr>
        <w:t>activité de la Société et veille à leur mise en œuvre.</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Sous réserve des pouvoirs expressément attribués aux Assemblées d</w:t>
      </w:r>
      <w:r w:rsidR="004572A0" w:rsidRPr="00C73365">
        <w:rPr>
          <w:rFonts w:asciiTheme="minorHAnsi" w:hAnsiTheme="minorHAnsi" w:cstheme="minorHAnsi"/>
          <w:lang w:val="fr-FR"/>
        </w:rPr>
        <w:t>’</w:t>
      </w:r>
      <w:r w:rsidRPr="00C73365">
        <w:rPr>
          <w:rFonts w:asciiTheme="minorHAnsi" w:hAnsiTheme="minorHAnsi" w:cstheme="minorHAnsi"/>
          <w:lang w:val="fr-FR"/>
        </w:rPr>
        <w:t>actionnaires et dans la limite de l</w:t>
      </w:r>
      <w:r w:rsidR="004572A0" w:rsidRPr="00C73365">
        <w:rPr>
          <w:rFonts w:asciiTheme="minorHAnsi" w:hAnsiTheme="minorHAnsi" w:cstheme="minorHAnsi"/>
          <w:lang w:val="fr-FR"/>
        </w:rPr>
        <w:t>’</w:t>
      </w:r>
      <w:r w:rsidRPr="00C73365">
        <w:rPr>
          <w:rFonts w:asciiTheme="minorHAnsi" w:hAnsiTheme="minorHAnsi" w:cstheme="minorHAnsi"/>
          <w:lang w:val="fr-FR"/>
        </w:rPr>
        <w:t>objet social, le Conseil d’administration se saisit de toute question intéressant la bonne marche de la Société et règle par ses délibérations les affaires qui la concernent.</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Dans les rapports avec les tiers, la Société est engagée même pour les actes du Conseil d’administration qui ne relèvent pas de l</w:t>
      </w:r>
      <w:r w:rsidR="004572A0" w:rsidRPr="00C73365">
        <w:rPr>
          <w:rFonts w:asciiTheme="minorHAnsi" w:hAnsiTheme="minorHAnsi" w:cstheme="minorHAnsi"/>
          <w:lang w:val="fr-FR"/>
        </w:rPr>
        <w:t>’</w:t>
      </w:r>
      <w:r w:rsidRPr="00C73365">
        <w:rPr>
          <w:rFonts w:asciiTheme="minorHAnsi" w:hAnsiTheme="minorHAnsi" w:cstheme="minorHAnsi"/>
          <w:lang w:val="fr-FR"/>
        </w:rPr>
        <w:t>objet social, à moins qu</w:t>
      </w:r>
      <w:r w:rsidR="004572A0" w:rsidRPr="00C73365">
        <w:rPr>
          <w:rFonts w:asciiTheme="minorHAnsi" w:hAnsiTheme="minorHAnsi" w:cstheme="minorHAnsi"/>
          <w:lang w:val="fr-FR"/>
        </w:rPr>
        <w:t>’</w:t>
      </w:r>
      <w:r w:rsidRPr="00C73365">
        <w:rPr>
          <w:rFonts w:asciiTheme="minorHAnsi" w:hAnsiTheme="minorHAnsi" w:cstheme="minorHAnsi"/>
          <w:lang w:val="fr-FR"/>
        </w:rPr>
        <w:t>elle ne prouve que le tiers savait que l</w:t>
      </w:r>
      <w:r w:rsidR="004572A0" w:rsidRPr="00C73365">
        <w:rPr>
          <w:rFonts w:asciiTheme="minorHAnsi" w:hAnsiTheme="minorHAnsi" w:cstheme="minorHAnsi"/>
          <w:lang w:val="fr-FR"/>
        </w:rPr>
        <w:t>’</w:t>
      </w:r>
      <w:r w:rsidRPr="00C73365">
        <w:rPr>
          <w:rFonts w:asciiTheme="minorHAnsi" w:hAnsiTheme="minorHAnsi" w:cstheme="minorHAnsi"/>
          <w:lang w:val="fr-FR"/>
        </w:rPr>
        <w:t>acte dépassait cet objet ou qu</w:t>
      </w:r>
      <w:r w:rsidR="004572A0" w:rsidRPr="00C73365">
        <w:rPr>
          <w:rFonts w:asciiTheme="minorHAnsi" w:hAnsiTheme="minorHAnsi" w:cstheme="minorHAnsi"/>
          <w:lang w:val="fr-FR"/>
        </w:rPr>
        <w:t>’</w:t>
      </w:r>
      <w:r w:rsidRPr="00C73365">
        <w:rPr>
          <w:rFonts w:asciiTheme="minorHAnsi" w:hAnsiTheme="minorHAnsi" w:cstheme="minorHAnsi"/>
          <w:lang w:val="fr-FR"/>
        </w:rPr>
        <w:t>il ne pouvait l</w:t>
      </w:r>
      <w:r w:rsidR="004572A0" w:rsidRPr="00C73365">
        <w:rPr>
          <w:rFonts w:asciiTheme="minorHAnsi" w:hAnsiTheme="minorHAnsi" w:cstheme="minorHAnsi"/>
          <w:lang w:val="fr-FR"/>
        </w:rPr>
        <w:t>’</w:t>
      </w:r>
      <w:r w:rsidRPr="00C73365">
        <w:rPr>
          <w:rFonts w:asciiTheme="minorHAnsi" w:hAnsiTheme="minorHAnsi" w:cstheme="minorHAnsi"/>
          <w:lang w:val="fr-FR"/>
        </w:rPr>
        <w:t>ignorer compte tenu des circonstances, étant exclu que la seule publication des statuts suffise à constituer cette preuve.</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Conseil d’administration procède aux contrôles et vérifications qu</w:t>
      </w:r>
      <w:r w:rsidR="004572A0" w:rsidRPr="00C73365">
        <w:rPr>
          <w:rFonts w:asciiTheme="minorHAnsi" w:hAnsiTheme="minorHAnsi" w:cstheme="minorHAnsi"/>
          <w:lang w:val="fr-FR"/>
        </w:rPr>
        <w:t>’</w:t>
      </w:r>
      <w:r w:rsidRPr="00C73365">
        <w:rPr>
          <w:rFonts w:asciiTheme="minorHAnsi" w:hAnsiTheme="minorHAnsi" w:cstheme="minorHAnsi"/>
          <w:lang w:val="fr-FR"/>
        </w:rPr>
        <w:t>il juge opportuns.</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lastRenderedPageBreak/>
        <w:t>Le Président ou le Directeur général est tenu de communiquer à chaque administrateur les informations nécessaires à l</w:t>
      </w:r>
      <w:r w:rsidR="004572A0" w:rsidRPr="00C73365">
        <w:rPr>
          <w:rFonts w:asciiTheme="minorHAnsi" w:hAnsiTheme="minorHAnsi" w:cstheme="minorHAnsi"/>
          <w:lang w:val="fr-FR"/>
        </w:rPr>
        <w:t>’</w:t>
      </w:r>
      <w:r w:rsidRPr="00C73365">
        <w:rPr>
          <w:rFonts w:asciiTheme="minorHAnsi" w:hAnsiTheme="minorHAnsi" w:cstheme="minorHAnsi"/>
          <w:lang w:val="fr-FR"/>
        </w:rPr>
        <w:t>accomplissement de sa mission. Chaque administrateur peut obtenir auprès ces derniers tous les documents qu</w:t>
      </w:r>
      <w:r w:rsidR="004572A0" w:rsidRPr="00C73365">
        <w:rPr>
          <w:rFonts w:asciiTheme="minorHAnsi" w:hAnsiTheme="minorHAnsi" w:cstheme="minorHAnsi"/>
          <w:lang w:val="fr-FR"/>
        </w:rPr>
        <w:t>’</w:t>
      </w:r>
      <w:r w:rsidRPr="00C73365">
        <w:rPr>
          <w:rFonts w:asciiTheme="minorHAnsi" w:hAnsiTheme="minorHAnsi" w:cstheme="minorHAnsi"/>
          <w:lang w:val="fr-FR"/>
        </w:rPr>
        <w:t>il estime utiles.</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16.2</w:t>
      </w:r>
      <w:r w:rsidR="004572A0" w:rsidRPr="00C73365">
        <w:rPr>
          <w:rFonts w:asciiTheme="minorHAnsi" w:hAnsiTheme="minorHAnsi" w:cstheme="minorHAnsi"/>
          <w:lang w:val="fr-FR"/>
        </w:rPr>
        <w:tab/>
      </w:r>
      <w:r w:rsidRPr="00C73365">
        <w:rPr>
          <w:rFonts w:asciiTheme="minorHAnsi" w:hAnsiTheme="minorHAnsi" w:cstheme="minorHAnsi"/>
          <w:lang w:val="fr-FR"/>
        </w:rPr>
        <w:t>Comités</w:t>
      </w:r>
    </w:p>
    <w:p w:rsidR="00B740A8" w:rsidRPr="00C73365" w:rsidRDefault="00B740A8" w:rsidP="00B740A8">
      <w:pPr>
        <w:rPr>
          <w:rFonts w:asciiTheme="minorHAnsi" w:hAnsiTheme="minorHAnsi" w:cstheme="minorHAnsi"/>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peut décider de créer des comités, chargés d’étudier les questions que lui-même ou son Président, soumet, pour avis, à leur examen. Ces comités rendent compte au Conseil de leurs travaux.</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fixe la composition et les attributions des comités qui exercent leur activité sous sa responsabilité. Il fixe la rémunération des personnes les composant.</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16.3</w:t>
      </w:r>
      <w:r w:rsidR="004572A0" w:rsidRPr="00C73365">
        <w:rPr>
          <w:rFonts w:asciiTheme="minorHAnsi" w:hAnsiTheme="minorHAnsi" w:cstheme="minorHAnsi"/>
          <w:lang w:val="fr-FR"/>
        </w:rPr>
        <w:tab/>
      </w:r>
      <w:r w:rsidRPr="00C73365">
        <w:rPr>
          <w:rFonts w:asciiTheme="minorHAnsi" w:hAnsiTheme="minorHAnsi" w:cstheme="minorHAnsi"/>
          <w:lang w:val="fr-FR"/>
        </w:rPr>
        <w:t>Censeurs</w:t>
      </w:r>
    </w:p>
    <w:p w:rsidR="00B740A8" w:rsidRPr="00C73365" w:rsidRDefault="00B740A8" w:rsidP="00B740A8">
      <w:pPr>
        <w:keepNext/>
        <w:keepLines/>
        <w:rPr>
          <w:rFonts w:asciiTheme="minorHAnsi" w:hAnsiTheme="minorHAnsi" w:cstheme="minorHAnsi"/>
          <w:lang w:val="fr-FR"/>
        </w:rPr>
      </w:pP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Au cours de la vie sociale,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pourra procéder à la nomination de censeurs choisis parmi les actionnaires ou en dehors d</w:t>
      </w:r>
      <w:r w:rsidR="004572A0" w:rsidRPr="00C73365">
        <w:rPr>
          <w:rFonts w:asciiTheme="minorHAnsi" w:hAnsiTheme="minorHAnsi" w:cstheme="minorHAnsi"/>
          <w:lang w:val="fr-FR"/>
        </w:rPr>
        <w:t>’</w:t>
      </w:r>
      <w:r w:rsidRPr="00C73365">
        <w:rPr>
          <w:rFonts w:asciiTheme="minorHAnsi" w:hAnsiTheme="minorHAnsi" w:cstheme="minorHAnsi"/>
          <w:lang w:val="fr-FR"/>
        </w:rPr>
        <w:t>eux.</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 nombre de censeurs ne peut excéder trois (3).</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censeurs sont nommés pour une durée d</w:t>
      </w:r>
      <w:r w:rsidR="004572A0" w:rsidRPr="00C73365">
        <w:rPr>
          <w:rFonts w:asciiTheme="minorHAnsi" w:hAnsiTheme="minorHAnsi" w:cstheme="minorHAnsi"/>
          <w:lang w:val="fr-FR"/>
        </w:rPr>
        <w:t>’</w:t>
      </w:r>
      <w:r w:rsidRPr="00C73365">
        <w:rPr>
          <w:rFonts w:asciiTheme="minorHAnsi" w:hAnsiTheme="minorHAnsi" w:cstheme="minorHAnsi"/>
          <w:lang w:val="fr-FR"/>
        </w:rPr>
        <w:t>un (1) an. Leurs fonctions prennent fin à l</w:t>
      </w:r>
      <w:r w:rsidR="004572A0" w:rsidRPr="00C73365">
        <w:rPr>
          <w:rFonts w:asciiTheme="minorHAnsi" w:hAnsiTheme="minorHAnsi" w:cstheme="minorHAnsi"/>
          <w:lang w:val="fr-FR"/>
        </w:rPr>
        <w:t>’</w:t>
      </w:r>
      <w:r w:rsidRPr="00C73365">
        <w:rPr>
          <w:rFonts w:asciiTheme="minorHAnsi" w:hAnsiTheme="minorHAnsi" w:cstheme="minorHAnsi"/>
          <w:lang w:val="fr-FR"/>
        </w:rPr>
        <w:t>issue de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des actionnaires appelée à statuer sur les comptes de l</w:t>
      </w:r>
      <w:r w:rsidR="004572A0" w:rsidRPr="00C73365">
        <w:rPr>
          <w:rFonts w:asciiTheme="minorHAnsi" w:hAnsiTheme="minorHAnsi" w:cstheme="minorHAnsi"/>
          <w:lang w:val="fr-FR"/>
        </w:rPr>
        <w:t>’</w:t>
      </w:r>
      <w:r w:rsidRPr="00C73365">
        <w:rPr>
          <w:rFonts w:asciiTheme="minorHAnsi" w:hAnsiTheme="minorHAnsi" w:cstheme="minorHAnsi"/>
          <w:lang w:val="fr-FR"/>
        </w:rPr>
        <w:t>exercice écoulé et tenue dans l</w:t>
      </w:r>
      <w:r w:rsidR="004572A0" w:rsidRPr="00C73365">
        <w:rPr>
          <w:rFonts w:asciiTheme="minorHAnsi" w:hAnsiTheme="minorHAnsi" w:cstheme="minorHAnsi"/>
          <w:lang w:val="fr-FR"/>
        </w:rPr>
        <w:t>’</w:t>
      </w:r>
      <w:r w:rsidRPr="00C73365">
        <w:rPr>
          <w:rFonts w:asciiTheme="minorHAnsi" w:hAnsiTheme="minorHAnsi" w:cstheme="minorHAnsi"/>
          <w:lang w:val="fr-FR"/>
        </w:rPr>
        <w:t>année au cours de laquelle expire leurs fonctions.</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Tout censeur sortant est rééligible sous réserve de satisfaire aux conditions du présent article.</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censeurs peuvent être révoqués et remplacés à tout moment par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sans qu</w:t>
      </w:r>
      <w:r w:rsidR="004572A0" w:rsidRPr="00C73365">
        <w:rPr>
          <w:rFonts w:asciiTheme="minorHAnsi" w:hAnsiTheme="minorHAnsi" w:cstheme="minorHAnsi"/>
          <w:lang w:val="fr-FR"/>
        </w:rPr>
        <w:t>’</w:t>
      </w:r>
      <w:r w:rsidRPr="00C73365">
        <w:rPr>
          <w:rFonts w:asciiTheme="minorHAnsi" w:hAnsiTheme="minorHAnsi" w:cstheme="minorHAnsi"/>
          <w:lang w:val="fr-FR"/>
        </w:rPr>
        <w:t>aucune indemnité ne leur soit due. Les fonctions de censeurs prennent également fin par décès ou incapacité pour le censeur personne physique, dissolution ou mise en redressement judiciaire pour le censeur personne morale ou démission.</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censeurs peuvent être des personnes physiques ou des personnes morales. Dans ce dernier cas, lors de sa nomination, la personne morale est tenue de désigner un représentant permanent qui est soumis aux mêmes conditions et obligations et qui encourt les mêmes responsabilités civile et pénale que s</w:t>
      </w:r>
      <w:r w:rsidR="004572A0" w:rsidRPr="00C73365">
        <w:rPr>
          <w:rFonts w:asciiTheme="minorHAnsi" w:hAnsiTheme="minorHAnsi" w:cstheme="minorHAnsi"/>
          <w:lang w:val="fr-FR"/>
        </w:rPr>
        <w:t>’</w:t>
      </w:r>
      <w:r w:rsidRPr="00C73365">
        <w:rPr>
          <w:rFonts w:asciiTheme="minorHAnsi" w:hAnsiTheme="minorHAnsi" w:cstheme="minorHAnsi"/>
          <w:lang w:val="fr-FR"/>
        </w:rPr>
        <w:t>il était censeur en son nom propre, sans préjudice de la responsabilité solidaire de la personne morale qu</w:t>
      </w:r>
      <w:r w:rsidR="004572A0" w:rsidRPr="00C73365">
        <w:rPr>
          <w:rFonts w:asciiTheme="minorHAnsi" w:hAnsiTheme="minorHAnsi" w:cstheme="minorHAnsi"/>
          <w:lang w:val="fr-FR"/>
        </w:rPr>
        <w:t>’</w:t>
      </w:r>
      <w:r w:rsidRPr="00C73365">
        <w:rPr>
          <w:rFonts w:asciiTheme="minorHAnsi" w:hAnsiTheme="minorHAnsi" w:cstheme="minorHAnsi"/>
          <w:lang w:val="fr-FR"/>
        </w:rPr>
        <w:t>il représente.</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censeurs ont pour mission de veiller à la stricte application des statuts et de présenter leurs observations aux séances du Conseil d’administration. Les censeurs exercent auprès de la Société une mission générale et permanente de conseil et de surveillance. Ils ne peuvent toutefois, en aucun cas, s</w:t>
      </w:r>
      <w:r w:rsidR="004572A0" w:rsidRPr="00C73365">
        <w:rPr>
          <w:rFonts w:asciiTheme="minorHAnsi" w:hAnsiTheme="minorHAnsi" w:cstheme="minorHAnsi"/>
          <w:lang w:val="fr-FR"/>
        </w:rPr>
        <w:t>’</w:t>
      </w:r>
      <w:r w:rsidRPr="00C73365">
        <w:rPr>
          <w:rFonts w:asciiTheme="minorHAnsi" w:hAnsiTheme="minorHAnsi" w:cstheme="minorHAnsi"/>
          <w:lang w:val="fr-FR"/>
        </w:rPr>
        <w:t>immiscer dans la gestion de la Société, ni généralement se substituer aux organes légaux de celle-ci.</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Dans le cadre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accomplissement de leur mission, les censeurs peuvent notamment : </w:t>
      </w:r>
    </w:p>
    <w:p w:rsidR="00B740A8" w:rsidRPr="00C73365" w:rsidRDefault="00B740A8" w:rsidP="00434C49">
      <w:pPr>
        <w:pStyle w:val="ListParagraph"/>
        <w:widowControl w:val="0"/>
        <w:numPr>
          <w:ilvl w:val="0"/>
          <w:numId w:val="55"/>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faire part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observations au Conseil d’administration,</w:t>
      </w:r>
    </w:p>
    <w:p w:rsidR="00B740A8" w:rsidRPr="00C73365" w:rsidRDefault="00B740A8" w:rsidP="00434C49">
      <w:pPr>
        <w:pStyle w:val="ListParagraph"/>
        <w:widowControl w:val="0"/>
        <w:numPr>
          <w:ilvl w:val="0"/>
          <w:numId w:val="55"/>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demander à prendre connaissance, au siège de la Société, de tous livres, registres et documents sociaux,</w:t>
      </w:r>
    </w:p>
    <w:p w:rsidR="00B740A8" w:rsidRPr="00C73365" w:rsidRDefault="00B740A8" w:rsidP="00434C49">
      <w:pPr>
        <w:pStyle w:val="ListParagraph"/>
        <w:widowControl w:val="0"/>
        <w:numPr>
          <w:ilvl w:val="0"/>
          <w:numId w:val="55"/>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solliciter et recueillir toutes informations utiles à leur mission auprès de la direction générale et du commissaire aux comptes de la Société,</w:t>
      </w:r>
    </w:p>
    <w:p w:rsidR="00B740A8" w:rsidRPr="00C73365" w:rsidRDefault="00B740A8" w:rsidP="00434C49">
      <w:pPr>
        <w:pStyle w:val="ListParagraph"/>
        <w:widowControl w:val="0"/>
        <w:numPr>
          <w:ilvl w:val="0"/>
          <w:numId w:val="55"/>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être amenés, à la demande du Conseil d’administration, à présenter à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assemblée générale des actionnaires un rapport sur une question déterminée.</w:t>
      </w:r>
    </w:p>
    <w:p w:rsidR="00B740A8" w:rsidRPr="00C73365" w:rsidRDefault="00B740A8" w:rsidP="00846FBD">
      <w:pPr>
        <w:rPr>
          <w:rFonts w:asciiTheme="minorHAnsi" w:hAnsiTheme="minorHAnsi" w:cstheme="minorHAnsi"/>
          <w:sz w:val="24"/>
          <w:lang w:val="fr-FR"/>
        </w:rPr>
      </w:pP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censeurs devront être convoqués à chaque réunion du Conseil d’administration au même titre que les administrateurs.</w:t>
      </w:r>
    </w:p>
    <w:p w:rsidR="00B740A8" w:rsidRPr="00C73365" w:rsidRDefault="00B740A8" w:rsidP="00846FBD">
      <w:pPr>
        <w:pStyle w:val="BodyText"/>
        <w:rPr>
          <w:rFonts w:asciiTheme="minorHAnsi" w:hAnsiTheme="minorHAnsi" w:cstheme="minorHAnsi"/>
          <w:lang w:val="fr-FR"/>
        </w:rPr>
      </w:pPr>
      <w:r w:rsidRPr="00C73365">
        <w:rPr>
          <w:rFonts w:asciiTheme="minorHAnsi" w:hAnsiTheme="minorHAnsi" w:cstheme="minorHAnsi"/>
          <w:lang w:val="fr-FR"/>
        </w:rPr>
        <w:t>Les censeurs ne disposeront à titre individuel ou collectif que de pouvoirs consultatifs et ne disposeront pas du droit de vote au Conseil.</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 défaut de convocation du censeur ou de transmission des documents préalablement à la réunion du Conseil d’administration au(x) censeur(s) ne peuvent en aucun cas constituer une cause de nullité des délibérations prises par le Conseil d’administration.</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Article 17</w:t>
      </w:r>
      <w:r w:rsidRPr="00C73365">
        <w:rPr>
          <w:rFonts w:asciiTheme="minorHAnsi" w:hAnsiTheme="minorHAnsi" w:cstheme="minorHAnsi"/>
          <w:b/>
          <w:lang w:val="fr-FR"/>
        </w:rPr>
        <w:tab/>
        <w:t>DIRECTION GENERALE - DELEGATION DE POUVOIRS</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17.1</w:t>
      </w:r>
      <w:r w:rsidR="004572A0" w:rsidRPr="00C73365">
        <w:rPr>
          <w:rFonts w:asciiTheme="minorHAnsi" w:hAnsiTheme="minorHAnsi" w:cstheme="minorHAnsi"/>
          <w:lang w:val="fr-FR"/>
        </w:rPr>
        <w:tab/>
      </w:r>
      <w:r w:rsidRPr="00C73365">
        <w:rPr>
          <w:rFonts w:asciiTheme="minorHAnsi" w:hAnsiTheme="minorHAnsi" w:cstheme="minorHAnsi"/>
          <w:lang w:val="fr-FR"/>
        </w:rPr>
        <w:t>Direction générale</w:t>
      </w:r>
    </w:p>
    <w:p w:rsidR="00B740A8" w:rsidRPr="00C73365" w:rsidRDefault="00B740A8" w:rsidP="00B740A8">
      <w:pPr>
        <w:rPr>
          <w:rFonts w:asciiTheme="minorHAnsi" w:hAnsiTheme="minorHAnsi" w:cstheme="minorHAnsi"/>
          <w:b/>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Conformément aux dispositions légales, la direction générale de la Société est assumée sous sa responsabilité, soit par le Président du Conseil d’administration, soit par une autre personne physique nommée par le Conseil d’administration et portant le titre de Directeur Général.</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choisit entre les deux modalités d’exercice de la direction générale à tout moment et, au moins, à chaque expiration du mandat du Directeur général ou du mandat du Président du Conseil d’administration lorsque celui-ci assume également la direction générale de la Société.</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actionnaires et les tiers sont informés de ce choix dans les conditions définies par décret.</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La délibération du Conseil d’administration relative au choix de la modalité d</w:t>
      </w:r>
      <w:r w:rsidR="004572A0" w:rsidRPr="00C73365">
        <w:rPr>
          <w:rFonts w:asciiTheme="minorHAnsi" w:hAnsiTheme="minorHAnsi" w:cstheme="minorHAnsi"/>
          <w:lang w:val="fr-FR"/>
        </w:rPr>
        <w:t>’</w:t>
      </w:r>
      <w:r w:rsidRPr="00C73365">
        <w:rPr>
          <w:rFonts w:asciiTheme="minorHAnsi" w:hAnsiTheme="minorHAnsi" w:cstheme="minorHAnsi"/>
          <w:lang w:val="fr-FR"/>
        </w:rPr>
        <w:t>exercice de la direction générale est prise à la majorité des administrateurs présents ou représentés ou réputés présents, la voix du Président n’étant pas prépondérantes, et sous réserve des dispositions spécifiques prévues à l</w:t>
      </w:r>
      <w:r w:rsidR="004572A0" w:rsidRPr="00C73365">
        <w:rPr>
          <w:rFonts w:asciiTheme="minorHAnsi" w:hAnsiTheme="minorHAnsi" w:cstheme="minorHAnsi"/>
          <w:lang w:val="fr-FR"/>
        </w:rPr>
        <w:t>’</w:t>
      </w:r>
      <w:r w:rsidRPr="00C73365">
        <w:rPr>
          <w:rFonts w:asciiTheme="minorHAnsi" w:hAnsiTheme="minorHAnsi" w:cstheme="minorHAnsi"/>
          <w:lang w:val="fr-FR"/>
        </w:rPr>
        <w:t>article 15.3 ci-dessus en cas de participation des administrateurs au Conseil par visioconférence ou autre moyen de télécommunication.</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Lorsque la direction générale de la Société est assumée par le Président du Conseil d’administration, les dispositions ci-après relatives au Directeur Général lui sont applicables.</w:t>
      </w:r>
    </w:p>
    <w:p w:rsidR="00B740A8" w:rsidRPr="00C73365" w:rsidRDefault="00B740A8" w:rsidP="004572A0">
      <w:pPr>
        <w:pStyle w:val="List2"/>
        <w:rPr>
          <w:rFonts w:asciiTheme="minorHAnsi" w:hAnsiTheme="minorHAnsi" w:cstheme="minorHAnsi"/>
          <w:lang w:val="fr-FR"/>
        </w:rPr>
      </w:pPr>
      <w:r w:rsidRPr="00C73365">
        <w:rPr>
          <w:rFonts w:asciiTheme="minorHAnsi" w:hAnsiTheme="minorHAnsi" w:cstheme="minorHAnsi"/>
          <w:lang w:val="fr-FR"/>
        </w:rPr>
        <w:t>17.2</w:t>
      </w:r>
      <w:r w:rsidR="004572A0" w:rsidRPr="00C73365">
        <w:rPr>
          <w:rFonts w:asciiTheme="minorHAnsi" w:hAnsiTheme="minorHAnsi" w:cstheme="minorHAnsi"/>
          <w:lang w:val="fr-FR"/>
        </w:rPr>
        <w:tab/>
      </w:r>
      <w:r w:rsidRPr="00C73365">
        <w:rPr>
          <w:rFonts w:asciiTheme="minorHAnsi" w:hAnsiTheme="minorHAnsi" w:cstheme="minorHAnsi"/>
          <w:lang w:val="fr-FR"/>
        </w:rPr>
        <w:t xml:space="preserve">Directeur général </w:t>
      </w:r>
    </w:p>
    <w:p w:rsidR="00B740A8" w:rsidRPr="00C73365" w:rsidRDefault="00B740A8" w:rsidP="00B740A8">
      <w:pPr>
        <w:rPr>
          <w:rFonts w:asciiTheme="minorHAnsi" w:hAnsiTheme="minorHAnsi" w:cstheme="minorHAnsi"/>
          <w:b/>
          <w:lang w:val="fr-FR"/>
        </w:rPr>
      </w:pP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Le Directeur Général est investi des pouvoirs les plus étendus pour agir en toute circonstance au nom de la Société. Il exerce ces pouvoirs dans la limite de l</w:t>
      </w:r>
      <w:r w:rsidR="004572A0" w:rsidRPr="00C73365">
        <w:rPr>
          <w:rFonts w:asciiTheme="minorHAnsi" w:hAnsiTheme="minorHAnsi" w:cstheme="minorHAnsi"/>
          <w:lang w:val="fr-FR"/>
        </w:rPr>
        <w:t>’</w:t>
      </w:r>
      <w:r w:rsidRPr="00C73365">
        <w:rPr>
          <w:rFonts w:asciiTheme="minorHAnsi" w:hAnsiTheme="minorHAnsi" w:cstheme="minorHAnsi"/>
          <w:lang w:val="fr-FR"/>
        </w:rPr>
        <w:t>objet social et sous réserve de ceux que la loi attribue expressément aux Assemblées générales d</w:t>
      </w:r>
      <w:r w:rsidR="004572A0" w:rsidRPr="00C73365">
        <w:rPr>
          <w:rFonts w:asciiTheme="minorHAnsi" w:hAnsiTheme="minorHAnsi" w:cstheme="minorHAnsi"/>
          <w:lang w:val="fr-FR"/>
        </w:rPr>
        <w:t>’</w:t>
      </w:r>
      <w:r w:rsidRPr="00C73365">
        <w:rPr>
          <w:rFonts w:asciiTheme="minorHAnsi" w:hAnsiTheme="minorHAnsi" w:cstheme="minorHAnsi"/>
          <w:lang w:val="fr-FR"/>
        </w:rPr>
        <w:t>actionnaires et au Conseil d’administration.</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Il représente la Société dans ses rapports avec les tiers. La Société est engagée même par les actes du Directeur Général qui ne relèvent pas de l</w:t>
      </w:r>
      <w:r w:rsidR="004572A0" w:rsidRPr="00C73365">
        <w:rPr>
          <w:rFonts w:asciiTheme="minorHAnsi" w:hAnsiTheme="minorHAnsi" w:cstheme="minorHAnsi"/>
          <w:lang w:val="fr-FR"/>
        </w:rPr>
        <w:t>’</w:t>
      </w:r>
      <w:r w:rsidRPr="00C73365">
        <w:rPr>
          <w:rFonts w:asciiTheme="minorHAnsi" w:hAnsiTheme="minorHAnsi" w:cstheme="minorHAnsi"/>
          <w:lang w:val="fr-FR"/>
        </w:rPr>
        <w:t>objet social, à moins qu</w:t>
      </w:r>
      <w:r w:rsidR="004572A0" w:rsidRPr="00C73365">
        <w:rPr>
          <w:rFonts w:asciiTheme="minorHAnsi" w:hAnsiTheme="minorHAnsi" w:cstheme="minorHAnsi"/>
          <w:lang w:val="fr-FR"/>
        </w:rPr>
        <w:t>’</w:t>
      </w:r>
      <w:r w:rsidRPr="00C73365">
        <w:rPr>
          <w:rFonts w:asciiTheme="minorHAnsi" w:hAnsiTheme="minorHAnsi" w:cstheme="minorHAnsi"/>
          <w:lang w:val="fr-FR"/>
        </w:rPr>
        <w:t>elle ne prouve que le tiers savait que l</w:t>
      </w:r>
      <w:r w:rsidR="004572A0" w:rsidRPr="00C73365">
        <w:rPr>
          <w:rFonts w:asciiTheme="minorHAnsi" w:hAnsiTheme="minorHAnsi" w:cstheme="minorHAnsi"/>
          <w:lang w:val="fr-FR"/>
        </w:rPr>
        <w:t>’</w:t>
      </w:r>
      <w:r w:rsidRPr="00C73365">
        <w:rPr>
          <w:rFonts w:asciiTheme="minorHAnsi" w:hAnsiTheme="minorHAnsi" w:cstheme="minorHAnsi"/>
          <w:lang w:val="fr-FR"/>
        </w:rPr>
        <w:t>acte dépassait cet objet ou qu</w:t>
      </w:r>
      <w:r w:rsidR="004572A0" w:rsidRPr="00C73365">
        <w:rPr>
          <w:rFonts w:asciiTheme="minorHAnsi" w:hAnsiTheme="minorHAnsi" w:cstheme="minorHAnsi"/>
          <w:lang w:val="fr-FR"/>
        </w:rPr>
        <w:t>’</w:t>
      </w:r>
      <w:r w:rsidRPr="00C73365">
        <w:rPr>
          <w:rFonts w:asciiTheme="minorHAnsi" w:hAnsiTheme="minorHAnsi" w:cstheme="minorHAnsi"/>
          <w:lang w:val="fr-FR"/>
        </w:rPr>
        <w:t>il ne pouvait l</w:t>
      </w:r>
      <w:r w:rsidR="004572A0" w:rsidRPr="00C73365">
        <w:rPr>
          <w:rFonts w:asciiTheme="minorHAnsi" w:hAnsiTheme="minorHAnsi" w:cstheme="minorHAnsi"/>
          <w:lang w:val="fr-FR"/>
        </w:rPr>
        <w:t>’</w:t>
      </w:r>
      <w:r w:rsidRPr="00C73365">
        <w:rPr>
          <w:rFonts w:asciiTheme="minorHAnsi" w:hAnsiTheme="minorHAnsi" w:cstheme="minorHAnsi"/>
          <w:lang w:val="fr-FR"/>
        </w:rPr>
        <w:t>ignorer compte tenu des circonstances, étant exclu que la seule publication des statuts suffise à constituer cette preuve.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Lorsque le Conseil d’administration choisit la dissociation des fonctions de Président et de Directeur Général, il procède à la nomination du Directeur Général, fixe la durée de son mandat, détermine sa rémunération et, le cas échéant, les limitations de ses pouvoirs.</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Aucune personne âgée de soixante-quinze (75) ans ou plus ne peut être nommée Directeur général. La durée des fonctions de Directeur général viendra automatiquement à échéance lors de l’assemblée générale ordinaire annuelle appelée à approuver les comptes de la Société et se tenant postérieurement à la date à laquelle le Directeur général aura atteint l’âge précité. Sous cette réserve, le Directeur général est rééligible.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 xml:space="preserve">Le Directeur Général est révocable à tout moment par le Conseil d’administration. </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17.3</w:t>
      </w:r>
      <w:r w:rsidR="004572A0" w:rsidRPr="00C73365">
        <w:rPr>
          <w:rFonts w:asciiTheme="minorHAnsi" w:hAnsiTheme="minorHAnsi" w:cstheme="minorHAnsi"/>
          <w:lang w:val="fr-FR"/>
        </w:rPr>
        <w:tab/>
      </w:r>
      <w:r w:rsidRPr="00C73365">
        <w:rPr>
          <w:rFonts w:asciiTheme="minorHAnsi" w:hAnsiTheme="minorHAnsi" w:cstheme="minorHAnsi"/>
          <w:lang w:val="fr-FR"/>
        </w:rPr>
        <w:t>Directeurs généraux délégués</w:t>
      </w:r>
    </w:p>
    <w:p w:rsidR="00B740A8" w:rsidRPr="00C73365" w:rsidRDefault="00B740A8" w:rsidP="00846FBD">
      <w:pPr>
        <w:rPr>
          <w:rFonts w:asciiTheme="minorHAnsi" w:hAnsiTheme="minorHAnsi" w:cstheme="minorHAnsi"/>
          <w:u w:val="single"/>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Sur proposition du Directeur général, que cette fonction soit assumée par le Président du Conseil d’administration ou par une autre personne, le Conseil d’administration peut nommer une ou plusieurs personnes physiques, nommées Directeurs généraux délégués, choisies ou non parmi les administrateurs et les actionnaires, chargées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assister le Directeur général. </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 xml:space="preserve">Le nombre de Directeurs Généraux Délégués ne peut excéder cinq (5). </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Si le Directeur général délégué est administrateur, la durée de ses fonctions ne peut excéder celle de son mandat d</w:t>
      </w:r>
      <w:r w:rsidR="004572A0" w:rsidRPr="00C73365">
        <w:rPr>
          <w:rFonts w:asciiTheme="minorHAnsi" w:hAnsiTheme="minorHAnsi" w:cstheme="minorHAnsi"/>
          <w:lang w:val="fr-FR"/>
        </w:rPr>
        <w:t>’</w:t>
      </w:r>
      <w:r w:rsidRPr="00C73365">
        <w:rPr>
          <w:rFonts w:asciiTheme="minorHAnsi" w:hAnsiTheme="minorHAnsi" w:cstheme="minorHAnsi"/>
          <w:lang w:val="fr-FR"/>
        </w:rPr>
        <w:t>administrateur.</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Aucune personne âgée de soixante-quinze (75) ans ou plus ne peut être nommée Directeur général délégué. La durée des fonctions de Directeur général délégué viendra automatiquement à échéance lors de l’assemblée générale ordinaire annuelle appelée à approuver les comptes de la Société et se tenant postérieurement à la date à laquelle le Directeur général délégué aura atteint l’âge précité. Sous cette réserve, le Directeur général délégué est rééligible.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 xml:space="preserve">Les Directeurs généraux délégués sont révocables à tout moment par le Conseil d’administration sur proposition du Directeur Général. </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lastRenderedPageBreak/>
        <w:t>En accord avec le Directeur général, le Conseil d’administration détermine l</w:t>
      </w:r>
      <w:r w:rsidR="004572A0" w:rsidRPr="00C73365">
        <w:rPr>
          <w:rFonts w:asciiTheme="minorHAnsi" w:hAnsiTheme="minorHAnsi" w:cstheme="minorHAnsi"/>
          <w:lang w:val="fr-FR"/>
        </w:rPr>
        <w:t>’</w:t>
      </w:r>
      <w:r w:rsidRPr="00C73365">
        <w:rPr>
          <w:rFonts w:asciiTheme="minorHAnsi" w:hAnsiTheme="minorHAnsi" w:cstheme="minorHAnsi"/>
          <w:lang w:val="fr-FR"/>
        </w:rPr>
        <w:t>étendue et la durée des pouvoirs conférés aux Directeurs généraux délégués. Le Conseil d’administration détermine leur rémunération dans les conditions fixées par la loi.</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A l’égard des tiers, les Directeurs généraux délégués disposent des mêmes pouvoirs que le Directeur général.</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Lorsque le Directeur général cesse ou est empêché d</w:t>
      </w:r>
      <w:r w:rsidR="004572A0" w:rsidRPr="00C73365">
        <w:rPr>
          <w:rFonts w:asciiTheme="minorHAnsi" w:hAnsiTheme="minorHAnsi" w:cstheme="minorHAnsi"/>
          <w:lang w:val="fr-FR"/>
        </w:rPr>
        <w:t>’</w:t>
      </w:r>
      <w:r w:rsidRPr="00C73365">
        <w:rPr>
          <w:rFonts w:asciiTheme="minorHAnsi" w:hAnsiTheme="minorHAnsi" w:cstheme="minorHAnsi"/>
          <w:lang w:val="fr-FR"/>
        </w:rPr>
        <w:t>exercer ses fonctions, les Directeurs généraux délégués conservent, sauf décision contraire du Conseil d’administration, leurs fonctions et leurs attributions jusqu</w:t>
      </w:r>
      <w:r w:rsidR="004572A0" w:rsidRPr="00C73365">
        <w:rPr>
          <w:rFonts w:asciiTheme="minorHAnsi" w:hAnsiTheme="minorHAnsi" w:cstheme="minorHAnsi"/>
          <w:lang w:val="fr-FR"/>
        </w:rPr>
        <w:t>’</w:t>
      </w:r>
      <w:r w:rsidRPr="00C73365">
        <w:rPr>
          <w:rFonts w:asciiTheme="minorHAnsi" w:hAnsiTheme="minorHAnsi" w:cstheme="minorHAnsi"/>
          <w:lang w:val="fr-FR"/>
        </w:rPr>
        <w:t>à nomination du nouveau Directeur général.</w:t>
      </w:r>
    </w:p>
    <w:p w:rsidR="00B740A8" w:rsidRPr="00C73365" w:rsidRDefault="00B740A8" w:rsidP="004572A0">
      <w:pPr>
        <w:pStyle w:val="ListContinue"/>
        <w:rPr>
          <w:rFonts w:asciiTheme="minorHAnsi" w:hAnsiTheme="minorHAnsi" w:cstheme="minorHAnsi"/>
          <w:b/>
          <w:lang w:val="fr-FR"/>
        </w:rPr>
      </w:pPr>
      <w:r w:rsidRPr="00C73365">
        <w:rPr>
          <w:rFonts w:asciiTheme="minorHAnsi" w:hAnsiTheme="minorHAnsi" w:cstheme="minorHAnsi"/>
          <w:b/>
          <w:lang w:val="fr-FR"/>
        </w:rPr>
        <w:t>17.4</w:t>
      </w:r>
      <w:r w:rsidRPr="00C73365">
        <w:rPr>
          <w:rFonts w:asciiTheme="minorHAnsi" w:hAnsiTheme="minorHAnsi" w:cstheme="minorHAnsi"/>
          <w:b/>
          <w:lang w:val="fr-FR"/>
        </w:rPr>
        <w:tab/>
        <w:t xml:space="preserve"> Délégation de pouvoirs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peut confier à des mandataires, administrateurs ou non, des missions permanentes ou temporaires qu</w:t>
      </w:r>
      <w:r w:rsidR="004572A0" w:rsidRPr="00C73365">
        <w:rPr>
          <w:rFonts w:asciiTheme="minorHAnsi" w:hAnsiTheme="minorHAnsi" w:cstheme="minorHAnsi"/>
          <w:lang w:val="fr-FR"/>
        </w:rPr>
        <w:t>’</w:t>
      </w:r>
      <w:r w:rsidRPr="00C73365">
        <w:rPr>
          <w:rFonts w:asciiTheme="minorHAnsi" w:hAnsiTheme="minorHAnsi" w:cstheme="minorHAnsi"/>
          <w:lang w:val="fr-FR"/>
        </w:rPr>
        <w:t>il détermine, leur déléguer des pouvoirs et fixer la rémunération qu</w:t>
      </w:r>
      <w:r w:rsidR="004572A0" w:rsidRPr="00C73365">
        <w:rPr>
          <w:rFonts w:asciiTheme="minorHAnsi" w:hAnsiTheme="minorHAnsi" w:cstheme="minorHAnsi"/>
          <w:lang w:val="fr-FR"/>
        </w:rPr>
        <w:t>’</w:t>
      </w:r>
      <w:r w:rsidRPr="00C73365">
        <w:rPr>
          <w:rFonts w:asciiTheme="minorHAnsi" w:hAnsiTheme="minorHAnsi" w:cstheme="minorHAnsi"/>
          <w:lang w:val="fr-FR"/>
        </w:rPr>
        <w:t>il juge convenable.</w:t>
      </w:r>
    </w:p>
    <w:p w:rsidR="00B740A8" w:rsidRPr="00C73365" w:rsidRDefault="00B740A8" w:rsidP="00B740A8">
      <w:pPr>
        <w:rPr>
          <w:rFonts w:asciiTheme="minorHAnsi" w:hAnsiTheme="minorHAnsi" w:cstheme="minorHAnsi"/>
          <w:b/>
          <w:lang w:val="fr-FR"/>
        </w:rPr>
      </w:pPr>
    </w:p>
    <w:p w:rsidR="00B740A8" w:rsidRPr="00C73365" w:rsidRDefault="00B740A8" w:rsidP="004834A9">
      <w:pPr>
        <w:pStyle w:val="ListContinue"/>
        <w:ind w:left="0"/>
        <w:rPr>
          <w:rFonts w:asciiTheme="minorHAnsi" w:hAnsiTheme="minorHAnsi" w:cstheme="minorHAnsi"/>
          <w:b/>
          <w:lang w:val="fr-FR"/>
        </w:rPr>
      </w:pPr>
      <w:r w:rsidRPr="00C73365">
        <w:rPr>
          <w:rFonts w:asciiTheme="minorHAnsi" w:hAnsiTheme="minorHAnsi" w:cstheme="minorHAnsi"/>
          <w:b/>
          <w:lang w:val="fr-FR"/>
        </w:rPr>
        <w:t xml:space="preserve">Article 18 </w:t>
      </w:r>
      <w:r w:rsidRPr="00C73365">
        <w:rPr>
          <w:rFonts w:asciiTheme="minorHAnsi" w:hAnsiTheme="minorHAnsi" w:cstheme="minorHAnsi"/>
          <w:b/>
          <w:lang w:val="fr-FR"/>
        </w:rPr>
        <w:tab/>
        <w:t>REMUNERATION DES ADMINISTRATEURS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peut allouer aux administrateurs, en rémunération de leur activité, à titre de jetons de présence, une somme fixe annuelle, que cette Assemblée détermine sans être liée par des décisions antérieures. Le montant de celle-ci est porté aux charges d</w:t>
      </w:r>
      <w:r w:rsidR="004572A0" w:rsidRPr="00C73365">
        <w:rPr>
          <w:rFonts w:asciiTheme="minorHAnsi" w:hAnsiTheme="minorHAnsi" w:cstheme="minorHAnsi"/>
          <w:lang w:val="fr-FR"/>
        </w:rPr>
        <w:t>’</w:t>
      </w:r>
      <w:r w:rsidRPr="00C73365">
        <w:rPr>
          <w:rFonts w:asciiTheme="minorHAnsi" w:hAnsiTheme="minorHAnsi" w:cstheme="minorHAnsi"/>
          <w:lang w:val="fr-FR"/>
        </w:rPr>
        <w:t>exploitation.</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répartit librement entre ses membres les sommes globales allouées aux administrateurs sous forme de jetons de présence ; il peut notamment allouer aux administrateurs, membres des comités d</w:t>
      </w:r>
      <w:r w:rsidR="004572A0" w:rsidRPr="00C73365">
        <w:rPr>
          <w:rFonts w:asciiTheme="minorHAnsi" w:hAnsiTheme="minorHAnsi" w:cstheme="minorHAnsi"/>
          <w:lang w:val="fr-FR"/>
        </w:rPr>
        <w:t>’</w:t>
      </w:r>
      <w:r w:rsidRPr="00C73365">
        <w:rPr>
          <w:rFonts w:asciiTheme="minorHAnsi" w:hAnsiTheme="minorHAnsi" w:cstheme="minorHAnsi"/>
          <w:lang w:val="fr-FR"/>
        </w:rPr>
        <w:t>études, une part supérieure à celle des autres administrateurs.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Il peut être alloué par le Conseil d’administration des rémunérations exceptionnelles pour les missions ou mandats confiés à des administrateurs.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Conseil d’administration peut autoriser le remboursement des frais de voyage et de déplacement et des dépenses engagées par les administrateurs dans l</w:t>
      </w:r>
      <w:r w:rsidR="004572A0" w:rsidRPr="00C73365">
        <w:rPr>
          <w:rFonts w:asciiTheme="minorHAnsi" w:hAnsiTheme="minorHAnsi" w:cstheme="minorHAnsi"/>
          <w:lang w:val="fr-FR"/>
        </w:rPr>
        <w:t>’</w:t>
      </w:r>
      <w:r w:rsidRPr="00C73365">
        <w:rPr>
          <w:rFonts w:asciiTheme="minorHAnsi" w:hAnsiTheme="minorHAnsi" w:cstheme="minorHAnsi"/>
          <w:lang w:val="fr-FR"/>
        </w:rPr>
        <w:t>intérêt de la Société.</w:t>
      </w:r>
    </w:p>
    <w:p w:rsidR="00B740A8" w:rsidRPr="00C73365" w:rsidRDefault="00B740A8" w:rsidP="00B740A8">
      <w:pPr>
        <w:keepLines/>
        <w:widowControl w:val="0"/>
        <w:rPr>
          <w:rFonts w:asciiTheme="minorHAnsi" w:hAnsiTheme="minorHAnsi" w:cstheme="minorHAnsi"/>
          <w:b/>
          <w:lang w:val="fr-FR"/>
        </w:rPr>
      </w:pPr>
      <w:r w:rsidRPr="00C73365">
        <w:rPr>
          <w:rFonts w:asciiTheme="minorHAnsi" w:hAnsiTheme="minorHAnsi" w:cstheme="minorHAnsi"/>
          <w:b/>
          <w:lang w:val="fr-FR"/>
        </w:rPr>
        <w:t>Article 19</w:t>
      </w:r>
      <w:r w:rsidRPr="00C73365">
        <w:rPr>
          <w:rFonts w:asciiTheme="minorHAnsi" w:hAnsiTheme="minorHAnsi" w:cstheme="minorHAnsi"/>
          <w:b/>
          <w:lang w:val="fr-FR"/>
        </w:rPr>
        <w:tab/>
        <w:t>CONVENTIONS ENTRE LA SOCIETE ET UN ADMINISTRATEUR OU LE DIRECTEUR GENERAL OU UN DIRECTEUR GENERAL DELEGUE OU UN ACTIONNAIRE DISPOSANT D</w:t>
      </w:r>
      <w:r w:rsidR="004572A0" w:rsidRPr="00C73365">
        <w:rPr>
          <w:rFonts w:asciiTheme="minorHAnsi" w:hAnsiTheme="minorHAnsi" w:cstheme="minorHAnsi"/>
          <w:b/>
          <w:lang w:val="fr-FR"/>
        </w:rPr>
        <w:t>’</w:t>
      </w:r>
      <w:r w:rsidRPr="00C73365">
        <w:rPr>
          <w:rFonts w:asciiTheme="minorHAnsi" w:hAnsiTheme="minorHAnsi" w:cstheme="minorHAnsi"/>
          <w:b/>
          <w:lang w:val="fr-FR"/>
        </w:rPr>
        <w:t>UNE FRACTION DES DROITS DE VOTE SUPERIEURE A 10 %</w:t>
      </w:r>
    </w:p>
    <w:p w:rsidR="00B740A8" w:rsidRPr="00C73365" w:rsidRDefault="00B740A8" w:rsidP="004572A0">
      <w:pPr>
        <w:pStyle w:val="List2"/>
        <w:rPr>
          <w:rFonts w:asciiTheme="minorHAnsi" w:hAnsiTheme="minorHAnsi" w:cstheme="minorHAnsi"/>
          <w:lang w:val="fr-FR"/>
        </w:rPr>
      </w:pPr>
      <w:r w:rsidRPr="00C73365">
        <w:rPr>
          <w:rFonts w:asciiTheme="minorHAnsi" w:hAnsiTheme="minorHAnsi" w:cstheme="minorHAnsi"/>
          <w:lang w:val="fr-FR"/>
        </w:rPr>
        <w:t>19.1</w:t>
      </w:r>
      <w:r w:rsidRPr="00C73365">
        <w:rPr>
          <w:rFonts w:asciiTheme="minorHAnsi" w:hAnsiTheme="minorHAnsi" w:cstheme="minorHAnsi"/>
          <w:lang w:val="fr-FR"/>
        </w:rPr>
        <w:tab/>
        <w:t>Conventions soumises à autorisation</w:t>
      </w:r>
    </w:p>
    <w:p w:rsidR="00B740A8" w:rsidRPr="00C73365" w:rsidRDefault="00B740A8" w:rsidP="00B740A8">
      <w:pPr>
        <w:keepNext/>
        <w:keepLines/>
        <w:rPr>
          <w:rFonts w:asciiTheme="minorHAnsi" w:hAnsiTheme="minorHAnsi" w:cstheme="minorHAnsi"/>
          <w:lang w:val="fr-FR"/>
        </w:rPr>
      </w:pP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Sauf celles portant sur des opérations courantes et conclues à des conditions normales, toute convention intervenant, directement ou par personne interposée, entre la Société et l</w:t>
      </w:r>
      <w:r w:rsidR="004572A0" w:rsidRPr="00C73365">
        <w:rPr>
          <w:rFonts w:asciiTheme="minorHAnsi" w:hAnsiTheme="minorHAnsi" w:cstheme="minorHAnsi"/>
          <w:lang w:val="fr-FR"/>
        </w:rPr>
        <w:t>’</w:t>
      </w:r>
      <w:r w:rsidRPr="00C73365">
        <w:rPr>
          <w:rFonts w:asciiTheme="minorHAnsi" w:hAnsiTheme="minorHAnsi" w:cstheme="minorHAnsi"/>
          <w:lang w:val="fr-FR"/>
        </w:rPr>
        <w:t>un de ses administrateurs ou le Directeur général ou un Directeur général délégué ou un actionnaire détenant plus de 10 % des droits de vote de la Société, ou s</w:t>
      </w:r>
      <w:r w:rsidR="004572A0" w:rsidRPr="00C73365">
        <w:rPr>
          <w:rFonts w:asciiTheme="minorHAnsi" w:hAnsiTheme="minorHAnsi" w:cstheme="minorHAnsi"/>
          <w:lang w:val="fr-FR"/>
        </w:rPr>
        <w:t>’</w:t>
      </w:r>
      <w:r w:rsidRPr="00C73365">
        <w:rPr>
          <w:rFonts w:asciiTheme="minorHAnsi" w:hAnsiTheme="minorHAnsi" w:cstheme="minorHAnsi"/>
          <w:lang w:val="fr-FR"/>
        </w:rPr>
        <w:t>il s</w:t>
      </w:r>
      <w:r w:rsidR="004572A0" w:rsidRPr="00C73365">
        <w:rPr>
          <w:rFonts w:asciiTheme="minorHAnsi" w:hAnsiTheme="minorHAnsi" w:cstheme="minorHAnsi"/>
          <w:lang w:val="fr-FR"/>
        </w:rPr>
        <w:t>’</w:t>
      </w:r>
      <w:r w:rsidRPr="00C73365">
        <w:rPr>
          <w:rFonts w:asciiTheme="minorHAnsi" w:hAnsiTheme="minorHAnsi" w:cstheme="minorHAnsi"/>
          <w:lang w:val="fr-FR"/>
        </w:rPr>
        <w:t>agit d</w:t>
      </w:r>
      <w:r w:rsidR="004572A0" w:rsidRPr="00C73365">
        <w:rPr>
          <w:rFonts w:asciiTheme="minorHAnsi" w:hAnsiTheme="minorHAnsi" w:cstheme="minorHAnsi"/>
          <w:lang w:val="fr-FR"/>
        </w:rPr>
        <w:t>’</w:t>
      </w:r>
      <w:r w:rsidRPr="00C73365">
        <w:rPr>
          <w:rFonts w:asciiTheme="minorHAnsi" w:hAnsiTheme="minorHAnsi" w:cstheme="minorHAnsi"/>
          <w:lang w:val="fr-FR"/>
        </w:rPr>
        <w:t>une société actionnaire, la société la contrôlant au sens de l</w:t>
      </w:r>
      <w:r w:rsidR="004572A0" w:rsidRPr="00C73365">
        <w:rPr>
          <w:rFonts w:asciiTheme="minorHAnsi" w:hAnsiTheme="minorHAnsi" w:cstheme="minorHAnsi"/>
          <w:lang w:val="fr-FR"/>
        </w:rPr>
        <w:t>’</w:t>
      </w:r>
      <w:r w:rsidRPr="00C73365">
        <w:rPr>
          <w:rFonts w:asciiTheme="minorHAnsi" w:hAnsiTheme="minorHAnsi" w:cstheme="minorHAnsi"/>
          <w:lang w:val="fr-FR"/>
        </w:rPr>
        <w:t>article L. 233-3 du Code de commerce, doit être soumise à l</w:t>
      </w:r>
      <w:r w:rsidR="004572A0" w:rsidRPr="00C73365">
        <w:rPr>
          <w:rFonts w:asciiTheme="minorHAnsi" w:hAnsiTheme="minorHAnsi" w:cstheme="minorHAnsi"/>
          <w:lang w:val="fr-FR"/>
        </w:rPr>
        <w:t>’</w:t>
      </w:r>
      <w:r w:rsidRPr="00C73365">
        <w:rPr>
          <w:rFonts w:asciiTheme="minorHAnsi" w:hAnsiTheme="minorHAnsi" w:cstheme="minorHAnsi"/>
          <w:lang w:val="fr-FR"/>
        </w:rPr>
        <w:t>autorisation préalable du Conseil d’administration.</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II en est de même des conventions auxquelles une des personnes visées à l</w:t>
      </w:r>
      <w:r w:rsidR="004572A0" w:rsidRPr="00C73365">
        <w:rPr>
          <w:rFonts w:asciiTheme="minorHAnsi" w:hAnsiTheme="minorHAnsi" w:cstheme="minorHAnsi"/>
          <w:lang w:val="fr-FR"/>
        </w:rPr>
        <w:t>’</w:t>
      </w:r>
      <w:r w:rsidRPr="00C73365">
        <w:rPr>
          <w:rFonts w:asciiTheme="minorHAnsi" w:hAnsiTheme="minorHAnsi" w:cstheme="minorHAnsi"/>
          <w:lang w:val="fr-FR"/>
        </w:rPr>
        <w:t>alinéa précédent est indirectement intéressée.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Sont également soumises à autorisation préalable les conventions intervenant entre la Société et une entreprise, si le Directeur général, l</w:t>
      </w:r>
      <w:r w:rsidR="004572A0" w:rsidRPr="00C73365">
        <w:rPr>
          <w:rFonts w:asciiTheme="minorHAnsi" w:hAnsiTheme="minorHAnsi" w:cstheme="minorHAnsi"/>
          <w:lang w:val="fr-FR"/>
        </w:rPr>
        <w:t>’</w:t>
      </w:r>
      <w:r w:rsidRPr="00C73365">
        <w:rPr>
          <w:rFonts w:asciiTheme="minorHAnsi" w:hAnsiTheme="minorHAnsi" w:cstheme="minorHAnsi"/>
          <w:lang w:val="fr-FR"/>
        </w:rPr>
        <w:t>un des Directeurs généraux délégués ou l</w:t>
      </w:r>
      <w:r w:rsidR="004572A0" w:rsidRPr="00C73365">
        <w:rPr>
          <w:rFonts w:asciiTheme="minorHAnsi" w:hAnsiTheme="minorHAnsi" w:cstheme="minorHAnsi"/>
          <w:lang w:val="fr-FR"/>
        </w:rPr>
        <w:t>’</w:t>
      </w:r>
      <w:r w:rsidRPr="00C73365">
        <w:rPr>
          <w:rFonts w:asciiTheme="minorHAnsi" w:hAnsiTheme="minorHAnsi" w:cstheme="minorHAnsi"/>
          <w:lang w:val="fr-FR"/>
        </w:rPr>
        <w:t>un des administrateurs de la Société est propriétaire, associé indéfiniment responsable, gérant, administrateur, membre du conseil de surveillance ou, d</w:t>
      </w:r>
      <w:r w:rsidR="004572A0" w:rsidRPr="00C73365">
        <w:rPr>
          <w:rFonts w:asciiTheme="minorHAnsi" w:hAnsiTheme="minorHAnsi" w:cstheme="minorHAnsi"/>
          <w:lang w:val="fr-FR"/>
        </w:rPr>
        <w:t>’</w:t>
      </w:r>
      <w:r w:rsidRPr="00C73365">
        <w:rPr>
          <w:rFonts w:asciiTheme="minorHAnsi" w:hAnsiTheme="minorHAnsi" w:cstheme="minorHAnsi"/>
          <w:lang w:val="fr-FR"/>
        </w:rPr>
        <w:t>une façon générale, dirigeant de l</w:t>
      </w:r>
      <w:r w:rsidR="004572A0" w:rsidRPr="00C73365">
        <w:rPr>
          <w:rFonts w:asciiTheme="minorHAnsi" w:hAnsiTheme="minorHAnsi" w:cstheme="minorHAnsi"/>
          <w:lang w:val="fr-FR"/>
        </w:rPr>
        <w:t>’</w:t>
      </w:r>
      <w:r w:rsidRPr="00C73365">
        <w:rPr>
          <w:rFonts w:asciiTheme="minorHAnsi" w:hAnsiTheme="minorHAnsi" w:cstheme="minorHAnsi"/>
          <w:lang w:val="fr-FR"/>
        </w:rPr>
        <w:t>entreprise.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Ces conventions doivent être autorisées et approuvées dans les conditions légales.</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19.2</w:t>
      </w:r>
      <w:r w:rsidR="004572A0" w:rsidRPr="00C73365">
        <w:rPr>
          <w:rFonts w:asciiTheme="minorHAnsi" w:hAnsiTheme="minorHAnsi" w:cstheme="minorHAnsi"/>
          <w:lang w:val="fr-FR"/>
        </w:rPr>
        <w:tab/>
      </w:r>
      <w:r w:rsidRPr="00C73365">
        <w:rPr>
          <w:rFonts w:asciiTheme="minorHAnsi" w:hAnsiTheme="minorHAnsi" w:cstheme="minorHAnsi"/>
          <w:lang w:val="fr-FR"/>
        </w:rPr>
        <w:t>Conventions interdites</w:t>
      </w:r>
    </w:p>
    <w:p w:rsidR="00B740A8" w:rsidRPr="00C73365" w:rsidRDefault="00B740A8" w:rsidP="00846FBD">
      <w:pPr>
        <w:keepNext/>
        <w:keepLines/>
        <w:rPr>
          <w:rFonts w:asciiTheme="minorHAnsi" w:hAnsiTheme="minorHAnsi" w:cstheme="minorHAnsi"/>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A peine de nullité du contrat, il est interdit aux administrateurs autres que les personnes morales de contracter, sous quelque forme que ce soit, des emprunts auprès de la Société, de se faire consentir par elle un découvert, en compte courant ou autrement, ainsi que de faire cautionner ou avaliser par elle leurs engagements envers les tiers.</w:t>
      </w:r>
    </w:p>
    <w:p w:rsidR="00B740A8"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La même interdiction s</w:t>
      </w:r>
      <w:r w:rsidR="004572A0" w:rsidRPr="00C73365">
        <w:rPr>
          <w:rFonts w:asciiTheme="minorHAnsi" w:hAnsiTheme="minorHAnsi" w:cstheme="minorHAnsi"/>
          <w:lang w:val="fr-FR"/>
        </w:rPr>
        <w:t>’</w:t>
      </w:r>
      <w:r w:rsidRPr="00C73365">
        <w:rPr>
          <w:rFonts w:asciiTheme="minorHAnsi" w:hAnsiTheme="minorHAnsi" w:cstheme="minorHAnsi"/>
          <w:lang w:val="fr-FR"/>
        </w:rPr>
        <w:t>applique au Directeur général, aux Directeurs généraux délégués et aux représentants permanents des personnes morales administrateurs. Elle s</w:t>
      </w:r>
      <w:r w:rsidR="004572A0" w:rsidRPr="00C73365">
        <w:rPr>
          <w:rFonts w:asciiTheme="minorHAnsi" w:hAnsiTheme="minorHAnsi" w:cstheme="minorHAnsi"/>
          <w:lang w:val="fr-FR"/>
        </w:rPr>
        <w:t>’</w:t>
      </w:r>
      <w:r w:rsidRPr="00C73365">
        <w:rPr>
          <w:rFonts w:asciiTheme="minorHAnsi" w:hAnsiTheme="minorHAnsi" w:cstheme="minorHAnsi"/>
          <w:lang w:val="fr-FR"/>
        </w:rPr>
        <w:t>applique également aux conjoints, ascendants et descendants des personnes visées au présent article ainsi qu</w:t>
      </w:r>
      <w:r w:rsidR="004572A0" w:rsidRPr="00C73365">
        <w:rPr>
          <w:rFonts w:asciiTheme="minorHAnsi" w:hAnsiTheme="minorHAnsi" w:cstheme="minorHAnsi"/>
          <w:lang w:val="fr-FR"/>
        </w:rPr>
        <w:t>’</w:t>
      </w:r>
      <w:r w:rsidRPr="00C73365">
        <w:rPr>
          <w:rFonts w:asciiTheme="minorHAnsi" w:hAnsiTheme="minorHAnsi" w:cstheme="minorHAnsi"/>
          <w:lang w:val="fr-FR"/>
        </w:rPr>
        <w:t>à toute personne interposée.</w:t>
      </w:r>
    </w:p>
    <w:p w:rsidR="00846FBD" w:rsidRPr="00C73365" w:rsidRDefault="00846FBD" w:rsidP="00846FBD">
      <w:pPr>
        <w:pStyle w:val="ListContinue"/>
        <w:ind w:left="0"/>
        <w:rPr>
          <w:rFonts w:asciiTheme="minorHAnsi" w:hAnsiTheme="minorHAnsi" w:cstheme="minorHAnsi"/>
          <w:lang w:val="fr-FR"/>
        </w:rPr>
      </w:pPr>
    </w:p>
    <w:p w:rsidR="00B740A8" w:rsidRPr="00C73365" w:rsidRDefault="00B740A8" w:rsidP="004572A0">
      <w:pPr>
        <w:pStyle w:val="ListContinue"/>
        <w:rPr>
          <w:rFonts w:asciiTheme="minorHAnsi" w:hAnsiTheme="minorHAnsi" w:cstheme="minorHAnsi"/>
          <w:b/>
          <w:lang w:val="fr-FR"/>
        </w:rPr>
      </w:pPr>
      <w:r w:rsidRPr="00C73365">
        <w:rPr>
          <w:rFonts w:asciiTheme="minorHAnsi" w:hAnsiTheme="minorHAnsi" w:cstheme="minorHAnsi"/>
          <w:b/>
          <w:lang w:val="fr-FR"/>
        </w:rPr>
        <w:lastRenderedPageBreak/>
        <w:t>19.3</w:t>
      </w:r>
      <w:r w:rsidRPr="00C73365">
        <w:rPr>
          <w:rFonts w:asciiTheme="minorHAnsi" w:hAnsiTheme="minorHAnsi" w:cstheme="minorHAnsi"/>
          <w:b/>
          <w:lang w:val="fr-FR"/>
        </w:rPr>
        <w:tab/>
        <w:t xml:space="preserve"> Conventions courantes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conventions portant sur des opérations courantes et conclues à des conditions normales, ne sont pas soumises à la procédure légale d</w:t>
      </w:r>
      <w:r w:rsidR="004572A0" w:rsidRPr="00C73365">
        <w:rPr>
          <w:rFonts w:asciiTheme="minorHAnsi" w:hAnsiTheme="minorHAnsi" w:cstheme="minorHAnsi"/>
          <w:lang w:val="fr-FR"/>
        </w:rPr>
        <w:t>’</w:t>
      </w:r>
      <w:r w:rsidRPr="00C73365">
        <w:rPr>
          <w:rFonts w:asciiTheme="minorHAnsi" w:hAnsiTheme="minorHAnsi" w:cstheme="minorHAnsi"/>
          <w:lang w:val="fr-FR"/>
        </w:rPr>
        <w:t>autorisation et d</w:t>
      </w:r>
      <w:r w:rsidR="004572A0" w:rsidRPr="00C73365">
        <w:rPr>
          <w:rFonts w:asciiTheme="minorHAnsi" w:hAnsiTheme="minorHAnsi" w:cstheme="minorHAnsi"/>
          <w:lang w:val="fr-FR"/>
        </w:rPr>
        <w:t>’</w:t>
      </w:r>
      <w:r w:rsidRPr="00C73365">
        <w:rPr>
          <w:rFonts w:asciiTheme="minorHAnsi" w:hAnsiTheme="minorHAnsi" w:cstheme="minorHAnsi"/>
          <w:lang w:val="fr-FR"/>
        </w:rPr>
        <w:t>approbation.</w:t>
      </w:r>
    </w:p>
    <w:p w:rsidR="00B740A8" w:rsidRPr="00C73365" w:rsidRDefault="00B740A8" w:rsidP="00B740A8">
      <w:pPr>
        <w:rPr>
          <w:rFonts w:asciiTheme="minorHAnsi" w:hAnsiTheme="minorHAnsi" w:cstheme="minorHAnsi"/>
          <w:lang w:val="fr-FR"/>
        </w:rPr>
      </w:pP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Droits, privilèges et restrictions attachés aux actions de la Société</w:t>
      </w:r>
    </w:p>
    <w:p w:rsidR="00B740A8" w:rsidRPr="00C73365" w:rsidRDefault="00B740A8" w:rsidP="00B740A8">
      <w:pPr>
        <w:rPr>
          <w:rFonts w:asciiTheme="minorHAnsi" w:hAnsiTheme="minorHAnsi" w:cstheme="minorHAnsi"/>
          <w:b/>
          <w:lang w:val="fr-FR"/>
        </w:rPr>
      </w:pPr>
      <w:bookmarkStart w:id="1585" w:name="_Toc267998299"/>
      <w:bookmarkStart w:id="1586" w:name="_Toc271734115"/>
      <w:bookmarkStart w:id="1587" w:name="_Toc292135939"/>
      <w:r w:rsidRPr="00C73365">
        <w:rPr>
          <w:rFonts w:asciiTheme="minorHAnsi" w:hAnsiTheme="minorHAnsi" w:cstheme="minorHAnsi"/>
          <w:b/>
          <w:lang w:val="fr-FR"/>
        </w:rPr>
        <w:t>Article 10</w:t>
      </w:r>
      <w:r w:rsidRPr="00C73365">
        <w:rPr>
          <w:rFonts w:asciiTheme="minorHAnsi" w:hAnsiTheme="minorHAnsi" w:cstheme="minorHAnsi"/>
          <w:b/>
          <w:lang w:val="fr-FR"/>
        </w:rPr>
        <w:tab/>
        <w:t>FORME DES ACTIONS – IDENTIFICATION DES ACTIONNAIRES</w:t>
      </w:r>
    </w:p>
    <w:p w:rsidR="00B740A8" w:rsidRPr="00C73365" w:rsidRDefault="00B740A8" w:rsidP="00B740A8">
      <w:pPr>
        <w:rPr>
          <w:rFonts w:asciiTheme="minorHAnsi" w:hAnsiTheme="minorHAnsi" w:cstheme="minorHAnsi"/>
          <w:b/>
          <w:lang w:val="fr-FR"/>
        </w:rPr>
      </w:pP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10.1</w:t>
      </w:r>
      <w:r w:rsidR="004572A0" w:rsidRPr="00C73365">
        <w:rPr>
          <w:rFonts w:asciiTheme="minorHAnsi" w:hAnsiTheme="minorHAnsi" w:cstheme="minorHAnsi"/>
          <w:lang w:val="fr-FR"/>
        </w:rPr>
        <w:tab/>
      </w:r>
      <w:r w:rsidRPr="00C73365">
        <w:rPr>
          <w:rFonts w:asciiTheme="minorHAnsi" w:hAnsiTheme="minorHAnsi" w:cstheme="minorHAnsi"/>
          <w:lang w:val="fr-FR"/>
        </w:rPr>
        <w:t>Forme des actions</w:t>
      </w:r>
    </w:p>
    <w:p w:rsidR="00B740A8" w:rsidRPr="00C73365" w:rsidRDefault="00B740A8" w:rsidP="00846FBD">
      <w:pPr>
        <w:rPr>
          <w:rFonts w:asciiTheme="minorHAnsi" w:hAnsiTheme="minorHAnsi" w:cstheme="minorHAnsi"/>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actions sont, au choix de l’actionnaire et dans le respect des conditions prévues par la loi, soit au porteur, soit au nominatif. Elles donnent lieu à inscription en compte dans les conditions légales et réglementaires.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Sous réserve du respect des conditions et modalités prévues par la loi, les actions seront inscrites au nom de leur propriétaires, et à leur gré, en compte nominatif pur, en compte nominatif administré ou au porteur chez un intermédiaire agréé.</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Toutefois, lorsque le propriétaire n’a pas son domicile sur le territoire français, au sens de l’article 102 du Code civil, tout intermédiaire peut être inscrit pour le compte de ce propriétaire. Cette inscription peut être faite sous la forme d’un compte collectif ou en plusieurs comptes individuels correspondant chacun à un propriétaire.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actions sont admises aux opérations de l’organisme chargé de la compensation des titres.</w:t>
      </w:r>
    </w:p>
    <w:p w:rsidR="00B740A8" w:rsidRPr="00C73365" w:rsidRDefault="00B740A8" w:rsidP="004834A9">
      <w:pPr>
        <w:pStyle w:val="List2"/>
        <w:ind w:left="283"/>
        <w:rPr>
          <w:rFonts w:asciiTheme="minorHAnsi" w:hAnsiTheme="minorHAnsi" w:cstheme="minorHAnsi"/>
          <w:lang w:val="fr-FR"/>
        </w:rPr>
      </w:pPr>
      <w:r w:rsidRPr="00C73365">
        <w:rPr>
          <w:rFonts w:asciiTheme="minorHAnsi" w:hAnsiTheme="minorHAnsi" w:cstheme="minorHAnsi"/>
          <w:lang w:val="fr-FR"/>
        </w:rPr>
        <w:t>10.2</w:t>
      </w:r>
      <w:r w:rsidR="004572A0" w:rsidRPr="00C73365">
        <w:rPr>
          <w:rFonts w:asciiTheme="minorHAnsi" w:hAnsiTheme="minorHAnsi" w:cstheme="minorHAnsi"/>
          <w:lang w:val="fr-FR"/>
        </w:rPr>
        <w:tab/>
      </w:r>
      <w:r w:rsidRPr="00C73365">
        <w:rPr>
          <w:rFonts w:asciiTheme="minorHAnsi" w:hAnsiTheme="minorHAnsi" w:cstheme="minorHAnsi"/>
          <w:lang w:val="fr-FR"/>
        </w:rPr>
        <w:t>Identification des actionnaires</w:t>
      </w:r>
    </w:p>
    <w:p w:rsidR="00B740A8" w:rsidRPr="00C73365" w:rsidRDefault="00B740A8" w:rsidP="00B740A8">
      <w:pPr>
        <w:rPr>
          <w:rFonts w:asciiTheme="minorHAnsi" w:hAnsiTheme="minorHAnsi" w:cstheme="minorHAnsi"/>
          <w:lang w:val="fr-FR"/>
        </w:rPr>
      </w:pP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En vue de l’identification des détenteurs de titres au porteur et conformément aux dispositions de l’article L. 228-2 du Code de commerce, la Société peut demander à tout moment contre rémunération à sa charge, au dépositaire central qui assure la tenue du compte émission de ses titres, le nom ou la dénomination, la nationalité, l’année de naissance ou l’année de constitution et l’adresse des détenteurs de titres conférant immédiatement ou à terme le droit de vote dans ses propres assemblées d’actionnaires, ainsi que la quantité de titres détenue par chacun d’eux et, le cas échéant, les restrictions dont les titres peuvent être frappés.</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Au vu de la liste transmise à la Société par le dépositaire central, la Société a la faculté de demander soit à cet organisme, soit directement aux personnes figurant sur cette liste et dont la Société estime qu’elles pourraient être inscrites pour le compte de tiers, les informations prévues à l’alinéa précédent concernant les propriétaires des titres.</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Ces personnes sont tenues, lorsqu’elles ont la qualité d’intermédiaire, de révéler l’identité des propriétaires de ces titres. L’information est fournie directement à l’intermédiaire financier habilité teneur de compte, à charge pour ce dernier de la communiquer, selon le cas, à la Société ou au dépositaire central susvisé.</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La Société peut également, en ce qui concerne les titres inscrits sous la forme nominative, demander à tout moment à l’intermédiaire inscrit pour le compte de tiers propriétaires des titres, de révéler l’identité des propriétaires de ces titres, ainsi que la quantité de titres détenus par chacun d’eux.</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Aussi longtemps que la Société estime que certains détenteurs dont l’identité lui a été communiquée le sont pour le compte de tiers propriétaires des titres, elle est en droit de demander à ces détenteurs de révéler d’identité des propriétaires de ces titres, ainsi que la quantité de titre détenus par chacun d’eux dans les conditions prévues ci-dessus.</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A l’issue des demandes d’informations visées ci-dessus, la Société est en droit, sans préjudice de l’application des stipulations de l’article 11 des Statuts, de demander à toute personne morale propriétaire d’actions représentant plus de 2,5 % du capital ou des droits de vote de la Société, de lui faire connaître l’identité des personnes détenant directement ou indirectement plus du tiers du capital social de cette personne morale ou des droits de vote sont exercés aux Assemblées générales de celle-ci.</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Conformément à l’article L. 228-3-3 du Code de commerce :</w:t>
      </w:r>
    </w:p>
    <w:p w:rsidR="00B740A8" w:rsidRPr="00C73365" w:rsidRDefault="00B740A8" w:rsidP="00434C49">
      <w:pPr>
        <w:pStyle w:val="ListParagraph"/>
        <w:widowControl w:val="0"/>
        <w:numPr>
          <w:ilvl w:val="0"/>
          <w:numId w:val="56"/>
        </w:numPr>
        <w:autoSpaceDE w:val="0"/>
        <w:autoSpaceDN w:val="0"/>
        <w:adjustRightInd w:val="0"/>
        <w:spacing w:after="0"/>
        <w:ind w:left="514"/>
        <w:contextualSpacing/>
        <w:rPr>
          <w:rFonts w:asciiTheme="minorHAnsi" w:hAnsiTheme="minorHAnsi" w:cstheme="minorHAnsi"/>
          <w:szCs w:val="20"/>
          <w:lang w:val="fr-FR"/>
        </w:rPr>
      </w:pPr>
      <w:r w:rsidRPr="00C73365">
        <w:rPr>
          <w:rFonts w:asciiTheme="minorHAnsi" w:hAnsiTheme="minorHAnsi" w:cstheme="minorHAnsi"/>
          <w:szCs w:val="20"/>
          <w:lang w:val="fr-FR"/>
        </w:rPr>
        <w:t xml:space="preserve">Lorsque la personne faisant l’objet d’une demande conformément aux dispositions du présent article 10 n’a pas transmis les informations ainsi demandées dans les délais légaux et réglementaires ou a transmis des renseignements erronés ou incomplets relatifs soit à sa qualité, soit aux propriétaires des titres, soit à la quantité de titres détenus par chacun d’eux, les actions ou les titres donnant immédiatement ou à terme accès au capital </w:t>
      </w:r>
      <w:r w:rsidRPr="00C73365">
        <w:rPr>
          <w:rFonts w:asciiTheme="minorHAnsi" w:hAnsiTheme="minorHAnsi" w:cstheme="minorHAnsi"/>
          <w:szCs w:val="20"/>
          <w:lang w:val="fr-FR"/>
        </w:rPr>
        <w:lastRenderedPageBreak/>
        <w:t>et pour lesquels cette personne a été inscrite en compte, sont privés des droits de vote pour toute assemblée d’actionnaires qui se tiendrait jusqu’à la date de régularisation de l’identification, et le paiement du dividende correspondant est différé jusqu’à cette date ;</w:t>
      </w:r>
    </w:p>
    <w:p w:rsidR="00B740A8" w:rsidRPr="00C73365" w:rsidRDefault="00B740A8" w:rsidP="00434C49">
      <w:pPr>
        <w:pStyle w:val="ListParagraph"/>
        <w:widowControl w:val="0"/>
        <w:numPr>
          <w:ilvl w:val="0"/>
          <w:numId w:val="56"/>
        </w:numPr>
        <w:autoSpaceDE w:val="0"/>
        <w:autoSpaceDN w:val="0"/>
        <w:adjustRightInd w:val="0"/>
        <w:spacing w:after="0"/>
        <w:ind w:left="514"/>
        <w:contextualSpacing/>
        <w:rPr>
          <w:rFonts w:asciiTheme="minorHAnsi" w:hAnsiTheme="minorHAnsi" w:cstheme="minorHAnsi"/>
          <w:szCs w:val="20"/>
          <w:lang w:val="fr-FR"/>
        </w:rPr>
      </w:pPr>
      <w:r w:rsidRPr="00C73365">
        <w:rPr>
          <w:rFonts w:asciiTheme="minorHAnsi" w:hAnsiTheme="minorHAnsi" w:cstheme="minorHAnsi"/>
          <w:szCs w:val="20"/>
          <w:lang w:val="fr-FR"/>
        </w:rPr>
        <w:t>En outre, au cas à où la personne inscrite méconnaîtrait sciemment les dispositions ci-dessus, le tribunal dans le ressort duquel la Société a son siège social peut, sur demande de la Société ou d’un ou plusieurs actionnaires détenant plus de 5 % du capital, prononcer la privation totale ou partielle, pour une durée ne pouvant excéder cinq ans, des droits de vote attachés aux actions ayant fait l’objet de l’interrogation et, éventuellement et pour la même période, du dividende correspondant.</w:t>
      </w:r>
    </w:p>
    <w:p w:rsidR="00B740A8" w:rsidRPr="00C73365" w:rsidRDefault="00B740A8" w:rsidP="00B740A8">
      <w:pPr>
        <w:pStyle w:val="ListParagraph"/>
        <w:rPr>
          <w:rFonts w:asciiTheme="minorHAnsi" w:hAnsiTheme="minorHAnsi" w:cstheme="minorHAnsi"/>
          <w:sz w:val="22"/>
          <w:lang w:val="fr-FR"/>
        </w:rPr>
      </w:pPr>
    </w:p>
    <w:p w:rsidR="00B740A8" w:rsidRPr="00C73365" w:rsidRDefault="00B740A8" w:rsidP="00B740A8">
      <w:pPr>
        <w:rPr>
          <w:rFonts w:asciiTheme="minorHAnsi" w:hAnsiTheme="minorHAnsi" w:cstheme="minorHAnsi"/>
          <w:b/>
          <w:lang w:val="fr-FR"/>
        </w:rPr>
      </w:pPr>
      <w:r w:rsidRPr="00C73365">
        <w:rPr>
          <w:rFonts w:asciiTheme="minorHAnsi" w:hAnsiTheme="minorHAnsi" w:cstheme="minorHAnsi"/>
          <w:b/>
          <w:lang w:val="fr-FR"/>
        </w:rPr>
        <w:t>Article 11</w:t>
      </w:r>
      <w:r w:rsidRPr="00C73365">
        <w:rPr>
          <w:rFonts w:asciiTheme="minorHAnsi" w:hAnsiTheme="minorHAnsi" w:cstheme="minorHAnsi"/>
          <w:b/>
          <w:lang w:val="fr-FR"/>
        </w:rPr>
        <w:tab/>
        <w:t xml:space="preserve"> TRANSMISSION DES ACTIONS – FRANCHISSEMENT DE SEUILS - DROITS ET OBLIGATIONS ATTACHEES AUX ACTIONS</w:t>
      </w:r>
    </w:p>
    <w:p w:rsidR="00B740A8" w:rsidRPr="00C73365" w:rsidRDefault="00B740A8" w:rsidP="00B740A8">
      <w:pPr>
        <w:pStyle w:val="ListParagraph"/>
        <w:rPr>
          <w:rFonts w:asciiTheme="minorHAnsi" w:hAnsiTheme="minorHAnsi" w:cstheme="minorHAnsi"/>
          <w:sz w:val="22"/>
          <w:lang w:val="fr-FR"/>
        </w:rPr>
      </w:pP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11.1</w:t>
      </w:r>
      <w:r w:rsidR="004572A0" w:rsidRPr="00C73365">
        <w:rPr>
          <w:rFonts w:asciiTheme="minorHAnsi" w:hAnsiTheme="minorHAnsi" w:cstheme="minorHAnsi"/>
          <w:lang w:val="fr-FR"/>
        </w:rPr>
        <w:tab/>
      </w:r>
      <w:r w:rsidRPr="00C73365">
        <w:rPr>
          <w:rFonts w:asciiTheme="minorHAnsi" w:hAnsiTheme="minorHAnsi" w:cstheme="minorHAnsi"/>
          <w:lang w:val="fr-FR"/>
        </w:rPr>
        <w:t>Transmission des actions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actions sont librement négociables dès leur émission selon les modalités prévues par la loi.</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actions donnent lieu à une inscription en compte dans les conditions et selon les modalités prévues par les dispositions légale et réglementaires en vigueur.</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La transmission des actions, quelle qu’en soit la forme, s’opère par virement de compte à compte dans les conditions et selon les modalités prévues par la loi.</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11.3</w:t>
      </w:r>
      <w:r w:rsidR="004572A0" w:rsidRPr="00C73365">
        <w:rPr>
          <w:rFonts w:asciiTheme="minorHAnsi" w:hAnsiTheme="minorHAnsi" w:cstheme="minorHAnsi"/>
          <w:lang w:val="fr-FR"/>
        </w:rPr>
        <w:tab/>
      </w:r>
      <w:r w:rsidRPr="00C73365">
        <w:rPr>
          <w:rFonts w:asciiTheme="minorHAnsi" w:hAnsiTheme="minorHAnsi" w:cstheme="minorHAnsi"/>
          <w:lang w:val="fr-FR"/>
        </w:rPr>
        <w:t>Droits et obligations attachées aux actions</w:t>
      </w:r>
    </w:p>
    <w:p w:rsidR="00B740A8" w:rsidRPr="00C73365" w:rsidRDefault="00B740A8" w:rsidP="00B740A8">
      <w:pPr>
        <w:rPr>
          <w:rFonts w:asciiTheme="minorHAnsi" w:hAnsiTheme="minorHAnsi" w:cstheme="minorHAnsi"/>
          <w:lang w:val="fr-FR"/>
        </w:rPr>
      </w:pPr>
    </w:p>
    <w:p w:rsidR="00B740A8" w:rsidRPr="00C73365" w:rsidRDefault="00B740A8" w:rsidP="00846FBD">
      <w:pPr>
        <w:pStyle w:val="List2"/>
        <w:ind w:left="283"/>
        <w:rPr>
          <w:rFonts w:asciiTheme="minorHAnsi" w:hAnsiTheme="minorHAnsi" w:cstheme="minorHAnsi"/>
          <w:lang w:val="fr-FR"/>
        </w:rPr>
      </w:pPr>
      <w:r w:rsidRPr="00C73365">
        <w:rPr>
          <w:rFonts w:asciiTheme="minorHAnsi" w:hAnsiTheme="minorHAnsi" w:cstheme="minorHAnsi"/>
          <w:lang w:val="fr-FR"/>
        </w:rPr>
        <w:t>1 -</w:t>
      </w:r>
      <w:r w:rsidR="004572A0" w:rsidRPr="00C73365">
        <w:rPr>
          <w:rFonts w:asciiTheme="minorHAnsi" w:hAnsiTheme="minorHAnsi" w:cstheme="minorHAnsi"/>
          <w:lang w:val="fr-FR"/>
        </w:rPr>
        <w:tab/>
      </w:r>
      <w:r w:rsidRPr="00C73365">
        <w:rPr>
          <w:rFonts w:asciiTheme="minorHAnsi" w:hAnsiTheme="minorHAnsi" w:cstheme="minorHAnsi"/>
          <w:lang w:val="fr-FR"/>
        </w:rPr>
        <w:t>Chaque action donne droit, dans les bénéfices, l</w:t>
      </w:r>
      <w:r w:rsidR="004572A0" w:rsidRPr="00C73365">
        <w:rPr>
          <w:rFonts w:asciiTheme="minorHAnsi" w:hAnsiTheme="minorHAnsi" w:cstheme="minorHAnsi"/>
          <w:lang w:val="fr-FR"/>
        </w:rPr>
        <w:t>’</w:t>
      </w:r>
      <w:r w:rsidRPr="00C73365">
        <w:rPr>
          <w:rFonts w:asciiTheme="minorHAnsi" w:hAnsiTheme="minorHAnsi" w:cstheme="minorHAnsi"/>
          <w:lang w:val="fr-FR"/>
        </w:rPr>
        <w:t>actif social et le boni de liquidation, à une part nette proportionnelle à la quotité de capital qu</w:t>
      </w:r>
      <w:r w:rsidR="004572A0" w:rsidRPr="00C73365">
        <w:rPr>
          <w:rFonts w:asciiTheme="minorHAnsi" w:hAnsiTheme="minorHAnsi" w:cstheme="minorHAnsi"/>
          <w:lang w:val="fr-FR"/>
        </w:rPr>
        <w:t>’</w:t>
      </w:r>
      <w:r w:rsidRPr="00C73365">
        <w:rPr>
          <w:rFonts w:asciiTheme="minorHAnsi" w:hAnsiTheme="minorHAnsi" w:cstheme="minorHAnsi"/>
          <w:lang w:val="fr-FR"/>
        </w:rPr>
        <w:t>elle représente.</w:t>
      </w:r>
    </w:p>
    <w:p w:rsidR="00B740A8" w:rsidRPr="00C73365" w:rsidRDefault="00B740A8" w:rsidP="00846FBD">
      <w:pPr>
        <w:rPr>
          <w:rFonts w:asciiTheme="minorHAnsi" w:hAnsiTheme="minorHAnsi" w:cstheme="minorHAnsi"/>
          <w:lang w:val="fr-FR"/>
        </w:rPr>
      </w:pPr>
    </w:p>
    <w:p w:rsidR="00B740A8" w:rsidRPr="00C73365" w:rsidRDefault="00B740A8" w:rsidP="00846FBD">
      <w:pPr>
        <w:pStyle w:val="ListContinue2"/>
        <w:ind w:left="283"/>
        <w:rPr>
          <w:rFonts w:asciiTheme="minorHAnsi" w:hAnsiTheme="minorHAnsi" w:cstheme="minorHAnsi"/>
          <w:lang w:val="fr-FR"/>
        </w:rPr>
      </w:pPr>
      <w:r w:rsidRPr="00C73365">
        <w:rPr>
          <w:rFonts w:asciiTheme="minorHAnsi" w:hAnsiTheme="minorHAnsi" w:cstheme="minorHAnsi"/>
          <w:lang w:val="fr-FR"/>
        </w:rPr>
        <w:t>Elle donne le droit de participer, dans les conditions fixées par la loi et les présents statuts, aux Assemblées générales et au vote des résolutions.</w:t>
      </w:r>
    </w:p>
    <w:p w:rsidR="00B740A8" w:rsidRPr="00C73365" w:rsidRDefault="00B740A8" w:rsidP="00846FBD">
      <w:pPr>
        <w:pStyle w:val="List2"/>
        <w:ind w:left="283"/>
        <w:rPr>
          <w:rFonts w:asciiTheme="minorHAnsi" w:hAnsiTheme="minorHAnsi" w:cstheme="minorHAnsi"/>
          <w:lang w:val="fr-FR"/>
        </w:rPr>
      </w:pPr>
      <w:r w:rsidRPr="00C73365">
        <w:rPr>
          <w:rFonts w:asciiTheme="minorHAnsi" w:hAnsiTheme="minorHAnsi" w:cstheme="minorHAnsi"/>
          <w:lang w:val="fr-FR"/>
        </w:rPr>
        <w:t>2 -</w:t>
      </w:r>
      <w:r w:rsidR="004572A0" w:rsidRPr="00C73365">
        <w:rPr>
          <w:rFonts w:asciiTheme="minorHAnsi" w:hAnsiTheme="minorHAnsi" w:cstheme="minorHAnsi"/>
          <w:lang w:val="fr-FR"/>
        </w:rPr>
        <w:tab/>
      </w:r>
      <w:r w:rsidRPr="00C73365">
        <w:rPr>
          <w:rFonts w:asciiTheme="minorHAnsi" w:hAnsiTheme="minorHAnsi" w:cstheme="minorHAnsi"/>
          <w:lang w:val="fr-FR"/>
        </w:rPr>
        <w:t>Les actionnaires ne sont responsables du passif social qu</w:t>
      </w:r>
      <w:r w:rsidR="004572A0" w:rsidRPr="00C73365">
        <w:rPr>
          <w:rFonts w:asciiTheme="minorHAnsi" w:hAnsiTheme="minorHAnsi" w:cstheme="minorHAnsi"/>
          <w:lang w:val="fr-FR"/>
        </w:rPr>
        <w:t>’</w:t>
      </w:r>
      <w:r w:rsidRPr="00C73365">
        <w:rPr>
          <w:rFonts w:asciiTheme="minorHAnsi" w:hAnsiTheme="minorHAnsi" w:cstheme="minorHAnsi"/>
          <w:lang w:val="fr-FR"/>
        </w:rPr>
        <w:t>à concurrence de leurs apports.</w:t>
      </w:r>
    </w:p>
    <w:p w:rsidR="00B740A8" w:rsidRPr="00C73365" w:rsidRDefault="00B740A8" w:rsidP="00846FBD">
      <w:pPr>
        <w:rPr>
          <w:rFonts w:asciiTheme="minorHAnsi" w:hAnsiTheme="minorHAnsi" w:cstheme="minorHAnsi"/>
          <w:lang w:val="fr-FR"/>
        </w:rPr>
      </w:pPr>
    </w:p>
    <w:p w:rsidR="00B740A8" w:rsidRPr="00C73365" w:rsidRDefault="00B740A8" w:rsidP="00846FBD">
      <w:pPr>
        <w:pStyle w:val="ListContinue2"/>
        <w:ind w:left="283"/>
        <w:rPr>
          <w:rFonts w:asciiTheme="minorHAnsi" w:hAnsiTheme="minorHAnsi" w:cstheme="minorHAnsi"/>
          <w:lang w:val="fr-FR"/>
        </w:rPr>
      </w:pPr>
      <w:r w:rsidRPr="00C73365">
        <w:rPr>
          <w:rFonts w:asciiTheme="minorHAnsi" w:hAnsiTheme="minorHAnsi" w:cstheme="minorHAnsi"/>
          <w:lang w:val="fr-FR"/>
        </w:rPr>
        <w:t>Les droits et obligations attachés à l</w:t>
      </w:r>
      <w:r w:rsidR="004572A0" w:rsidRPr="00C73365">
        <w:rPr>
          <w:rFonts w:asciiTheme="minorHAnsi" w:hAnsiTheme="minorHAnsi" w:cstheme="minorHAnsi"/>
          <w:lang w:val="fr-FR"/>
        </w:rPr>
        <w:t>’</w:t>
      </w:r>
      <w:r w:rsidRPr="00C73365">
        <w:rPr>
          <w:rFonts w:asciiTheme="minorHAnsi" w:hAnsiTheme="minorHAnsi" w:cstheme="minorHAnsi"/>
          <w:lang w:val="fr-FR"/>
        </w:rPr>
        <w:t>action suivent le titre quel qu</w:t>
      </w:r>
      <w:r w:rsidR="004572A0" w:rsidRPr="00C73365">
        <w:rPr>
          <w:rFonts w:asciiTheme="minorHAnsi" w:hAnsiTheme="minorHAnsi" w:cstheme="minorHAnsi"/>
          <w:lang w:val="fr-FR"/>
        </w:rPr>
        <w:t>’</w:t>
      </w:r>
      <w:r w:rsidRPr="00C73365">
        <w:rPr>
          <w:rFonts w:asciiTheme="minorHAnsi" w:hAnsiTheme="minorHAnsi" w:cstheme="minorHAnsi"/>
          <w:lang w:val="fr-FR"/>
        </w:rPr>
        <w:t>en soit le titulaire.</w:t>
      </w:r>
    </w:p>
    <w:p w:rsidR="00B740A8" w:rsidRPr="00C73365" w:rsidRDefault="00B740A8" w:rsidP="00846FBD">
      <w:pPr>
        <w:pStyle w:val="ListContinue2"/>
        <w:ind w:left="283"/>
        <w:rPr>
          <w:rFonts w:asciiTheme="minorHAnsi" w:hAnsiTheme="minorHAnsi" w:cstheme="minorHAnsi"/>
          <w:lang w:val="fr-FR"/>
        </w:rPr>
      </w:pPr>
      <w:r w:rsidRPr="00C73365">
        <w:rPr>
          <w:rFonts w:asciiTheme="minorHAnsi" w:hAnsiTheme="minorHAnsi" w:cstheme="minorHAnsi"/>
          <w:lang w:val="fr-FR"/>
        </w:rPr>
        <w:t>La propriété d</w:t>
      </w:r>
      <w:r w:rsidR="004572A0" w:rsidRPr="00C73365">
        <w:rPr>
          <w:rFonts w:asciiTheme="minorHAnsi" w:hAnsiTheme="minorHAnsi" w:cstheme="minorHAnsi"/>
          <w:lang w:val="fr-FR"/>
        </w:rPr>
        <w:t>’</w:t>
      </w:r>
      <w:r w:rsidRPr="00C73365">
        <w:rPr>
          <w:rFonts w:asciiTheme="minorHAnsi" w:hAnsiTheme="minorHAnsi" w:cstheme="minorHAnsi"/>
          <w:lang w:val="fr-FR"/>
        </w:rPr>
        <w:t>une action emporte de plein droit adhésion aux statuts et aux décisions de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des actionnaires.</w:t>
      </w:r>
    </w:p>
    <w:p w:rsidR="00B740A8" w:rsidRPr="00C73365" w:rsidRDefault="00B740A8" w:rsidP="00846FBD">
      <w:pPr>
        <w:pStyle w:val="List2"/>
        <w:ind w:left="283"/>
        <w:rPr>
          <w:rFonts w:asciiTheme="minorHAnsi" w:hAnsiTheme="minorHAnsi" w:cstheme="minorHAnsi"/>
          <w:lang w:val="fr-FR"/>
        </w:rPr>
      </w:pPr>
      <w:r w:rsidRPr="00C73365">
        <w:rPr>
          <w:rFonts w:asciiTheme="minorHAnsi" w:hAnsiTheme="minorHAnsi" w:cstheme="minorHAnsi"/>
          <w:lang w:val="fr-FR"/>
        </w:rPr>
        <w:t>3 -</w:t>
      </w:r>
      <w:r w:rsidR="004572A0" w:rsidRPr="00C73365">
        <w:rPr>
          <w:rFonts w:asciiTheme="minorHAnsi" w:hAnsiTheme="minorHAnsi" w:cstheme="minorHAnsi"/>
          <w:lang w:val="fr-FR"/>
        </w:rPr>
        <w:tab/>
      </w:r>
      <w:r w:rsidRPr="00C73365">
        <w:rPr>
          <w:rFonts w:asciiTheme="minorHAnsi" w:hAnsiTheme="minorHAnsi" w:cstheme="minorHAnsi"/>
          <w:lang w:val="fr-FR"/>
        </w:rPr>
        <w:t>Chaque fois qu</w:t>
      </w:r>
      <w:r w:rsidR="004572A0" w:rsidRPr="00C73365">
        <w:rPr>
          <w:rFonts w:asciiTheme="minorHAnsi" w:hAnsiTheme="minorHAnsi" w:cstheme="minorHAnsi"/>
          <w:lang w:val="fr-FR"/>
        </w:rPr>
        <w:t>’</w:t>
      </w:r>
      <w:r w:rsidRPr="00C73365">
        <w:rPr>
          <w:rFonts w:asciiTheme="minorHAnsi" w:hAnsiTheme="minorHAnsi" w:cstheme="minorHAnsi"/>
          <w:lang w:val="fr-FR"/>
        </w:rPr>
        <w:t>il sera nécessaire de posséder plusieurs actions pour exercer un droit  quelconque (échange, regroupement, attribution de titres, augmentation ou réduction de capital, fusion ou toute autre opération sociale), les propriétaires de titres isolés, ou en nombre inférieur à celui requis, ne peuvent exercer ce droit qu</w:t>
      </w:r>
      <w:r w:rsidR="004572A0" w:rsidRPr="00C73365">
        <w:rPr>
          <w:rFonts w:asciiTheme="minorHAnsi" w:hAnsiTheme="minorHAnsi" w:cstheme="minorHAnsi"/>
          <w:lang w:val="fr-FR"/>
        </w:rPr>
        <w:t>’</w:t>
      </w:r>
      <w:r w:rsidRPr="00C73365">
        <w:rPr>
          <w:rFonts w:asciiTheme="minorHAnsi" w:hAnsiTheme="minorHAnsi" w:cstheme="minorHAnsi"/>
          <w:lang w:val="fr-FR"/>
        </w:rPr>
        <w:t>à condition de faire leur affaire personnelle du groupement et, éventuellement, de l</w:t>
      </w:r>
      <w:r w:rsidR="004572A0" w:rsidRPr="00C73365">
        <w:rPr>
          <w:rFonts w:asciiTheme="minorHAnsi" w:hAnsiTheme="minorHAnsi" w:cstheme="minorHAnsi"/>
          <w:lang w:val="fr-FR"/>
        </w:rPr>
        <w:t>’</w:t>
      </w:r>
      <w:r w:rsidRPr="00C73365">
        <w:rPr>
          <w:rFonts w:asciiTheme="minorHAnsi" w:hAnsiTheme="minorHAnsi" w:cstheme="minorHAnsi"/>
          <w:lang w:val="fr-FR"/>
        </w:rPr>
        <w:t>achat ou de la vente du nombre de titres nécessaires.</w:t>
      </w:r>
    </w:p>
    <w:p w:rsidR="00B740A8" w:rsidRPr="00C73365" w:rsidRDefault="00B740A8" w:rsidP="00B740A8">
      <w:pPr>
        <w:rPr>
          <w:rFonts w:asciiTheme="minorHAnsi" w:hAnsiTheme="minorHAnsi" w:cstheme="minorHAnsi"/>
          <w:lang w:val="fr-FR"/>
        </w:rPr>
      </w:pPr>
    </w:p>
    <w:p w:rsidR="00B740A8" w:rsidRPr="00C73365" w:rsidRDefault="00B740A8" w:rsidP="004834A9">
      <w:pPr>
        <w:pStyle w:val="ListContinue2"/>
        <w:ind w:left="283"/>
        <w:rPr>
          <w:rFonts w:asciiTheme="minorHAnsi" w:hAnsiTheme="minorHAnsi" w:cstheme="minorHAnsi"/>
          <w:b/>
          <w:lang w:val="fr-FR"/>
        </w:rPr>
      </w:pPr>
      <w:r w:rsidRPr="00C73365">
        <w:rPr>
          <w:rFonts w:asciiTheme="minorHAnsi" w:hAnsiTheme="minorHAnsi" w:cstheme="minorHAnsi"/>
          <w:b/>
          <w:lang w:val="fr-FR"/>
        </w:rPr>
        <w:t xml:space="preserve">11.4 </w:t>
      </w:r>
      <w:r w:rsidRPr="00C73365">
        <w:rPr>
          <w:rFonts w:asciiTheme="minorHAnsi" w:hAnsiTheme="minorHAnsi" w:cstheme="minorHAnsi"/>
          <w:b/>
          <w:lang w:val="fr-FR"/>
        </w:rPr>
        <w:tab/>
        <w:t xml:space="preserve"> Indivisibilité des actions - Nue-propriété – Usufruit </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1 - Les actions sont indivisibles à l</w:t>
      </w:r>
      <w:r w:rsidR="004572A0" w:rsidRPr="00C73365">
        <w:rPr>
          <w:rFonts w:asciiTheme="minorHAnsi" w:hAnsiTheme="minorHAnsi" w:cstheme="minorHAnsi"/>
          <w:lang w:val="fr-FR"/>
        </w:rPr>
        <w:t>’</w:t>
      </w:r>
      <w:r w:rsidRPr="00C73365">
        <w:rPr>
          <w:rFonts w:asciiTheme="minorHAnsi" w:hAnsiTheme="minorHAnsi" w:cstheme="minorHAnsi"/>
          <w:lang w:val="fr-FR"/>
        </w:rPr>
        <w:t>égard de la Société.</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Les copropriétaires d</w:t>
      </w:r>
      <w:r w:rsidR="004572A0" w:rsidRPr="00C73365">
        <w:rPr>
          <w:rFonts w:asciiTheme="minorHAnsi" w:hAnsiTheme="minorHAnsi" w:cstheme="minorHAnsi"/>
          <w:lang w:val="fr-FR"/>
        </w:rPr>
        <w:t>’</w:t>
      </w:r>
      <w:r w:rsidRPr="00C73365">
        <w:rPr>
          <w:rFonts w:asciiTheme="minorHAnsi" w:hAnsiTheme="minorHAnsi" w:cstheme="minorHAnsi"/>
          <w:lang w:val="fr-FR"/>
        </w:rPr>
        <w:t>actions indivises sont représentés aux Assemblées générales par l</w:t>
      </w:r>
      <w:r w:rsidR="004572A0" w:rsidRPr="00C73365">
        <w:rPr>
          <w:rFonts w:asciiTheme="minorHAnsi" w:hAnsiTheme="minorHAnsi" w:cstheme="minorHAnsi"/>
          <w:lang w:val="fr-FR"/>
        </w:rPr>
        <w:t>’</w:t>
      </w:r>
      <w:r w:rsidRPr="00C73365">
        <w:rPr>
          <w:rFonts w:asciiTheme="minorHAnsi" w:hAnsiTheme="minorHAnsi" w:cstheme="minorHAnsi"/>
          <w:lang w:val="fr-FR"/>
        </w:rPr>
        <w:t>un d</w:t>
      </w:r>
      <w:r w:rsidR="004572A0" w:rsidRPr="00C73365">
        <w:rPr>
          <w:rFonts w:asciiTheme="minorHAnsi" w:hAnsiTheme="minorHAnsi" w:cstheme="minorHAnsi"/>
          <w:lang w:val="fr-FR"/>
        </w:rPr>
        <w:t>’</w:t>
      </w:r>
      <w:r w:rsidRPr="00C73365">
        <w:rPr>
          <w:rFonts w:asciiTheme="minorHAnsi" w:hAnsiTheme="minorHAnsi" w:cstheme="minorHAnsi"/>
          <w:lang w:val="fr-FR"/>
        </w:rPr>
        <w:t>eux ou par un mandataire unique. En cas de désaccord, le mandataire est désigné en justice à la demande du copropriétaire le plus diligent.</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2 - Le droit de vote appartient à l</w:t>
      </w:r>
      <w:r w:rsidR="004572A0" w:rsidRPr="00C73365">
        <w:rPr>
          <w:rFonts w:asciiTheme="minorHAnsi" w:hAnsiTheme="minorHAnsi" w:cstheme="minorHAnsi"/>
          <w:lang w:val="fr-FR"/>
        </w:rPr>
        <w:t>’</w:t>
      </w:r>
      <w:r w:rsidRPr="00C73365">
        <w:rPr>
          <w:rFonts w:asciiTheme="minorHAnsi" w:hAnsiTheme="minorHAnsi" w:cstheme="minorHAnsi"/>
          <w:lang w:val="fr-FR"/>
        </w:rPr>
        <w:t>usufruitier dans les Assemblées générales ordinaires et au nu-propriétaire dans les Assemblées générales extraordinaires. Cependant, les actionnaires peuvent convenir de toute autre répartition du droit de vote aux Assemblées générales, à condition que l’usufruitier ne soit pas privé du droit de voter les décisions concernant les distributions de bénéfices. Dans ce cas, ils devront porter leur convention à la connaissance de la Société, par lettre recommandée avec demande d’avis de réception adressée au siège social. La Société sera tenue d</w:t>
      </w:r>
      <w:r w:rsidR="004572A0" w:rsidRPr="00C73365">
        <w:rPr>
          <w:rFonts w:asciiTheme="minorHAnsi" w:hAnsiTheme="minorHAnsi" w:cstheme="minorHAnsi"/>
          <w:lang w:val="fr-FR"/>
        </w:rPr>
        <w:t>’</w:t>
      </w:r>
      <w:r w:rsidRPr="00C73365">
        <w:rPr>
          <w:rFonts w:asciiTheme="minorHAnsi" w:hAnsiTheme="minorHAnsi" w:cstheme="minorHAnsi"/>
          <w:lang w:val="fr-FR"/>
        </w:rPr>
        <w:t>appliquer cette convention pour toute Assemblée qui se réunirait après l</w:t>
      </w:r>
      <w:r w:rsidR="004572A0" w:rsidRPr="00C73365">
        <w:rPr>
          <w:rFonts w:asciiTheme="minorHAnsi" w:hAnsiTheme="minorHAnsi" w:cstheme="minorHAnsi"/>
          <w:lang w:val="fr-FR"/>
        </w:rPr>
        <w:t>’</w:t>
      </w:r>
      <w:r w:rsidRPr="00C73365">
        <w:rPr>
          <w:rFonts w:asciiTheme="minorHAnsi" w:hAnsiTheme="minorHAnsi" w:cstheme="minorHAnsi"/>
          <w:lang w:val="fr-FR"/>
        </w:rPr>
        <w:t>expiration d</w:t>
      </w:r>
      <w:r w:rsidR="004572A0" w:rsidRPr="00C73365">
        <w:rPr>
          <w:rFonts w:asciiTheme="minorHAnsi" w:hAnsiTheme="minorHAnsi" w:cstheme="minorHAnsi"/>
          <w:lang w:val="fr-FR"/>
        </w:rPr>
        <w:t>’</w:t>
      </w:r>
      <w:r w:rsidRPr="00C73365">
        <w:rPr>
          <w:rFonts w:asciiTheme="minorHAnsi" w:hAnsiTheme="minorHAnsi" w:cstheme="minorHAnsi"/>
          <w:lang w:val="fr-FR"/>
        </w:rPr>
        <w:t>un délai d’un (1) mois au moins après réception de la notification de ladite convention.</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Le droit de vote est exercé par le propriétaire des titres remis en gage.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lastRenderedPageBreak/>
        <w:t>Même privé du droit de vote, le nu-propriétaire a toujours le droit de participer aux Assemblées générales.</w:t>
      </w:r>
    </w:p>
    <w:p w:rsidR="00B740A8" w:rsidRPr="00C73365" w:rsidRDefault="00B740A8" w:rsidP="004834A9">
      <w:pPr>
        <w:pStyle w:val="ListContinue2"/>
        <w:ind w:left="0"/>
        <w:rPr>
          <w:rFonts w:asciiTheme="minorHAnsi" w:hAnsiTheme="minorHAnsi" w:cstheme="minorHAnsi"/>
          <w:b/>
          <w:lang w:val="fr-FR"/>
        </w:rPr>
      </w:pPr>
      <w:r w:rsidRPr="00C73365">
        <w:rPr>
          <w:rFonts w:asciiTheme="minorHAnsi" w:hAnsiTheme="minorHAnsi" w:cstheme="minorHAnsi"/>
          <w:b/>
          <w:lang w:val="fr-FR"/>
        </w:rPr>
        <w:t>Article 12</w:t>
      </w:r>
      <w:r w:rsidRPr="00C73365">
        <w:rPr>
          <w:rFonts w:asciiTheme="minorHAnsi" w:hAnsiTheme="minorHAnsi" w:cstheme="minorHAnsi"/>
          <w:b/>
          <w:lang w:val="fr-FR"/>
        </w:rPr>
        <w:tab/>
        <w:t xml:space="preserve"> DROIT DE VOTE DOUBLE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Le droit de vote attaché aux actions de capital ou de jouissance est proportionnel à la quotité du capital qu</w:t>
      </w:r>
      <w:r w:rsidR="004572A0" w:rsidRPr="00C73365">
        <w:rPr>
          <w:rFonts w:asciiTheme="minorHAnsi" w:hAnsiTheme="minorHAnsi" w:cstheme="minorHAnsi"/>
          <w:lang w:val="fr-FR"/>
        </w:rPr>
        <w:t>’</w:t>
      </w:r>
      <w:r w:rsidRPr="00C73365">
        <w:rPr>
          <w:rFonts w:asciiTheme="minorHAnsi" w:hAnsiTheme="minorHAnsi" w:cstheme="minorHAnsi"/>
          <w:lang w:val="fr-FR"/>
        </w:rPr>
        <w:t>elles représentent. Chaque action donne droit à une voix.</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Toutefois, un droit de vote double de celui conféré aux autres actions eu égard à la quotité du capital qu</w:t>
      </w:r>
      <w:r w:rsidR="004572A0" w:rsidRPr="00C73365">
        <w:rPr>
          <w:rFonts w:asciiTheme="minorHAnsi" w:hAnsiTheme="minorHAnsi" w:cstheme="minorHAnsi"/>
          <w:lang w:val="fr-FR"/>
        </w:rPr>
        <w:t>’</w:t>
      </w:r>
      <w:r w:rsidRPr="00C73365">
        <w:rPr>
          <w:rFonts w:asciiTheme="minorHAnsi" w:hAnsiTheme="minorHAnsi" w:cstheme="minorHAnsi"/>
          <w:lang w:val="fr-FR"/>
        </w:rPr>
        <w:t>elles représentent est attribué à toutes les actions entièrement libérées pour lesquelles il sera justifié d</w:t>
      </w:r>
      <w:r w:rsidR="004572A0" w:rsidRPr="00C73365">
        <w:rPr>
          <w:rFonts w:asciiTheme="minorHAnsi" w:hAnsiTheme="minorHAnsi" w:cstheme="minorHAnsi"/>
          <w:lang w:val="fr-FR"/>
        </w:rPr>
        <w:t>’</w:t>
      </w:r>
      <w:r w:rsidRPr="00C73365">
        <w:rPr>
          <w:rFonts w:asciiTheme="minorHAnsi" w:hAnsiTheme="minorHAnsi" w:cstheme="minorHAnsi"/>
          <w:lang w:val="fr-FR"/>
        </w:rPr>
        <w:t>une inscription nominative depuis deux (2) ans au moins au nom d</w:t>
      </w:r>
      <w:r w:rsidR="004572A0" w:rsidRPr="00C73365">
        <w:rPr>
          <w:rFonts w:asciiTheme="minorHAnsi" w:hAnsiTheme="minorHAnsi" w:cstheme="minorHAnsi"/>
          <w:lang w:val="fr-FR"/>
        </w:rPr>
        <w:t>’</w:t>
      </w:r>
      <w:r w:rsidRPr="00C73365">
        <w:rPr>
          <w:rFonts w:asciiTheme="minorHAnsi" w:hAnsiTheme="minorHAnsi" w:cstheme="minorHAnsi"/>
          <w:lang w:val="fr-FR"/>
        </w:rPr>
        <w:t>un même actionnaire.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Ce droit de vote double est également conféré dès leur émission en cas d</w:t>
      </w:r>
      <w:r w:rsidR="004572A0" w:rsidRPr="00C73365">
        <w:rPr>
          <w:rFonts w:asciiTheme="minorHAnsi" w:hAnsiTheme="minorHAnsi" w:cstheme="minorHAnsi"/>
          <w:lang w:val="fr-FR"/>
        </w:rPr>
        <w:t>’</w:t>
      </w:r>
      <w:r w:rsidRPr="00C73365">
        <w:rPr>
          <w:rFonts w:asciiTheme="minorHAnsi" w:hAnsiTheme="minorHAnsi" w:cstheme="minorHAnsi"/>
          <w:lang w:val="fr-FR"/>
        </w:rPr>
        <w:t>augmentation de capital par incorporation de réserves, bénéfices ou primes d</w:t>
      </w:r>
      <w:r w:rsidR="004572A0" w:rsidRPr="00C73365">
        <w:rPr>
          <w:rFonts w:asciiTheme="minorHAnsi" w:hAnsiTheme="minorHAnsi" w:cstheme="minorHAnsi"/>
          <w:lang w:val="fr-FR"/>
        </w:rPr>
        <w:t>’</w:t>
      </w:r>
      <w:r w:rsidRPr="00C73365">
        <w:rPr>
          <w:rFonts w:asciiTheme="minorHAnsi" w:hAnsiTheme="minorHAnsi" w:cstheme="minorHAnsi"/>
          <w:lang w:val="fr-FR"/>
        </w:rPr>
        <w:t>émission, aux actions nominatives attribuées gratuitement à un actionnaire à raison d</w:t>
      </w:r>
      <w:r w:rsidR="004572A0" w:rsidRPr="00C73365">
        <w:rPr>
          <w:rFonts w:asciiTheme="minorHAnsi" w:hAnsiTheme="minorHAnsi" w:cstheme="minorHAnsi"/>
          <w:lang w:val="fr-FR"/>
        </w:rPr>
        <w:t>’</w:t>
      </w:r>
      <w:r w:rsidRPr="00C73365">
        <w:rPr>
          <w:rFonts w:asciiTheme="minorHAnsi" w:hAnsiTheme="minorHAnsi" w:cstheme="minorHAnsi"/>
          <w:lang w:val="fr-FR"/>
        </w:rPr>
        <w:t>actions anciennes pour lesquelles il bénéficiera de ce droit.</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Le transfert d</w:t>
      </w:r>
      <w:r w:rsidR="004572A0" w:rsidRPr="00C73365">
        <w:rPr>
          <w:rFonts w:asciiTheme="minorHAnsi" w:hAnsiTheme="minorHAnsi" w:cstheme="minorHAnsi"/>
          <w:lang w:val="fr-FR"/>
        </w:rPr>
        <w:t>’</w:t>
      </w:r>
      <w:r w:rsidRPr="00C73365">
        <w:rPr>
          <w:rFonts w:asciiTheme="minorHAnsi" w:hAnsiTheme="minorHAnsi" w:cstheme="minorHAnsi"/>
          <w:lang w:val="fr-FR"/>
        </w:rPr>
        <w:t>actions par suite de succession, de liquidation de communauté de biens entre époux ou de donation entre vifs au profit d</w:t>
      </w:r>
      <w:r w:rsidR="004572A0" w:rsidRPr="00C73365">
        <w:rPr>
          <w:rFonts w:asciiTheme="minorHAnsi" w:hAnsiTheme="minorHAnsi" w:cstheme="minorHAnsi"/>
          <w:lang w:val="fr-FR"/>
        </w:rPr>
        <w:t>’</w:t>
      </w:r>
      <w:r w:rsidRPr="00C73365">
        <w:rPr>
          <w:rFonts w:asciiTheme="minorHAnsi" w:hAnsiTheme="minorHAnsi" w:cstheme="minorHAnsi"/>
          <w:lang w:val="fr-FR"/>
        </w:rPr>
        <w:t>un conjoint ou d</w:t>
      </w:r>
      <w:r w:rsidR="004572A0" w:rsidRPr="00C73365">
        <w:rPr>
          <w:rFonts w:asciiTheme="minorHAnsi" w:hAnsiTheme="minorHAnsi" w:cstheme="minorHAnsi"/>
          <w:lang w:val="fr-FR"/>
        </w:rPr>
        <w:t>’</w:t>
      </w:r>
      <w:r w:rsidRPr="00C73365">
        <w:rPr>
          <w:rFonts w:asciiTheme="minorHAnsi" w:hAnsiTheme="minorHAnsi" w:cstheme="minorHAnsi"/>
          <w:lang w:val="fr-FR"/>
        </w:rPr>
        <w:t>un parent au degré successible ne fait pas perdre le droit acquis et n</w:t>
      </w:r>
      <w:r w:rsidR="004572A0" w:rsidRPr="00C73365">
        <w:rPr>
          <w:rFonts w:asciiTheme="minorHAnsi" w:hAnsiTheme="minorHAnsi" w:cstheme="minorHAnsi"/>
          <w:lang w:val="fr-FR"/>
        </w:rPr>
        <w:t>’</w:t>
      </w:r>
      <w:r w:rsidRPr="00C73365">
        <w:rPr>
          <w:rFonts w:asciiTheme="minorHAnsi" w:hAnsiTheme="minorHAnsi" w:cstheme="minorHAnsi"/>
          <w:lang w:val="fr-FR"/>
        </w:rPr>
        <w:t>interrompt pas les délais prévus ci-dessus.</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Il en est de même, en cas de transfert d</w:t>
      </w:r>
      <w:r w:rsidR="004572A0" w:rsidRPr="00C73365">
        <w:rPr>
          <w:rFonts w:asciiTheme="minorHAnsi" w:hAnsiTheme="minorHAnsi" w:cstheme="minorHAnsi"/>
          <w:lang w:val="fr-FR"/>
        </w:rPr>
        <w:t>’</w:t>
      </w:r>
      <w:r w:rsidRPr="00C73365">
        <w:rPr>
          <w:rFonts w:asciiTheme="minorHAnsi" w:hAnsiTheme="minorHAnsi" w:cstheme="minorHAnsi"/>
          <w:lang w:val="fr-FR"/>
        </w:rPr>
        <w:t>actions par suite d</w:t>
      </w:r>
      <w:r w:rsidR="004572A0" w:rsidRPr="00C73365">
        <w:rPr>
          <w:rFonts w:asciiTheme="minorHAnsi" w:hAnsiTheme="minorHAnsi" w:cstheme="minorHAnsi"/>
          <w:lang w:val="fr-FR"/>
        </w:rPr>
        <w:t>’</w:t>
      </w:r>
      <w:r w:rsidRPr="00C73365">
        <w:rPr>
          <w:rFonts w:asciiTheme="minorHAnsi" w:hAnsiTheme="minorHAnsi" w:cstheme="minorHAnsi"/>
          <w:lang w:val="fr-FR"/>
        </w:rPr>
        <w:t>une fusion ou d</w:t>
      </w:r>
      <w:r w:rsidR="004572A0" w:rsidRPr="00C73365">
        <w:rPr>
          <w:rFonts w:asciiTheme="minorHAnsi" w:hAnsiTheme="minorHAnsi" w:cstheme="minorHAnsi"/>
          <w:lang w:val="fr-FR"/>
        </w:rPr>
        <w:t>’</w:t>
      </w:r>
      <w:r w:rsidRPr="00C73365">
        <w:rPr>
          <w:rFonts w:asciiTheme="minorHAnsi" w:hAnsiTheme="minorHAnsi" w:cstheme="minorHAnsi"/>
          <w:lang w:val="fr-FR"/>
        </w:rPr>
        <w:t>une scission d</w:t>
      </w:r>
      <w:r w:rsidR="004572A0" w:rsidRPr="00C73365">
        <w:rPr>
          <w:rFonts w:asciiTheme="minorHAnsi" w:hAnsiTheme="minorHAnsi" w:cstheme="minorHAnsi"/>
          <w:lang w:val="fr-FR"/>
        </w:rPr>
        <w:t>’</w:t>
      </w:r>
      <w:r w:rsidRPr="00C73365">
        <w:rPr>
          <w:rFonts w:asciiTheme="minorHAnsi" w:hAnsiTheme="minorHAnsi" w:cstheme="minorHAnsi"/>
          <w:lang w:val="fr-FR"/>
        </w:rPr>
        <w:t>une société actionnaire.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En outre, la fusion ou la scission de la Société est sans effet sur le droit de vote double qui peut être exercé au sein de la ou des sociétés bénéficiaires si les statuts de celles-ci l</w:t>
      </w:r>
      <w:r w:rsidR="004572A0" w:rsidRPr="00C73365">
        <w:rPr>
          <w:rFonts w:asciiTheme="minorHAnsi" w:hAnsiTheme="minorHAnsi" w:cstheme="minorHAnsi"/>
          <w:lang w:val="fr-FR"/>
        </w:rPr>
        <w:t>’</w:t>
      </w:r>
      <w:r w:rsidRPr="00C73365">
        <w:rPr>
          <w:rFonts w:asciiTheme="minorHAnsi" w:hAnsiTheme="minorHAnsi" w:cstheme="minorHAnsi"/>
          <w:lang w:val="fr-FR"/>
        </w:rPr>
        <w:t>ont instauré.</w:t>
      </w:r>
    </w:p>
    <w:p w:rsidR="00B740A8" w:rsidRPr="00C73365" w:rsidRDefault="00B740A8" w:rsidP="004834A9">
      <w:pPr>
        <w:pStyle w:val="ListContinue2"/>
        <w:ind w:left="0"/>
        <w:rPr>
          <w:rFonts w:asciiTheme="minorHAnsi" w:hAnsiTheme="minorHAnsi" w:cstheme="minorHAnsi"/>
          <w:b/>
          <w:lang w:val="fr-FR"/>
        </w:rPr>
      </w:pPr>
      <w:r w:rsidRPr="00C73365">
        <w:rPr>
          <w:rFonts w:asciiTheme="minorHAnsi" w:hAnsiTheme="minorHAnsi" w:cstheme="minorHAnsi"/>
          <w:b/>
          <w:lang w:val="fr-FR"/>
        </w:rPr>
        <w:t>Article 29</w:t>
      </w:r>
      <w:r w:rsidRPr="00C73365">
        <w:rPr>
          <w:rFonts w:asciiTheme="minorHAnsi" w:hAnsiTheme="minorHAnsi" w:cstheme="minorHAnsi"/>
          <w:b/>
          <w:lang w:val="fr-FR"/>
        </w:rPr>
        <w:tab/>
        <w:t xml:space="preserve"> DROIT D</w:t>
      </w:r>
      <w:r w:rsidR="004572A0" w:rsidRPr="00C73365">
        <w:rPr>
          <w:rFonts w:asciiTheme="minorHAnsi" w:hAnsiTheme="minorHAnsi" w:cstheme="minorHAnsi"/>
          <w:b/>
          <w:lang w:val="fr-FR"/>
        </w:rPr>
        <w:t>’</w:t>
      </w:r>
      <w:r w:rsidRPr="00C73365">
        <w:rPr>
          <w:rFonts w:asciiTheme="minorHAnsi" w:hAnsiTheme="minorHAnsi" w:cstheme="minorHAnsi"/>
          <w:b/>
          <w:lang w:val="fr-FR"/>
        </w:rPr>
        <w:t>INFORMATION ET DE CONTROLE DES ACTIONNAIRES</w:t>
      </w:r>
      <w:r w:rsidRPr="00C73365">
        <w:rPr>
          <w:rFonts w:asciiTheme="minorHAnsi" w:hAnsiTheme="minorHAnsi" w:cstheme="minorHAnsi"/>
          <w:b/>
          <w:lang w:val="fr-FR"/>
        </w:rPr>
        <w:tab/>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Avant chaque assemblée, le Conseil d’administration doit mettre à la disposition des actionnaires les documents nécessaires pour permettre à ceux-ci de se prononcer en connaissance de cause et de porter un jugement informé sur la gestion et la marche des affaires de la Société.</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A compter de la communication prévue ci-dessus, tout actionnaire a la faculté de poser par écrit, dans les conditions légales et réglementaires applicables, des questions auxquelles le Conseil d’administration sera tenu de répondre au cours de l</w:t>
      </w:r>
      <w:r w:rsidR="004572A0" w:rsidRPr="00C73365">
        <w:rPr>
          <w:rFonts w:asciiTheme="minorHAnsi" w:hAnsiTheme="minorHAnsi" w:cstheme="minorHAnsi"/>
          <w:lang w:val="fr-FR"/>
        </w:rPr>
        <w:t>’</w:t>
      </w:r>
      <w:r w:rsidRPr="00C73365">
        <w:rPr>
          <w:rFonts w:asciiTheme="minorHAnsi" w:hAnsiTheme="minorHAnsi" w:cstheme="minorHAnsi"/>
          <w:lang w:val="fr-FR"/>
        </w:rPr>
        <w:t>assemblée.</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A toute époque, tout actionnaire a le droit d</w:t>
      </w:r>
      <w:r w:rsidR="004572A0" w:rsidRPr="00C73365">
        <w:rPr>
          <w:rFonts w:asciiTheme="minorHAnsi" w:hAnsiTheme="minorHAnsi" w:cstheme="minorHAnsi"/>
          <w:lang w:val="fr-FR"/>
        </w:rPr>
        <w:t>’</w:t>
      </w:r>
      <w:r w:rsidRPr="00C73365">
        <w:rPr>
          <w:rFonts w:asciiTheme="minorHAnsi" w:hAnsiTheme="minorHAnsi" w:cstheme="minorHAnsi"/>
          <w:lang w:val="fr-FR"/>
        </w:rPr>
        <w:t>obtenir communication des documents que le Conseil d’administration a obligation, selon les cas, de tenir à sa disposition au siège social, ou de lui adresser, conformément aux dispositions législatives et réglementaires en vigueur.</w:t>
      </w:r>
    </w:p>
    <w:p w:rsidR="00B740A8" w:rsidRPr="00C73365" w:rsidRDefault="00B740A8" w:rsidP="004834A9">
      <w:pPr>
        <w:pStyle w:val="ListContinue2"/>
        <w:ind w:left="0"/>
        <w:rPr>
          <w:rFonts w:asciiTheme="minorHAnsi" w:hAnsiTheme="minorHAnsi" w:cstheme="minorHAnsi"/>
          <w:b/>
          <w:lang w:val="fr-FR"/>
        </w:rPr>
      </w:pPr>
      <w:r w:rsidRPr="00C73365">
        <w:rPr>
          <w:rFonts w:asciiTheme="minorHAnsi" w:hAnsiTheme="minorHAnsi" w:cstheme="minorHAnsi"/>
          <w:b/>
          <w:lang w:val="fr-FR"/>
        </w:rPr>
        <w:t xml:space="preserve">Article 32 </w:t>
      </w:r>
      <w:r w:rsidRPr="00C73365">
        <w:rPr>
          <w:rFonts w:asciiTheme="minorHAnsi" w:hAnsiTheme="minorHAnsi" w:cstheme="minorHAnsi"/>
          <w:b/>
          <w:lang w:val="fr-FR"/>
        </w:rPr>
        <w:tab/>
        <w:t>AFFECTATION ET REPARTITION DU RESULTAT</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Si les comptes de l</w:t>
      </w:r>
      <w:r w:rsidR="004572A0" w:rsidRPr="00C73365">
        <w:rPr>
          <w:rFonts w:asciiTheme="minorHAnsi" w:hAnsiTheme="minorHAnsi" w:cstheme="minorHAnsi"/>
          <w:lang w:val="fr-FR"/>
        </w:rPr>
        <w:t>’</w:t>
      </w:r>
      <w:r w:rsidRPr="00C73365">
        <w:rPr>
          <w:rFonts w:asciiTheme="minorHAnsi" w:hAnsiTheme="minorHAnsi" w:cstheme="minorHAnsi"/>
          <w:lang w:val="fr-FR"/>
        </w:rPr>
        <w:t>exercice approuvés par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font apparaître un bénéfice distribuable tel qu</w:t>
      </w:r>
      <w:r w:rsidR="004572A0" w:rsidRPr="00C73365">
        <w:rPr>
          <w:rFonts w:asciiTheme="minorHAnsi" w:hAnsiTheme="minorHAnsi" w:cstheme="minorHAnsi"/>
          <w:lang w:val="fr-FR"/>
        </w:rPr>
        <w:t>’</w:t>
      </w:r>
      <w:r w:rsidRPr="00C73365">
        <w:rPr>
          <w:rFonts w:asciiTheme="minorHAnsi" w:hAnsiTheme="minorHAnsi" w:cstheme="minorHAnsi"/>
          <w:lang w:val="fr-FR"/>
        </w:rPr>
        <w:t>il est défini par la loi,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décide de l</w:t>
      </w:r>
      <w:r w:rsidR="004572A0" w:rsidRPr="00C73365">
        <w:rPr>
          <w:rFonts w:asciiTheme="minorHAnsi" w:hAnsiTheme="minorHAnsi" w:cstheme="minorHAnsi"/>
          <w:lang w:val="fr-FR"/>
        </w:rPr>
        <w:t>’</w:t>
      </w:r>
      <w:r w:rsidRPr="00C73365">
        <w:rPr>
          <w:rFonts w:asciiTheme="minorHAnsi" w:hAnsiTheme="minorHAnsi" w:cstheme="minorHAnsi"/>
          <w:lang w:val="fr-FR"/>
        </w:rPr>
        <w:t>inscrire à un ou plusieurs postes de réserves dont elle règle l</w:t>
      </w:r>
      <w:r w:rsidR="004572A0" w:rsidRPr="00C73365">
        <w:rPr>
          <w:rFonts w:asciiTheme="minorHAnsi" w:hAnsiTheme="minorHAnsi" w:cstheme="minorHAnsi"/>
          <w:lang w:val="fr-FR"/>
        </w:rPr>
        <w:t>’</w:t>
      </w:r>
      <w:r w:rsidRPr="00C73365">
        <w:rPr>
          <w:rFonts w:asciiTheme="minorHAnsi" w:hAnsiTheme="minorHAnsi" w:cstheme="minorHAnsi"/>
          <w:lang w:val="fr-FR"/>
        </w:rPr>
        <w:t>affectation ou l</w:t>
      </w:r>
      <w:r w:rsidR="004572A0" w:rsidRPr="00C73365">
        <w:rPr>
          <w:rFonts w:asciiTheme="minorHAnsi" w:hAnsiTheme="minorHAnsi" w:cstheme="minorHAnsi"/>
          <w:lang w:val="fr-FR"/>
        </w:rPr>
        <w:t>’</w:t>
      </w:r>
      <w:r w:rsidRPr="00C73365">
        <w:rPr>
          <w:rFonts w:asciiTheme="minorHAnsi" w:hAnsiTheme="minorHAnsi" w:cstheme="minorHAnsi"/>
          <w:lang w:val="fr-FR"/>
        </w:rPr>
        <w:t>emploi, de le reporter à nouveau ou de le distribuer.</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peut accorder aux actionnaires pour tout ou partie du dividende mis en distribution ou des acomptes sur dividende, une option entre le paiement du dividende en numéraire ou en actions dans les conditions légales.</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Les pertes, s</w:t>
      </w:r>
      <w:r w:rsidR="004572A0" w:rsidRPr="00C73365">
        <w:rPr>
          <w:rFonts w:asciiTheme="minorHAnsi" w:hAnsiTheme="minorHAnsi" w:cstheme="minorHAnsi"/>
          <w:lang w:val="fr-FR"/>
        </w:rPr>
        <w:t>’</w:t>
      </w:r>
      <w:r w:rsidRPr="00C73365">
        <w:rPr>
          <w:rFonts w:asciiTheme="minorHAnsi" w:hAnsiTheme="minorHAnsi" w:cstheme="minorHAnsi"/>
          <w:lang w:val="fr-FR"/>
        </w:rPr>
        <w:t>il en existe, sont après l</w:t>
      </w:r>
      <w:r w:rsidR="004572A0" w:rsidRPr="00C73365">
        <w:rPr>
          <w:rFonts w:asciiTheme="minorHAnsi" w:hAnsiTheme="minorHAnsi" w:cstheme="minorHAnsi"/>
          <w:lang w:val="fr-FR"/>
        </w:rPr>
        <w:t>’</w:t>
      </w:r>
      <w:r w:rsidRPr="00C73365">
        <w:rPr>
          <w:rFonts w:asciiTheme="minorHAnsi" w:hAnsiTheme="minorHAnsi" w:cstheme="minorHAnsi"/>
          <w:lang w:val="fr-FR"/>
        </w:rPr>
        <w:t>approbation des comptes par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reportées à nouveau, pour être imputées sur les bénéfices des exercices ultérieurs jusqu</w:t>
      </w:r>
      <w:r w:rsidR="004572A0" w:rsidRPr="00C73365">
        <w:rPr>
          <w:rFonts w:asciiTheme="minorHAnsi" w:hAnsiTheme="minorHAnsi" w:cstheme="minorHAnsi"/>
          <w:lang w:val="fr-FR"/>
        </w:rPr>
        <w:t>’</w:t>
      </w:r>
      <w:r w:rsidRPr="00C73365">
        <w:rPr>
          <w:rFonts w:asciiTheme="minorHAnsi" w:hAnsiTheme="minorHAnsi" w:cstheme="minorHAnsi"/>
          <w:lang w:val="fr-FR"/>
        </w:rPr>
        <w:t>à extinction.</w:t>
      </w:r>
    </w:p>
    <w:p w:rsidR="00B740A8" w:rsidRPr="00C73365" w:rsidRDefault="00B740A8" w:rsidP="00846FBD">
      <w:pPr>
        <w:pStyle w:val="ListContinue2"/>
        <w:ind w:left="0"/>
        <w:rPr>
          <w:rFonts w:asciiTheme="minorHAnsi" w:hAnsiTheme="minorHAnsi" w:cstheme="minorHAnsi"/>
          <w:lang w:val="fr-FR"/>
        </w:rPr>
      </w:pPr>
      <w:r w:rsidRPr="00C73365">
        <w:rPr>
          <w:rFonts w:asciiTheme="minorHAnsi" w:hAnsiTheme="minorHAnsi" w:cstheme="minorHAnsi"/>
          <w:lang w:val="fr-FR"/>
        </w:rPr>
        <w:t>La part de chaque actionnaire dans les bénéfices et sa contribution aux pertes est proportionnelle à sa quotité dans le capital social.</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Modalités de modification des droits des actionnaires</w:t>
      </w:r>
      <w:bookmarkEnd w:id="1585"/>
      <w:bookmarkEnd w:id="1586"/>
      <w:bookmarkEnd w:id="1587"/>
    </w:p>
    <w:p w:rsidR="00B740A8" w:rsidRPr="004834A9" w:rsidRDefault="00B740A8" w:rsidP="00B740A8">
      <w:pPr>
        <w:pStyle w:val="ENUM1"/>
        <w:rPr>
          <w:rFonts w:asciiTheme="minorHAnsi" w:hAnsiTheme="minorHAnsi" w:cstheme="minorHAnsi"/>
          <w:sz w:val="20"/>
          <w:szCs w:val="22"/>
          <w:lang w:val="fr-FR"/>
        </w:rPr>
      </w:pPr>
      <w:r w:rsidRPr="004834A9">
        <w:rPr>
          <w:rFonts w:asciiTheme="minorHAnsi" w:hAnsiTheme="minorHAnsi" w:cstheme="minorHAnsi"/>
          <w:sz w:val="20"/>
          <w:szCs w:val="22"/>
          <w:lang w:val="fr-FR"/>
        </w:rPr>
        <w:t>Les Statuts ne prévoient aucune règle particulière dérogeant au droit commun des sociétés.</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bookmarkStart w:id="1588" w:name="_Toc267998300"/>
      <w:bookmarkStart w:id="1589" w:name="_Toc271734116"/>
      <w:bookmarkStart w:id="1590" w:name="_Toc292135940"/>
      <w:r w:rsidRPr="00C73365">
        <w:rPr>
          <w:rFonts w:asciiTheme="minorHAnsi" w:hAnsiTheme="minorHAnsi" w:cstheme="minorHAnsi"/>
          <w:b/>
          <w:color w:val="7030A0"/>
          <w:lang w:val="fr-FR"/>
        </w:rPr>
        <w:t>Assemblées générales d’actionnaires</w:t>
      </w:r>
      <w:bookmarkEnd w:id="1588"/>
      <w:bookmarkEnd w:id="1589"/>
      <w:bookmarkEnd w:id="1590"/>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Article 22 </w:t>
      </w:r>
      <w:r w:rsidRPr="00C73365">
        <w:rPr>
          <w:rFonts w:asciiTheme="minorHAnsi" w:hAnsiTheme="minorHAnsi" w:cstheme="minorHAnsi"/>
          <w:b/>
          <w:lang w:val="fr-FR"/>
        </w:rPr>
        <w:tab/>
        <w:t>QUORUM ET MAJORITE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assemblées générales délibèrent dans les conditions fixées par la loi.</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Assemblées générales ordinaires et extraordinaires se réunissent sur première convocation et, le cas échéant, sur deuxième convocation dans les conditions de quorum prévues par la loi.</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délibérations des Assemblées générales sont prises dans les conditions de majorité prévues par la loi.</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ordinaire prend toutes les décisions autres que celles qui sont réservées à la compétence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assemblée générale extraordinaire par la loi et les présents statuts.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assemblée générale extraordinaire est seule habilitée à modifier les statuts dans toutes leurs dispositions.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En cas de recours à la visioconférence ou autre moyen de télécommunication admis par la loi dans les conditions exposées à l</w:t>
      </w:r>
      <w:r w:rsidR="004572A0" w:rsidRPr="00C73365">
        <w:rPr>
          <w:rFonts w:asciiTheme="minorHAnsi" w:hAnsiTheme="minorHAnsi" w:cstheme="minorHAnsi"/>
          <w:lang w:val="fr-FR"/>
        </w:rPr>
        <w:t>’</w:t>
      </w:r>
      <w:r w:rsidRPr="00C73365">
        <w:rPr>
          <w:rFonts w:asciiTheme="minorHAnsi" w:hAnsiTheme="minorHAnsi" w:cstheme="minorHAnsi"/>
          <w:lang w:val="fr-FR"/>
        </w:rPr>
        <w:t>article 23 ci-après, seront réputés présents pour le calcul du quorum et de la majorité, les actionnaires qui participent aux assemblées par visioconférence ou par des moyens de télécommunication.</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Article 23 </w:t>
      </w:r>
      <w:r w:rsidRPr="00C73365">
        <w:rPr>
          <w:rFonts w:asciiTheme="minorHAnsi" w:hAnsiTheme="minorHAnsi" w:cstheme="minorHAnsi"/>
          <w:b/>
          <w:lang w:val="fr-FR"/>
        </w:rPr>
        <w:tab/>
        <w:t>CONVOCATION DES ASSEMBLEES GENERALES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assemblées générales sont convoquées soit par le Conseil d’administration, soit par les commissaires aux comptes, soit par un mandataire désigné en justice dans les conditions et selon les modalités prévues par la loi.</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Elles sont réunies au siège social ou en tout autre lieu précisé dans l</w:t>
      </w:r>
      <w:r w:rsidR="004572A0" w:rsidRPr="00C73365">
        <w:rPr>
          <w:rFonts w:asciiTheme="minorHAnsi" w:hAnsiTheme="minorHAnsi" w:cstheme="minorHAnsi"/>
          <w:lang w:val="fr-FR"/>
        </w:rPr>
        <w:t>’</w:t>
      </w:r>
      <w:r w:rsidRPr="00C73365">
        <w:rPr>
          <w:rFonts w:asciiTheme="minorHAnsi" w:hAnsiTheme="minorHAnsi" w:cstheme="minorHAnsi"/>
          <w:lang w:val="fr-FR"/>
        </w:rPr>
        <w:t>avis de convocation.</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Lorsque les actions de </w:t>
      </w:r>
      <w:r w:rsidR="00D468B1" w:rsidRPr="00C73365">
        <w:rPr>
          <w:rFonts w:asciiTheme="minorHAnsi" w:hAnsiTheme="minorHAnsi" w:cstheme="minorHAnsi"/>
          <w:lang w:val="fr-FR"/>
        </w:rPr>
        <w:t>la</w:t>
      </w:r>
      <w:r w:rsidRPr="00C73365">
        <w:rPr>
          <w:rFonts w:asciiTheme="minorHAnsi" w:hAnsiTheme="minorHAnsi" w:cstheme="minorHAnsi"/>
          <w:lang w:val="fr-FR"/>
        </w:rPr>
        <w:t xml:space="preserve"> Société sont admises aux négociations sur un marché réglementé ou si toutes ses actions ne revêtent pas la forme nominative, elle est tenue, trente-cinq (35) jours au moins avant la réunion de toute assemblée de publier au Bulletin des Annonces Légales Obligatoires (BALO) un avis de réunion contenant les mentions prévues par les textes en vigueur.</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La convocation des assemblées générales est réalisée par l</w:t>
      </w:r>
      <w:r w:rsidR="004572A0" w:rsidRPr="00C73365">
        <w:rPr>
          <w:rFonts w:asciiTheme="minorHAnsi" w:hAnsiTheme="minorHAnsi" w:cstheme="minorHAnsi"/>
          <w:lang w:val="fr-FR"/>
        </w:rPr>
        <w:t>’</w:t>
      </w:r>
      <w:r w:rsidRPr="00C73365">
        <w:rPr>
          <w:rFonts w:asciiTheme="minorHAnsi" w:hAnsiTheme="minorHAnsi" w:cstheme="minorHAnsi"/>
          <w:lang w:val="fr-FR"/>
        </w:rPr>
        <w:t>insertion dans un journal habilité à recevoir les annonces légales dans le département du siège social et, en outre, au Bulletin des Annonces Légales et Obligatoires (BALO).</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Toutefois, les insertions prévues à l</w:t>
      </w:r>
      <w:r w:rsidR="004572A0" w:rsidRPr="00C73365">
        <w:rPr>
          <w:rFonts w:asciiTheme="minorHAnsi" w:hAnsiTheme="minorHAnsi" w:cstheme="minorHAnsi"/>
          <w:lang w:val="fr-FR"/>
        </w:rPr>
        <w:t>’</w:t>
      </w:r>
      <w:r w:rsidRPr="00C73365">
        <w:rPr>
          <w:rFonts w:asciiTheme="minorHAnsi" w:hAnsiTheme="minorHAnsi" w:cstheme="minorHAnsi"/>
          <w:lang w:val="fr-FR"/>
        </w:rPr>
        <w:t>alinéa précédent peuvent être remplacées par une convocation faite, aux frais de la Société, par lettre simple ou recommandée adressée à chaque actionnaire. Cette convocation peut également être transmise par un moyen électronique de télécommunication mis en œuvre dans les conditions réglementaires applicables.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Tout actionnaire pourra également, si le Conseil le décide au moment de la convocation de l</w:t>
      </w:r>
      <w:r w:rsidR="004572A0" w:rsidRPr="00C73365">
        <w:rPr>
          <w:rFonts w:asciiTheme="minorHAnsi" w:hAnsiTheme="minorHAnsi" w:cstheme="minorHAnsi"/>
          <w:lang w:val="fr-FR"/>
        </w:rPr>
        <w:t>’</w:t>
      </w:r>
      <w:r w:rsidRPr="00C73365">
        <w:rPr>
          <w:rFonts w:asciiTheme="minorHAnsi" w:hAnsiTheme="minorHAnsi" w:cstheme="minorHAnsi"/>
          <w:lang w:val="fr-FR"/>
        </w:rPr>
        <w:t>assemblée, participer et voter aux assemblées par visioconférence ou par tous moyens de télécommunication permettant leur identification, dans les conditions et suivants les modalités prévues par les dispositions législatives et réglementaires applicables.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Toute assemblée irrégulièrement convoquée peut être annulée. Toutefois, l</w:t>
      </w:r>
      <w:r w:rsidR="004572A0" w:rsidRPr="00C73365">
        <w:rPr>
          <w:rFonts w:asciiTheme="minorHAnsi" w:hAnsiTheme="minorHAnsi" w:cstheme="minorHAnsi"/>
          <w:lang w:val="fr-FR"/>
        </w:rPr>
        <w:t>’</w:t>
      </w:r>
      <w:r w:rsidRPr="00C73365">
        <w:rPr>
          <w:rFonts w:asciiTheme="minorHAnsi" w:hAnsiTheme="minorHAnsi" w:cstheme="minorHAnsi"/>
          <w:lang w:val="fr-FR"/>
        </w:rPr>
        <w:t>action en nullité n</w:t>
      </w:r>
      <w:r w:rsidR="004572A0" w:rsidRPr="00C73365">
        <w:rPr>
          <w:rFonts w:asciiTheme="minorHAnsi" w:hAnsiTheme="minorHAnsi" w:cstheme="minorHAnsi"/>
          <w:lang w:val="fr-FR"/>
        </w:rPr>
        <w:t>’</w:t>
      </w:r>
      <w:r w:rsidRPr="00C73365">
        <w:rPr>
          <w:rFonts w:asciiTheme="minorHAnsi" w:hAnsiTheme="minorHAnsi" w:cstheme="minorHAnsi"/>
          <w:lang w:val="fr-FR"/>
        </w:rPr>
        <w:t>est pas recevable lorsque tous les actionnaires étaient présents ou représentés.</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Article 24 </w:t>
      </w:r>
      <w:r w:rsidRPr="00C73365">
        <w:rPr>
          <w:rFonts w:asciiTheme="minorHAnsi" w:hAnsiTheme="minorHAnsi" w:cstheme="minorHAnsi"/>
          <w:b/>
          <w:lang w:val="fr-FR"/>
        </w:rPr>
        <w:tab/>
        <w:t>ORDRE DU JOUR DE L</w:t>
      </w:r>
      <w:r w:rsidR="004572A0" w:rsidRPr="00C73365">
        <w:rPr>
          <w:rFonts w:asciiTheme="minorHAnsi" w:hAnsiTheme="minorHAnsi" w:cstheme="minorHAnsi"/>
          <w:b/>
          <w:lang w:val="fr-FR"/>
        </w:rPr>
        <w:t>’</w:t>
      </w:r>
      <w:r w:rsidRPr="00C73365">
        <w:rPr>
          <w:rFonts w:asciiTheme="minorHAnsi" w:hAnsiTheme="minorHAnsi" w:cstheme="minorHAnsi"/>
          <w:b/>
          <w:lang w:val="fr-FR"/>
        </w:rPr>
        <w:t>ASSEMBLEE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ordre du jour des assemblées est arrêté par l</w:t>
      </w:r>
      <w:r w:rsidR="004572A0" w:rsidRPr="00C73365">
        <w:rPr>
          <w:rFonts w:asciiTheme="minorHAnsi" w:hAnsiTheme="minorHAnsi" w:cstheme="minorHAnsi"/>
          <w:lang w:val="fr-FR"/>
        </w:rPr>
        <w:t>’</w:t>
      </w:r>
      <w:r w:rsidRPr="00C73365">
        <w:rPr>
          <w:rFonts w:asciiTheme="minorHAnsi" w:hAnsiTheme="minorHAnsi" w:cstheme="minorHAnsi"/>
          <w:lang w:val="fr-FR"/>
        </w:rPr>
        <w:t>auteur de la convocation.</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Toutefois, un ou plusieurs actionnaires représentant au moins 5 % du capital (ou une association d</w:t>
      </w:r>
      <w:r w:rsidR="004572A0" w:rsidRPr="00C73365">
        <w:rPr>
          <w:rFonts w:asciiTheme="minorHAnsi" w:hAnsiTheme="minorHAnsi" w:cstheme="minorHAnsi"/>
          <w:lang w:val="fr-FR"/>
        </w:rPr>
        <w:t>’</w:t>
      </w:r>
      <w:r w:rsidRPr="00C73365">
        <w:rPr>
          <w:rFonts w:asciiTheme="minorHAnsi" w:hAnsiTheme="minorHAnsi" w:cstheme="minorHAnsi"/>
          <w:lang w:val="fr-FR"/>
        </w:rPr>
        <w:t>actionnaires répondant aux conditions légales) ont la faculté de requérir, dans les conditions prévues par la loi, l</w:t>
      </w:r>
      <w:r w:rsidR="004572A0" w:rsidRPr="00C73365">
        <w:rPr>
          <w:rFonts w:asciiTheme="minorHAnsi" w:hAnsiTheme="minorHAnsi" w:cstheme="minorHAnsi"/>
          <w:lang w:val="fr-FR"/>
        </w:rPr>
        <w:t>’</w:t>
      </w:r>
      <w:r w:rsidRPr="00C73365">
        <w:rPr>
          <w:rFonts w:asciiTheme="minorHAnsi" w:hAnsiTheme="minorHAnsi" w:cstheme="minorHAnsi"/>
          <w:lang w:val="fr-FR"/>
        </w:rPr>
        <w:t>inscription à l</w:t>
      </w:r>
      <w:r w:rsidR="004572A0" w:rsidRPr="00C73365">
        <w:rPr>
          <w:rFonts w:asciiTheme="minorHAnsi" w:hAnsiTheme="minorHAnsi" w:cstheme="minorHAnsi"/>
          <w:lang w:val="fr-FR"/>
        </w:rPr>
        <w:t>’</w:t>
      </w:r>
      <w:r w:rsidRPr="00C73365">
        <w:rPr>
          <w:rFonts w:asciiTheme="minorHAnsi" w:hAnsiTheme="minorHAnsi" w:cstheme="minorHAnsi"/>
          <w:lang w:val="fr-FR"/>
        </w:rPr>
        <w:t>ordre du jour de projets de résolutions. La demande est accompagnée du texte des projets de résolutions qui peuvent être assortis d</w:t>
      </w:r>
      <w:r w:rsidR="004572A0" w:rsidRPr="00C73365">
        <w:rPr>
          <w:rFonts w:asciiTheme="minorHAnsi" w:hAnsiTheme="minorHAnsi" w:cstheme="minorHAnsi"/>
          <w:lang w:val="fr-FR"/>
        </w:rPr>
        <w:t>’</w:t>
      </w:r>
      <w:r w:rsidRPr="00C73365">
        <w:rPr>
          <w:rFonts w:asciiTheme="minorHAnsi" w:hAnsiTheme="minorHAnsi" w:cstheme="minorHAnsi"/>
          <w:lang w:val="fr-FR"/>
        </w:rPr>
        <w:t>un bref exposé des motifs.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Ces projets de résolutions, qui doivent être portés à la connaissance des actionnaires, sont inscrits à l</w:t>
      </w:r>
      <w:r w:rsidR="004572A0" w:rsidRPr="00C73365">
        <w:rPr>
          <w:rFonts w:asciiTheme="minorHAnsi" w:hAnsiTheme="minorHAnsi" w:cstheme="minorHAnsi"/>
          <w:lang w:val="fr-FR"/>
        </w:rPr>
        <w:t>’</w:t>
      </w:r>
      <w:r w:rsidRPr="00C73365">
        <w:rPr>
          <w:rFonts w:asciiTheme="minorHAnsi" w:hAnsiTheme="minorHAnsi" w:cstheme="minorHAnsi"/>
          <w:lang w:val="fr-FR"/>
        </w:rPr>
        <w:t>ordre du jour et soumis au vote de l</w:t>
      </w:r>
      <w:r w:rsidR="004572A0" w:rsidRPr="00C73365">
        <w:rPr>
          <w:rFonts w:asciiTheme="minorHAnsi" w:hAnsiTheme="minorHAnsi" w:cstheme="minorHAnsi"/>
          <w:lang w:val="fr-FR"/>
        </w:rPr>
        <w:t>’</w:t>
      </w:r>
      <w:r w:rsidRPr="00C73365">
        <w:rPr>
          <w:rFonts w:asciiTheme="minorHAnsi" w:hAnsiTheme="minorHAnsi" w:cstheme="minorHAnsi"/>
          <w:lang w:val="fr-FR"/>
        </w:rPr>
        <w:t>assemblée.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assemblée ne peut délibérer sur une question qui n</w:t>
      </w:r>
      <w:r w:rsidR="004572A0" w:rsidRPr="00C73365">
        <w:rPr>
          <w:rFonts w:asciiTheme="minorHAnsi" w:hAnsiTheme="minorHAnsi" w:cstheme="minorHAnsi"/>
          <w:lang w:val="fr-FR"/>
        </w:rPr>
        <w:t>’</w:t>
      </w:r>
      <w:r w:rsidRPr="00C73365">
        <w:rPr>
          <w:rFonts w:asciiTheme="minorHAnsi" w:hAnsiTheme="minorHAnsi" w:cstheme="minorHAnsi"/>
          <w:lang w:val="fr-FR"/>
        </w:rPr>
        <w:t>est pas inscrite à l</w:t>
      </w:r>
      <w:r w:rsidR="004572A0" w:rsidRPr="00C73365">
        <w:rPr>
          <w:rFonts w:asciiTheme="minorHAnsi" w:hAnsiTheme="minorHAnsi" w:cstheme="minorHAnsi"/>
          <w:lang w:val="fr-FR"/>
        </w:rPr>
        <w:t>’</w:t>
      </w:r>
      <w:r w:rsidRPr="00C73365">
        <w:rPr>
          <w:rFonts w:asciiTheme="minorHAnsi" w:hAnsiTheme="minorHAnsi" w:cstheme="minorHAnsi"/>
          <w:lang w:val="fr-FR"/>
        </w:rPr>
        <w:t>ordre du jour.</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Néanmoins, elle peut, en toutes circonstances, révoquer un ou plusieurs administrateurs et procéder à leur remplacement.</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ordre du jour de l</w:t>
      </w:r>
      <w:r w:rsidR="004572A0" w:rsidRPr="00C73365">
        <w:rPr>
          <w:rFonts w:asciiTheme="minorHAnsi" w:hAnsiTheme="minorHAnsi" w:cstheme="minorHAnsi"/>
          <w:lang w:val="fr-FR"/>
        </w:rPr>
        <w:t>’</w:t>
      </w:r>
      <w:r w:rsidRPr="00C73365">
        <w:rPr>
          <w:rFonts w:asciiTheme="minorHAnsi" w:hAnsiTheme="minorHAnsi" w:cstheme="minorHAnsi"/>
          <w:lang w:val="fr-FR"/>
        </w:rPr>
        <w:t>assemblée ne peut être modifié sur deuxième convocation.</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Lorsque l</w:t>
      </w:r>
      <w:r w:rsidR="004572A0" w:rsidRPr="00C73365">
        <w:rPr>
          <w:rFonts w:asciiTheme="minorHAnsi" w:hAnsiTheme="minorHAnsi" w:cstheme="minorHAnsi"/>
          <w:lang w:val="fr-FR"/>
        </w:rPr>
        <w:t>’</w:t>
      </w:r>
      <w:r w:rsidRPr="00C73365">
        <w:rPr>
          <w:rFonts w:asciiTheme="minorHAnsi" w:hAnsiTheme="minorHAnsi" w:cstheme="minorHAnsi"/>
          <w:lang w:val="fr-FR"/>
        </w:rPr>
        <w:t>assemblée est appelée à délibérer sur des modifications de l</w:t>
      </w:r>
      <w:r w:rsidR="004572A0" w:rsidRPr="00C73365">
        <w:rPr>
          <w:rFonts w:asciiTheme="minorHAnsi" w:hAnsiTheme="minorHAnsi" w:cstheme="minorHAnsi"/>
          <w:lang w:val="fr-FR"/>
        </w:rPr>
        <w:t>’</w:t>
      </w:r>
      <w:r w:rsidRPr="00C73365">
        <w:rPr>
          <w:rFonts w:asciiTheme="minorHAnsi" w:hAnsiTheme="minorHAnsi" w:cstheme="minorHAnsi"/>
          <w:lang w:val="fr-FR"/>
        </w:rPr>
        <w:t>organisation économique ou juridique de l</w:t>
      </w:r>
      <w:r w:rsidR="004572A0" w:rsidRPr="00C73365">
        <w:rPr>
          <w:rFonts w:asciiTheme="minorHAnsi" w:hAnsiTheme="minorHAnsi" w:cstheme="minorHAnsi"/>
          <w:lang w:val="fr-FR"/>
        </w:rPr>
        <w:t>’</w:t>
      </w:r>
      <w:r w:rsidRPr="00C73365">
        <w:rPr>
          <w:rFonts w:asciiTheme="minorHAnsi" w:hAnsiTheme="minorHAnsi" w:cstheme="minorHAnsi"/>
          <w:lang w:val="fr-FR"/>
        </w:rPr>
        <w:t>entreprise sur lesquelles le comité d</w:t>
      </w:r>
      <w:r w:rsidR="004572A0" w:rsidRPr="00C73365">
        <w:rPr>
          <w:rFonts w:asciiTheme="minorHAnsi" w:hAnsiTheme="minorHAnsi" w:cstheme="minorHAnsi"/>
          <w:lang w:val="fr-FR"/>
        </w:rPr>
        <w:t>’</w:t>
      </w:r>
      <w:r w:rsidRPr="00C73365">
        <w:rPr>
          <w:rFonts w:asciiTheme="minorHAnsi" w:hAnsiTheme="minorHAnsi" w:cstheme="minorHAnsi"/>
          <w:lang w:val="fr-FR"/>
        </w:rPr>
        <w:t>entreprise a été consulté en application de l</w:t>
      </w:r>
      <w:r w:rsidR="004572A0" w:rsidRPr="00C73365">
        <w:rPr>
          <w:rFonts w:asciiTheme="minorHAnsi" w:hAnsiTheme="minorHAnsi" w:cstheme="minorHAnsi"/>
          <w:lang w:val="fr-FR"/>
        </w:rPr>
        <w:t>’</w:t>
      </w:r>
      <w:r w:rsidRPr="00C73365">
        <w:rPr>
          <w:rFonts w:asciiTheme="minorHAnsi" w:hAnsiTheme="minorHAnsi" w:cstheme="minorHAnsi"/>
          <w:lang w:val="fr-FR"/>
        </w:rPr>
        <w:t>article L. 2323-6 du Code du travail, l</w:t>
      </w:r>
      <w:r w:rsidR="004572A0" w:rsidRPr="00C73365">
        <w:rPr>
          <w:rFonts w:asciiTheme="minorHAnsi" w:hAnsiTheme="minorHAnsi" w:cstheme="minorHAnsi"/>
          <w:lang w:val="fr-FR"/>
        </w:rPr>
        <w:t>’</w:t>
      </w:r>
      <w:r w:rsidRPr="00C73365">
        <w:rPr>
          <w:rFonts w:asciiTheme="minorHAnsi" w:hAnsiTheme="minorHAnsi" w:cstheme="minorHAnsi"/>
          <w:lang w:val="fr-FR"/>
        </w:rPr>
        <w:t>avis de celui-ci lui est communiqué.</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lastRenderedPageBreak/>
        <w:t>Article 25</w:t>
      </w:r>
      <w:r w:rsidRPr="00C73365">
        <w:rPr>
          <w:rFonts w:asciiTheme="minorHAnsi" w:hAnsiTheme="minorHAnsi" w:cstheme="minorHAnsi"/>
          <w:b/>
          <w:lang w:val="fr-FR"/>
        </w:rPr>
        <w:tab/>
        <w:t xml:space="preserve"> ADMISSION AUX ASSEMBLEES</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Tout actionnaire peut participer personnellement, par mandataire ou par correspondance, aux assemblées générales, de quelque nature qu</w:t>
      </w:r>
      <w:r w:rsidR="004572A0" w:rsidRPr="00C73365">
        <w:rPr>
          <w:rFonts w:asciiTheme="minorHAnsi" w:hAnsiTheme="minorHAnsi" w:cstheme="minorHAnsi"/>
          <w:lang w:val="fr-FR"/>
        </w:rPr>
        <w:t>’</w:t>
      </w:r>
      <w:r w:rsidRPr="00C73365">
        <w:rPr>
          <w:rFonts w:asciiTheme="minorHAnsi" w:hAnsiTheme="minorHAnsi" w:cstheme="minorHAnsi"/>
          <w:lang w:val="fr-FR"/>
        </w:rPr>
        <w:t>elles soient.</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Il est justifié du droit de participer aux Assemblées générales :</w:t>
      </w:r>
    </w:p>
    <w:p w:rsidR="00B740A8" w:rsidRPr="00C73365" w:rsidRDefault="00B740A8" w:rsidP="00434C49">
      <w:pPr>
        <w:pStyle w:val="ListParagraph"/>
        <w:widowControl w:val="0"/>
        <w:numPr>
          <w:ilvl w:val="0"/>
          <w:numId w:val="55"/>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pour les actions nominatives, par leur inscription, dans les délais fixés par la loi avant la tenue de l’Assemblée, dans les comptes de titres nominatifs tenus par la Société ;</w:t>
      </w:r>
    </w:p>
    <w:p w:rsidR="00B740A8" w:rsidRPr="00C73365" w:rsidRDefault="00B740A8" w:rsidP="00434C49">
      <w:pPr>
        <w:pStyle w:val="ListParagraph"/>
        <w:widowControl w:val="0"/>
        <w:numPr>
          <w:ilvl w:val="0"/>
          <w:numId w:val="55"/>
        </w:numPr>
        <w:autoSpaceDE w:val="0"/>
        <w:autoSpaceDN w:val="0"/>
        <w:adjustRightInd w:val="0"/>
        <w:spacing w:after="0"/>
        <w:contextualSpacing/>
        <w:rPr>
          <w:rFonts w:asciiTheme="minorHAnsi" w:hAnsiTheme="minorHAnsi" w:cstheme="minorHAnsi"/>
          <w:szCs w:val="20"/>
          <w:lang w:val="fr-FR"/>
        </w:rPr>
      </w:pPr>
      <w:r w:rsidRPr="00C73365">
        <w:rPr>
          <w:rFonts w:asciiTheme="minorHAnsi" w:hAnsiTheme="minorHAnsi" w:cstheme="minorHAnsi"/>
          <w:szCs w:val="20"/>
          <w:lang w:val="fr-FR"/>
        </w:rPr>
        <w:t>pour les actions au porteur, par leur enregistrement, dans les délais fixés par la loi avant la tenue de l’Assemblée, dans les comptes de titres au porteur tenus par l’intermédiaire habilité.</w:t>
      </w:r>
    </w:p>
    <w:p w:rsidR="00B740A8" w:rsidRPr="00C73365" w:rsidRDefault="00B740A8" w:rsidP="00B740A8">
      <w:pPr>
        <w:rPr>
          <w:rFonts w:asciiTheme="minorHAnsi" w:hAnsiTheme="minorHAnsi" w:cstheme="minorHAnsi"/>
          <w:lang w:val="fr-FR"/>
        </w:rPr>
      </w:pP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L’inscription ou l’enregistrement comptable des titres dans les comptes de titres au porteur tenus par l’intermédiaire habilité est constaté par une attestation de participation délivrée par ce dernier.</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actionnaires qui n</w:t>
      </w:r>
      <w:r w:rsidR="004572A0" w:rsidRPr="00C73365">
        <w:rPr>
          <w:rFonts w:asciiTheme="minorHAnsi" w:hAnsiTheme="minorHAnsi" w:cstheme="minorHAnsi"/>
          <w:lang w:val="fr-FR"/>
        </w:rPr>
        <w:t>’</w:t>
      </w:r>
      <w:r w:rsidRPr="00C73365">
        <w:rPr>
          <w:rFonts w:asciiTheme="minorHAnsi" w:hAnsiTheme="minorHAnsi" w:cstheme="minorHAnsi"/>
          <w:lang w:val="fr-FR"/>
        </w:rPr>
        <w:t>ont pas libéré leurs actions des versements exigibles n</w:t>
      </w:r>
      <w:r w:rsidR="004572A0" w:rsidRPr="00C73365">
        <w:rPr>
          <w:rFonts w:asciiTheme="minorHAnsi" w:hAnsiTheme="minorHAnsi" w:cstheme="minorHAnsi"/>
          <w:lang w:val="fr-FR"/>
        </w:rPr>
        <w:t>’</w:t>
      </w:r>
      <w:r w:rsidRPr="00C73365">
        <w:rPr>
          <w:rFonts w:asciiTheme="minorHAnsi" w:hAnsiTheme="minorHAnsi" w:cstheme="minorHAnsi"/>
          <w:lang w:val="fr-FR"/>
        </w:rPr>
        <w:t>ont pas accès à l</w:t>
      </w:r>
      <w:r w:rsidR="004572A0" w:rsidRPr="00C73365">
        <w:rPr>
          <w:rFonts w:asciiTheme="minorHAnsi" w:hAnsiTheme="minorHAnsi" w:cstheme="minorHAnsi"/>
          <w:lang w:val="fr-FR"/>
        </w:rPr>
        <w:t>’</w:t>
      </w:r>
      <w:r w:rsidRPr="00C73365">
        <w:rPr>
          <w:rFonts w:asciiTheme="minorHAnsi" w:hAnsiTheme="minorHAnsi" w:cstheme="minorHAnsi"/>
          <w:lang w:val="fr-FR"/>
        </w:rPr>
        <w:t>assemblée.</w:t>
      </w:r>
    </w:p>
    <w:p w:rsidR="00B740A8" w:rsidRPr="00C73365" w:rsidRDefault="00B740A8" w:rsidP="00B740A8">
      <w:pPr>
        <w:keepNext/>
        <w:keepLines/>
        <w:rPr>
          <w:rFonts w:asciiTheme="minorHAnsi" w:hAnsiTheme="minorHAnsi" w:cstheme="minorHAnsi"/>
          <w:b/>
          <w:lang w:val="fr-FR"/>
        </w:rPr>
      </w:pPr>
      <w:r w:rsidRPr="00C73365">
        <w:rPr>
          <w:rFonts w:asciiTheme="minorHAnsi" w:hAnsiTheme="minorHAnsi" w:cstheme="minorHAnsi"/>
          <w:b/>
          <w:lang w:val="fr-FR"/>
        </w:rPr>
        <w:t>Article 26</w:t>
      </w:r>
      <w:r w:rsidRPr="00C73365">
        <w:rPr>
          <w:rFonts w:asciiTheme="minorHAnsi" w:hAnsiTheme="minorHAnsi" w:cstheme="minorHAnsi"/>
          <w:b/>
          <w:lang w:val="fr-FR"/>
        </w:rPr>
        <w:tab/>
        <w:t xml:space="preserve"> REPRESENTATION DES ACTIONNAIRES ET VOTE PAR CORRESPONDANCE</w:t>
      </w:r>
    </w:p>
    <w:p w:rsidR="00B740A8" w:rsidRPr="00C73365" w:rsidRDefault="00B740A8" w:rsidP="00B740A8">
      <w:pPr>
        <w:keepNext/>
        <w:keepLines/>
        <w:ind w:left="1410" w:hanging="1410"/>
        <w:rPr>
          <w:rFonts w:asciiTheme="minorHAnsi" w:hAnsiTheme="minorHAnsi" w:cstheme="minorHAnsi"/>
          <w:b/>
          <w:lang w:val="fr-FR"/>
        </w:rPr>
      </w:pPr>
    </w:p>
    <w:p w:rsidR="00B740A8" w:rsidRPr="00C73365" w:rsidRDefault="00B740A8" w:rsidP="00846FBD">
      <w:pPr>
        <w:pStyle w:val="List"/>
        <w:rPr>
          <w:rFonts w:asciiTheme="minorHAnsi" w:hAnsiTheme="minorHAnsi" w:cstheme="minorHAnsi"/>
          <w:lang w:val="fr-FR"/>
        </w:rPr>
      </w:pPr>
      <w:r w:rsidRPr="00C73365">
        <w:rPr>
          <w:rFonts w:asciiTheme="minorHAnsi" w:hAnsiTheme="minorHAnsi" w:cstheme="minorHAnsi"/>
          <w:lang w:val="fr-FR"/>
        </w:rPr>
        <w:t>26.1</w:t>
      </w:r>
      <w:r w:rsidR="004572A0" w:rsidRPr="00C73365">
        <w:rPr>
          <w:rFonts w:asciiTheme="minorHAnsi" w:hAnsiTheme="minorHAnsi" w:cstheme="minorHAnsi"/>
          <w:lang w:val="fr-FR"/>
        </w:rPr>
        <w:tab/>
      </w:r>
      <w:r w:rsidR="00846FBD">
        <w:rPr>
          <w:rFonts w:asciiTheme="minorHAnsi" w:hAnsiTheme="minorHAnsi" w:cstheme="minorHAnsi"/>
          <w:lang w:val="fr-FR"/>
        </w:rPr>
        <w:t>Représentation des actionnaires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Un actionnaire peut se faire représenter par un autre toute personne de son choix.</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Tout actionnaire peut recevoir les pouvoirs émis par d</w:t>
      </w:r>
      <w:r w:rsidR="004572A0" w:rsidRPr="00C73365">
        <w:rPr>
          <w:rFonts w:asciiTheme="minorHAnsi" w:hAnsiTheme="minorHAnsi" w:cstheme="minorHAnsi"/>
          <w:lang w:val="fr-FR"/>
        </w:rPr>
        <w:t>’</w:t>
      </w:r>
      <w:r w:rsidRPr="00C73365">
        <w:rPr>
          <w:rFonts w:asciiTheme="minorHAnsi" w:hAnsiTheme="minorHAnsi" w:cstheme="minorHAnsi"/>
          <w:lang w:val="fr-FR"/>
        </w:rPr>
        <w:t>autres actionnaires en vue d</w:t>
      </w:r>
      <w:r w:rsidR="004572A0" w:rsidRPr="00C73365">
        <w:rPr>
          <w:rFonts w:asciiTheme="minorHAnsi" w:hAnsiTheme="minorHAnsi" w:cstheme="minorHAnsi"/>
          <w:lang w:val="fr-FR"/>
        </w:rPr>
        <w:t>’</w:t>
      </w:r>
      <w:r w:rsidRPr="00C73365">
        <w:rPr>
          <w:rFonts w:asciiTheme="minorHAnsi" w:hAnsiTheme="minorHAnsi" w:cstheme="minorHAnsi"/>
          <w:lang w:val="fr-FR"/>
        </w:rPr>
        <w:t>être représentés à une assemblée, sans autres limites que celles résultant des dispositions légales fixant le nombre maximal des voix dont peut disposer une même personne tant en son nom personnel que comme mandataire.</w:t>
      </w:r>
    </w:p>
    <w:p w:rsidR="00B740A8" w:rsidRPr="00C73365" w:rsidRDefault="00B740A8" w:rsidP="00846FBD">
      <w:pPr>
        <w:pStyle w:val="List"/>
        <w:rPr>
          <w:rFonts w:asciiTheme="minorHAnsi" w:hAnsiTheme="minorHAnsi" w:cstheme="minorHAnsi"/>
          <w:lang w:val="fr-FR"/>
        </w:rPr>
      </w:pPr>
      <w:r w:rsidRPr="00C73365">
        <w:rPr>
          <w:rFonts w:asciiTheme="minorHAnsi" w:hAnsiTheme="minorHAnsi" w:cstheme="minorHAnsi"/>
          <w:lang w:val="fr-FR"/>
        </w:rPr>
        <w:t>26.2</w:t>
      </w:r>
      <w:r w:rsidR="004572A0" w:rsidRPr="00C73365">
        <w:rPr>
          <w:rFonts w:asciiTheme="minorHAnsi" w:hAnsiTheme="minorHAnsi" w:cstheme="minorHAnsi"/>
          <w:lang w:val="fr-FR"/>
        </w:rPr>
        <w:tab/>
      </w:r>
      <w:r w:rsidR="00846FBD">
        <w:rPr>
          <w:rFonts w:asciiTheme="minorHAnsi" w:hAnsiTheme="minorHAnsi" w:cstheme="minorHAnsi"/>
          <w:lang w:val="fr-FR"/>
        </w:rPr>
        <w:t>Vote par correspondance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A compter de la convocation de l</w:t>
      </w:r>
      <w:r w:rsidR="004572A0" w:rsidRPr="00C73365">
        <w:rPr>
          <w:rFonts w:asciiTheme="minorHAnsi" w:hAnsiTheme="minorHAnsi" w:cstheme="minorHAnsi"/>
          <w:lang w:val="fr-FR"/>
        </w:rPr>
        <w:t>’</w:t>
      </w:r>
      <w:r w:rsidRPr="00C73365">
        <w:rPr>
          <w:rFonts w:asciiTheme="minorHAnsi" w:hAnsiTheme="minorHAnsi" w:cstheme="minorHAnsi"/>
          <w:lang w:val="fr-FR"/>
        </w:rPr>
        <w:t>assemblée, un formulaire de vote par correspondance et ses annexes sont remis ou adressés, aux frais de la Société, à tout actionnaire qui en fait la demande par écrit.</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La Société doit faire droit à toute demande déposée ou reçue au siège social au plus tard six (6) jours avant la date de réunion.</w:t>
      </w:r>
    </w:p>
    <w:p w:rsidR="00B740A8" w:rsidRPr="00C73365" w:rsidRDefault="00B740A8" w:rsidP="004834A9">
      <w:pPr>
        <w:pStyle w:val="ListContinue"/>
        <w:ind w:left="0"/>
        <w:rPr>
          <w:rFonts w:asciiTheme="minorHAnsi" w:hAnsiTheme="minorHAnsi" w:cstheme="minorHAnsi"/>
          <w:b/>
          <w:lang w:val="fr-FR"/>
        </w:rPr>
      </w:pPr>
      <w:r w:rsidRPr="00C73365">
        <w:rPr>
          <w:rFonts w:asciiTheme="minorHAnsi" w:hAnsiTheme="minorHAnsi" w:cstheme="minorHAnsi"/>
          <w:b/>
          <w:lang w:val="fr-FR"/>
        </w:rPr>
        <w:t xml:space="preserve">Article 27 </w:t>
      </w:r>
      <w:r w:rsidRPr="00C73365">
        <w:rPr>
          <w:rFonts w:asciiTheme="minorHAnsi" w:hAnsiTheme="minorHAnsi" w:cstheme="minorHAnsi"/>
          <w:b/>
          <w:lang w:val="fr-FR"/>
        </w:rPr>
        <w:tab/>
        <w:t>BUREAU DE L</w:t>
      </w:r>
      <w:r w:rsidR="004572A0" w:rsidRPr="00C73365">
        <w:rPr>
          <w:rFonts w:asciiTheme="minorHAnsi" w:hAnsiTheme="minorHAnsi" w:cstheme="minorHAnsi"/>
          <w:b/>
          <w:lang w:val="fr-FR"/>
        </w:rPr>
        <w:t>’</w:t>
      </w:r>
      <w:r w:rsidRPr="00C73365">
        <w:rPr>
          <w:rFonts w:asciiTheme="minorHAnsi" w:hAnsiTheme="minorHAnsi" w:cstheme="minorHAnsi"/>
          <w:b/>
          <w:lang w:val="fr-FR"/>
        </w:rPr>
        <w:t>ASSEMBLEE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assemblées d</w:t>
      </w:r>
      <w:r w:rsidR="004572A0" w:rsidRPr="00C73365">
        <w:rPr>
          <w:rFonts w:asciiTheme="minorHAnsi" w:hAnsiTheme="minorHAnsi" w:cstheme="minorHAnsi"/>
          <w:lang w:val="fr-FR"/>
        </w:rPr>
        <w:t>’</w:t>
      </w:r>
      <w:r w:rsidRPr="00C73365">
        <w:rPr>
          <w:rFonts w:asciiTheme="minorHAnsi" w:hAnsiTheme="minorHAnsi" w:cstheme="minorHAnsi"/>
          <w:lang w:val="fr-FR"/>
        </w:rPr>
        <w:t>actionnaires sont présidées par le Président du Conseil d’administration ou, en son absence, par un administrateur délégué à cet effet par le Conseil. A défaut, l</w:t>
      </w:r>
      <w:r w:rsidR="004572A0" w:rsidRPr="00C73365">
        <w:rPr>
          <w:rFonts w:asciiTheme="minorHAnsi" w:hAnsiTheme="minorHAnsi" w:cstheme="minorHAnsi"/>
          <w:lang w:val="fr-FR"/>
        </w:rPr>
        <w:t>’</w:t>
      </w:r>
      <w:r w:rsidRPr="00C73365">
        <w:rPr>
          <w:rFonts w:asciiTheme="minorHAnsi" w:hAnsiTheme="minorHAnsi" w:cstheme="minorHAnsi"/>
          <w:lang w:val="fr-FR"/>
        </w:rPr>
        <w:t>assemblée élit elle-même son président.</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En cas de convocation par les commissaires aux comptes, par un mandataire de justice ou par les liquidateurs, l</w:t>
      </w:r>
      <w:r w:rsidR="004572A0" w:rsidRPr="00C73365">
        <w:rPr>
          <w:rFonts w:asciiTheme="minorHAnsi" w:hAnsiTheme="minorHAnsi" w:cstheme="minorHAnsi"/>
          <w:lang w:val="fr-FR"/>
        </w:rPr>
        <w:t>’</w:t>
      </w:r>
      <w:r w:rsidRPr="00C73365">
        <w:rPr>
          <w:rFonts w:asciiTheme="minorHAnsi" w:hAnsiTheme="minorHAnsi" w:cstheme="minorHAnsi"/>
          <w:lang w:val="fr-FR"/>
        </w:rPr>
        <w:t>assemblée est présidée par celui ou par l</w:t>
      </w:r>
      <w:r w:rsidR="004572A0" w:rsidRPr="00C73365">
        <w:rPr>
          <w:rFonts w:asciiTheme="minorHAnsi" w:hAnsiTheme="minorHAnsi" w:cstheme="minorHAnsi"/>
          <w:lang w:val="fr-FR"/>
        </w:rPr>
        <w:t>’</w:t>
      </w:r>
      <w:r w:rsidRPr="00C73365">
        <w:rPr>
          <w:rFonts w:asciiTheme="minorHAnsi" w:hAnsiTheme="minorHAnsi" w:cstheme="minorHAnsi"/>
          <w:lang w:val="fr-FR"/>
        </w:rPr>
        <w:t>un de ceux qui l</w:t>
      </w:r>
      <w:r w:rsidR="004572A0" w:rsidRPr="00C73365">
        <w:rPr>
          <w:rFonts w:asciiTheme="minorHAnsi" w:hAnsiTheme="minorHAnsi" w:cstheme="minorHAnsi"/>
          <w:lang w:val="fr-FR"/>
        </w:rPr>
        <w:t>’</w:t>
      </w:r>
      <w:r w:rsidRPr="00C73365">
        <w:rPr>
          <w:rFonts w:asciiTheme="minorHAnsi" w:hAnsiTheme="minorHAnsi" w:cstheme="minorHAnsi"/>
          <w:lang w:val="fr-FR"/>
        </w:rPr>
        <w:t>ont convoquée.</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Sont scrutateurs de l</w:t>
      </w:r>
      <w:r w:rsidR="004572A0" w:rsidRPr="00C73365">
        <w:rPr>
          <w:rFonts w:asciiTheme="minorHAnsi" w:hAnsiTheme="minorHAnsi" w:cstheme="minorHAnsi"/>
          <w:lang w:val="fr-FR"/>
        </w:rPr>
        <w:t>’</w:t>
      </w:r>
      <w:r w:rsidRPr="00C73365">
        <w:rPr>
          <w:rFonts w:asciiTheme="minorHAnsi" w:hAnsiTheme="minorHAnsi" w:cstheme="minorHAnsi"/>
          <w:lang w:val="fr-FR"/>
        </w:rPr>
        <w:t>assemblée les deux membres de ladite assemblée disposant du plus grand nombre de voix et acceptant cette fonction.</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bureau de l</w:t>
      </w:r>
      <w:r w:rsidR="004572A0" w:rsidRPr="00C73365">
        <w:rPr>
          <w:rFonts w:asciiTheme="minorHAnsi" w:hAnsiTheme="minorHAnsi" w:cstheme="minorHAnsi"/>
          <w:lang w:val="fr-FR"/>
        </w:rPr>
        <w:t>’</w:t>
      </w:r>
      <w:r w:rsidRPr="00C73365">
        <w:rPr>
          <w:rFonts w:asciiTheme="minorHAnsi" w:hAnsiTheme="minorHAnsi" w:cstheme="minorHAnsi"/>
          <w:lang w:val="fr-FR"/>
        </w:rPr>
        <w:t>assemblée en désigne le secrétaire qui peut être choisi en dehors des actionnaires.</w:t>
      </w:r>
    </w:p>
    <w:p w:rsidR="00B740A8" w:rsidRPr="00C73365" w:rsidRDefault="00B740A8" w:rsidP="004572A0">
      <w:pPr>
        <w:pStyle w:val="ListContinue"/>
        <w:rPr>
          <w:rFonts w:asciiTheme="minorHAnsi" w:hAnsiTheme="minorHAnsi" w:cstheme="minorHAnsi"/>
          <w:b/>
          <w:lang w:val="fr-FR"/>
        </w:rPr>
      </w:pPr>
      <w:r w:rsidRPr="00C73365">
        <w:rPr>
          <w:rFonts w:asciiTheme="minorHAnsi" w:hAnsiTheme="minorHAnsi" w:cstheme="minorHAnsi"/>
          <w:b/>
          <w:lang w:val="fr-FR"/>
        </w:rPr>
        <w:t>Article 28</w:t>
      </w:r>
      <w:r w:rsidRPr="00C73365">
        <w:rPr>
          <w:rFonts w:asciiTheme="minorHAnsi" w:hAnsiTheme="minorHAnsi" w:cstheme="minorHAnsi"/>
          <w:b/>
          <w:lang w:val="fr-FR"/>
        </w:rPr>
        <w:tab/>
        <w:t xml:space="preserve"> PROCES-VERBAUX DES DELIBERATIONS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délibérations des assemblées d</w:t>
      </w:r>
      <w:r w:rsidR="004572A0" w:rsidRPr="00C73365">
        <w:rPr>
          <w:rFonts w:asciiTheme="minorHAnsi" w:hAnsiTheme="minorHAnsi" w:cstheme="minorHAnsi"/>
          <w:lang w:val="fr-FR"/>
        </w:rPr>
        <w:t>’</w:t>
      </w:r>
      <w:r w:rsidRPr="00C73365">
        <w:rPr>
          <w:rFonts w:asciiTheme="minorHAnsi" w:hAnsiTheme="minorHAnsi" w:cstheme="minorHAnsi"/>
          <w:lang w:val="fr-FR"/>
        </w:rPr>
        <w:t>actionnaires sont constatées par des procès-verbaux établis par les membres du bureau et signés par eux.</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Ils indiquent la date et le lieu de réunion, le mode de convocation, l</w:t>
      </w:r>
      <w:r w:rsidR="004572A0" w:rsidRPr="00C73365">
        <w:rPr>
          <w:rFonts w:asciiTheme="minorHAnsi" w:hAnsiTheme="minorHAnsi" w:cstheme="minorHAnsi"/>
          <w:lang w:val="fr-FR"/>
        </w:rPr>
        <w:t>’</w:t>
      </w:r>
      <w:r w:rsidRPr="00C73365">
        <w:rPr>
          <w:rFonts w:asciiTheme="minorHAnsi" w:hAnsiTheme="minorHAnsi" w:cstheme="minorHAnsi"/>
          <w:lang w:val="fr-FR"/>
        </w:rPr>
        <w:t>ordre du jour, la composition du bureau, le nombre d</w:t>
      </w:r>
      <w:r w:rsidR="004572A0" w:rsidRPr="00C73365">
        <w:rPr>
          <w:rFonts w:asciiTheme="minorHAnsi" w:hAnsiTheme="minorHAnsi" w:cstheme="minorHAnsi"/>
          <w:lang w:val="fr-FR"/>
        </w:rPr>
        <w:t>’</w:t>
      </w:r>
      <w:r w:rsidRPr="00C73365">
        <w:rPr>
          <w:rFonts w:asciiTheme="minorHAnsi" w:hAnsiTheme="minorHAnsi" w:cstheme="minorHAnsi"/>
          <w:lang w:val="fr-FR"/>
        </w:rPr>
        <w:t>actions participant au vote et le quorum atteint, les documents et rapports soumis à l</w:t>
      </w:r>
      <w:r w:rsidR="004572A0" w:rsidRPr="00C73365">
        <w:rPr>
          <w:rFonts w:asciiTheme="minorHAnsi" w:hAnsiTheme="minorHAnsi" w:cstheme="minorHAnsi"/>
          <w:lang w:val="fr-FR"/>
        </w:rPr>
        <w:t>’</w:t>
      </w:r>
      <w:r w:rsidRPr="00C73365">
        <w:rPr>
          <w:rFonts w:asciiTheme="minorHAnsi" w:hAnsiTheme="minorHAnsi" w:cstheme="minorHAnsi"/>
          <w:lang w:val="fr-FR"/>
        </w:rPr>
        <w:t>assemblée, un résumé des débats, le texte des résolutions mises aux voix et le résultat des votes.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procès-verbaux sont établis sur un registre spécial tenu au siège social dans les conditions réglementaires.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Si, à défaut du quorum requis, une assemblée ne peut délibérer régulièrement, il en est dressé procès-verbal par le bureau de ladite assemblée</w:t>
      </w:r>
      <w:r w:rsidR="00846FBD">
        <w:rPr>
          <w:rFonts w:asciiTheme="minorHAnsi" w:hAnsiTheme="minorHAnsi" w:cstheme="minorHAnsi"/>
          <w:lang w:val="fr-FR"/>
        </w:rPr>
        <w:t>.</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bookmarkStart w:id="1591" w:name="_Toc267998301"/>
      <w:bookmarkStart w:id="1592" w:name="_Toc271734117"/>
      <w:bookmarkStart w:id="1593" w:name="_Toc292135941"/>
      <w:r w:rsidRPr="00C73365">
        <w:rPr>
          <w:rFonts w:asciiTheme="minorHAnsi" w:hAnsiTheme="minorHAnsi" w:cstheme="minorHAnsi"/>
          <w:b/>
          <w:color w:val="7030A0"/>
          <w:lang w:val="fr-FR"/>
        </w:rPr>
        <w:t>Dispositifs permettant de retarder, différer ou empêcher un changement de contrôle</w:t>
      </w:r>
      <w:bookmarkEnd w:id="1591"/>
      <w:bookmarkEnd w:id="1592"/>
      <w:bookmarkEnd w:id="1593"/>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Les Statuts de la Société ne prévoient aucune règle particulière dérogeant au droit commun des sociétés.</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lastRenderedPageBreak/>
        <w:t>Déclarations de franchissement de seuils</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11.2 </w:t>
      </w:r>
      <w:r w:rsidRPr="00C73365">
        <w:rPr>
          <w:rFonts w:asciiTheme="minorHAnsi" w:hAnsiTheme="minorHAnsi" w:cstheme="minorHAnsi"/>
          <w:b/>
          <w:lang w:val="fr-FR"/>
        </w:rPr>
        <w:tab/>
        <w:t>Franchissement de seuil</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 xml:space="preserve">Outre les obligations légales d’informations, de franchissement de seuil et le cas échéant de déclaration d’intention, toute personne physique ou morale, toute entité juridique, agissant seule ou de concert, qui viendrait à détenir, de quelque manière que ce soit, au sens de l’article L. 233-7 et suivants du Code de commerce, directement ou indirectement, un nombre d’actions représentant une fraction égale à 2 % du capital et/ou des droits de vote de la Société, est tenue d’informer cette dernière du nombre total d’actions et de droits de vote ou de titres donnant accès à terme au capital de la Société qu’elle détient, directement ou indirectement ; par lettre recommandée avec demande d’avis de réception adressée au siège social, ou par tout autre moyen équivalent pour les actionnaires ou porteurs de titres résidents hors de France, dans un délai de cinq (5) jours de bourse à compter de la date du franchissement de ce seuil. </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Cette information est renouvelée pour la détention de chaque fraction additionnelle de 2 % du capital ou des droits de vote sans limitation.</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Cette obligation d’information s’applique dans les mêmes conditions que celles prévues ci-dessus chaque fois que la fraction du capital social et/ou des droits de vote possédée devient inférieure à un multiple de 2 % du capital ou des droits de vote.</w:t>
      </w:r>
    </w:p>
    <w:p w:rsidR="00B740A8" w:rsidRPr="00C73365" w:rsidRDefault="00B740A8" w:rsidP="004572A0">
      <w:pPr>
        <w:pStyle w:val="BodyText"/>
        <w:rPr>
          <w:rFonts w:asciiTheme="minorHAnsi" w:hAnsiTheme="minorHAnsi" w:cstheme="minorHAnsi"/>
          <w:lang w:val="fr-FR"/>
        </w:rPr>
      </w:pPr>
      <w:r w:rsidRPr="00C73365">
        <w:rPr>
          <w:rFonts w:asciiTheme="minorHAnsi" w:hAnsiTheme="minorHAnsi" w:cstheme="minorHAnsi"/>
          <w:lang w:val="fr-FR"/>
        </w:rPr>
        <w:t>A défaut d’avoir été régulièrement déclarées dans les conditions prévues ci-dessus, les actions excédant la fraction qui aurait dû être déclarée sont, à la demande, consignée dans le procès-verbal de l’Assemblée générale, d’un ou de plusieurs actionnaires représentant une fraction du capital ou des droits de vote de la Société au moins égale à 2 %, privées du droit de vote pour toute Assemblée d’actionnaires qui se tiendrait jusqu’à l’expiration d’une délai de deux (2) ans suivant la date de régularisation de la notification.</w:t>
      </w:r>
    </w:p>
    <w:p w:rsidR="00B740A8" w:rsidRPr="00C73365" w:rsidRDefault="00B740A8" w:rsidP="00434C49">
      <w:pPr>
        <w:pStyle w:val="ConmainL3"/>
        <w:numPr>
          <w:ilvl w:val="2"/>
          <w:numId w:val="102"/>
        </w:numPr>
        <w:ind w:left="1440"/>
        <w:rPr>
          <w:rFonts w:asciiTheme="minorHAnsi" w:hAnsiTheme="minorHAnsi" w:cstheme="minorHAnsi"/>
          <w:b/>
          <w:color w:val="7030A0"/>
          <w:lang w:val="fr-FR"/>
        </w:rPr>
      </w:pPr>
      <w:r w:rsidRPr="00C73365">
        <w:rPr>
          <w:rFonts w:asciiTheme="minorHAnsi" w:hAnsiTheme="minorHAnsi" w:cstheme="minorHAnsi"/>
          <w:b/>
          <w:color w:val="7030A0"/>
          <w:lang w:val="fr-FR"/>
        </w:rPr>
        <w:t>Modification du capital</w:t>
      </w:r>
    </w:p>
    <w:p w:rsidR="00B740A8" w:rsidRPr="00C73365" w:rsidRDefault="00B740A8"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Article 7 </w:t>
      </w:r>
      <w:r w:rsidRPr="00C73365">
        <w:rPr>
          <w:rFonts w:asciiTheme="minorHAnsi" w:hAnsiTheme="minorHAnsi" w:cstheme="minorHAnsi"/>
          <w:b/>
          <w:lang w:val="fr-FR"/>
        </w:rPr>
        <w:tab/>
        <w:t xml:space="preserve"> MODIFICATIONS DU CAPITAL</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1 -</w:t>
      </w:r>
      <w:r w:rsidR="004572A0" w:rsidRPr="00C73365">
        <w:rPr>
          <w:rFonts w:asciiTheme="minorHAnsi" w:hAnsiTheme="minorHAnsi" w:cstheme="minorHAnsi"/>
          <w:lang w:val="fr-FR"/>
        </w:rPr>
        <w:tab/>
      </w:r>
      <w:r w:rsidRPr="00C73365">
        <w:rPr>
          <w:rFonts w:asciiTheme="minorHAnsi" w:hAnsiTheme="minorHAnsi" w:cstheme="minorHAnsi"/>
          <w:lang w:val="fr-FR"/>
        </w:rPr>
        <w:t>Le capital social peut être augmenté par tous procédés et selon toutes modalités prévues par la loi.</w:t>
      </w:r>
    </w:p>
    <w:p w:rsidR="00B740A8" w:rsidRPr="00C73365" w:rsidRDefault="00B740A8" w:rsidP="00B740A8">
      <w:pPr>
        <w:rPr>
          <w:rFonts w:asciiTheme="minorHAnsi" w:hAnsiTheme="minorHAnsi" w:cstheme="minorHAnsi"/>
          <w:b/>
          <w:lang w:val="fr-FR"/>
        </w:rPr>
      </w:pP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extraordinaire est seule compétente pour décider, sur rapport du Conseil d’administration, une augmentation de capital.</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Les actionnaires ont, proportionnellement au montant de leurs actions, un droit de préférence à la souscription des actions de numéraire émises pour réaliser une augmentation de capital, droit auquel ils peuvent renoncer à titre individuel.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extraordinaire peut décider de supprimer ce droit préférentiel de souscription dans les conditions légales.</w:t>
      </w:r>
    </w:p>
    <w:p w:rsidR="00B740A8" w:rsidRPr="00C73365" w:rsidRDefault="00B740A8" w:rsidP="004572A0">
      <w:pPr>
        <w:pStyle w:val="List"/>
        <w:rPr>
          <w:rFonts w:asciiTheme="minorHAnsi" w:hAnsiTheme="minorHAnsi" w:cstheme="minorHAnsi"/>
          <w:lang w:val="fr-FR"/>
        </w:rPr>
      </w:pPr>
      <w:r w:rsidRPr="00C73365">
        <w:rPr>
          <w:rFonts w:asciiTheme="minorHAnsi" w:hAnsiTheme="minorHAnsi" w:cstheme="minorHAnsi"/>
          <w:lang w:val="fr-FR"/>
        </w:rPr>
        <w:t>2 -</w:t>
      </w:r>
      <w:r w:rsidR="004572A0" w:rsidRPr="00C73365">
        <w:rPr>
          <w:rFonts w:asciiTheme="minorHAnsi" w:hAnsiTheme="minorHAnsi" w:cstheme="minorHAnsi"/>
          <w:lang w:val="fr-FR"/>
        </w:rPr>
        <w:tab/>
      </w:r>
      <w:r w:rsidRPr="00C73365">
        <w:rPr>
          <w:rFonts w:asciiTheme="minorHAnsi" w:hAnsiTheme="minorHAnsi" w:cstheme="minorHAnsi"/>
          <w:lang w:val="fr-FR"/>
        </w:rPr>
        <w:t>La réduction du capital est autorisée ou décidée par l</w:t>
      </w:r>
      <w:r w:rsidR="004572A0" w:rsidRPr="00C73365">
        <w:rPr>
          <w:rFonts w:asciiTheme="minorHAnsi" w:hAnsiTheme="minorHAnsi" w:cstheme="minorHAnsi"/>
          <w:lang w:val="fr-FR"/>
        </w:rPr>
        <w:t>’</w:t>
      </w:r>
      <w:r w:rsidRPr="00C73365">
        <w:rPr>
          <w:rFonts w:asciiTheme="minorHAnsi" w:hAnsiTheme="minorHAnsi" w:cstheme="minorHAnsi"/>
          <w:lang w:val="fr-FR"/>
        </w:rPr>
        <w:t>Assemblée générale extraordinaire et ne peut en aucun cas porter atteinte à l</w:t>
      </w:r>
      <w:r w:rsidR="004572A0" w:rsidRPr="00C73365">
        <w:rPr>
          <w:rFonts w:asciiTheme="minorHAnsi" w:hAnsiTheme="minorHAnsi" w:cstheme="minorHAnsi"/>
          <w:lang w:val="fr-FR"/>
        </w:rPr>
        <w:t>’</w:t>
      </w:r>
      <w:r w:rsidRPr="00C73365">
        <w:rPr>
          <w:rFonts w:asciiTheme="minorHAnsi" w:hAnsiTheme="minorHAnsi" w:cstheme="minorHAnsi"/>
          <w:lang w:val="fr-FR"/>
        </w:rPr>
        <w:t>égalité des actionnaires.</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La réduction du capital à un montant inférieur au minimum légal ne peut être décidée que sous la condition suspensive d</w:t>
      </w:r>
      <w:r w:rsidR="004572A0" w:rsidRPr="00C73365">
        <w:rPr>
          <w:rFonts w:asciiTheme="minorHAnsi" w:hAnsiTheme="minorHAnsi" w:cstheme="minorHAnsi"/>
          <w:lang w:val="fr-FR"/>
        </w:rPr>
        <w:t>’</w:t>
      </w:r>
      <w:r w:rsidRPr="00C73365">
        <w:rPr>
          <w:rFonts w:asciiTheme="minorHAnsi" w:hAnsiTheme="minorHAnsi" w:cstheme="minorHAnsi"/>
          <w:lang w:val="fr-FR"/>
        </w:rPr>
        <w:t>une augmentation de capital destinée à amener celui-ci au moins au minimum légal, à moins que la Société ne se transforme en société d</w:t>
      </w:r>
      <w:r w:rsidR="004572A0" w:rsidRPr="00C73365">
        <w:rPr>
          <w:rFonts w:asciiTheme="minorHAnsi" w:hAnsiTheme="minorHAnsi" w:cstheme="minorHAnsi"/>
          <w:lang w:val="fr-FR"/>
        </w:rPr>
        <w:t>’</w:t>
      </w:r>
      <w:r w:rsidRPr="00C73365">
        <w:rPr>
          <w:rFonts w:asciiTheme="minorHAnsi" w:hAnsiTheme="minorHAnsi" w:cstheme="minorHAnsi"/>
          <w:lang w:val="fr-FR"/>
        </w:rPr>
        <w:t>une autre forme n</w:t>
      </w:r>
      <w:r w:rsidR="004572A0" w:rsidRPr="00C73365">
        <w:rPr>
          <w:rFonts w:asciiTheme="minorHAnsi" w:hAnsiTheme="minorHAnsi" w:cstheme="minorHAnsi"/>
          <w:lang w:val="fr-FR"/>
        </w:rPr>
        <w:t>’</w:t>
      </w:r>
      <w:r w:rsidRPr="00C73365">
        <w:rPr>
          <w:rFonts w:asciiTheme="minorHAnsi" w:hAnsiTheme="minorHAnsi" w:cstheme="minorHAnsi"/>
          <w:lang w:val="fr-FR"/>
        </w:rPr>
        <w:t>exigeant pas un capital supérieur au capital social après sa réduction.</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A défaut, tout intéressé peut demander en justice la dissolution de la Société. Celle-ci ne peut être prononcée si au jour où le Tribunal statue sur le fond, la régularisation a eu lieu.</w:t>
      </w:r>
    </w:p>
    <w:p w:rsidR="00B740A8" w:rsidRPr="00C73365" w:rsidRDefault="00B740A8" w:rsidP="00846FBD">
      <w:pPr>
        <w:pStyle w:val="ListContinue"/>
        <w:ind w:left="0"/>
        <w:rPr>
          <w:rFonts w:asciiTheme="minorHAnsi" w:hAnsiTheme="minorHAnsi" w:cstheme="minorHAnsi"/>
          <w:b/>
          <w:lang w:val="fr-FR"/>
        </w:rPr>
      </w:pPr>
      <w:r w:rsidRPr="00C73365">
        <w:rPr>
          <w:rFonts w:asciiTheme="minorHAnsi" w:hAnsiTheme="minorHAnsi" w:cstheme="minorHAnsi"/>
          <w:b/>
          <w:lang w:val="fr-FR"/>
        </w:rPr>
        <w:t>Article 8</w:t>
      </w:r>
      <w:r w:rsidRPr="00C73365">
        <w:rPr>
          <w:rFonts w:asciiTheme="minorHAnsi" w:hAnsiTheme="minorHAnsi" w:cstheme="minorHAnsi"/>
          <w:b/>
          <w:lang w:val="fr-FR"/>
        </w:rPr>
        <w:tab/>
        <w:t xml:space="preserve"> AMORTISSEMENT DU CAPITAL</w:t>
      </w:r>
    </w:p>
    <w:p w:rsidR="00B740A8" w:rsidRPr="00C73365" w:rsidRDefault="00B740A8" w:rsidP="00846FBD">
      <w:pPr>
        <w:pStyle w:val="ListContinue"/>
        <w:ind w:left="0"/>
        <w:rPr>
          <w:rFonts w:asciiTheme="minorHAnsi" w:hAnsiTheme="minorHAnsi" w:cstheme="minorHAnsi"/>
          <w:lang w:val="fr-FR"/>
        </w:rPr>
      </w:pPr>
      <w:r w:rsidRPr="00C73365">
        <w:rPr>
          <w:rFonts w:asciiTheme="minorHAnsi" w:hAnsiTheme="minorHAnsi" w:cstheme="minorHAnsi"/>
          <w:lang w:val="fr-FR"/>
        </w:rPr>
        <w:t>Le capital social pourra être amorti conformément aux dispositions des articles L. 225-198 et suivants du Code de commerce.</w:t>
      </w:r>
    </w:p>
    <w:p w:rsidR="00F46C7B" w:rsidRPr="00C73365" w:rsidRDefault="00F46C7B" w:rsidP="00B740A8">
      <w:pPr>
        <w:pStyle w:val="ConmainL1"/>
        <w:numPr>
          <w:ilvl w:val="0"/>
          <w:numId w:val="9"/>
        </w:numPr>
        <w:rPr>
          <w:rFonts w:asciiTheme="minorHAnsi" w:hAnsiTheme="minorHAnsi" w:cstheme="minorHAnsi"/>
          <w:sz w:val="22"/>
          <w:lang w:val="fr-FR"/>
        </w:rPr>
      </w:pPr>
      <w:bookmarkStart w:id="1594" w:name="_Toc401594146"/>
      <w:bookmarkStart w:id="1595" w:name="_Toc462673306"/>
      <w:bookmarkStart w:id="1596" w:name="_Toc467835655"/>
      <w:bookmarkStart w:id="1597" w:name="_Toc512863977"/>
      <w:bookmarkEnd w:id="1546"/>
      <w:r w:rsidRPr="00C73365">
        <w:rPr>
          <w:rFonts w:asciiTheme="minorHAnsi" w:hAnsiTheme="minorHAnsi" w:cstheme="minorHAnsi"/>
          <w:sz w:val="22"/>
          <w:lang w:val="fr-FR"/>
        </w:rPr>
        <w:lastRenderedPageBreak/>
        <w:t>CONTRATS IMPORTANTS</w:t>
      </w:r>
      <w:bookmarkEnd w:id="1594"/>
      <w:bookmarkEnd w:id="1595"/>
      <w:bookmarkEnd w:id="1596"/>
      <w:bookmarkEnd w:id="1597"/>
    </w:p>
    <w:p w:rsidR="00F46C7B" w:rsidRPr="00C73365" w:rsidRDefault="00F46C7B" w:rsidP="008D252A">
      <w:pPr>
        <w:pStyle w:val="ConmainL2"/>
        <w:numPr>
          <w:ilvl w:val="1"/>
          <w:numId w:val="9"/>
        </w:numPr>
        <w:rPr>
          <w:rFonts w:asciiTheme="minorHAnsi" w:hAnsiTheme="minorHAnsi" w:cstheme="minorHAnsi"/>
          <w:sz w:val="22"/>
          <w:lang w:val="fr-FR"/>
        </w:rPr>
      </w:pPr>
      <w:bookmarkStart w:id="1598" w:name="_Toc462673307"/>
      <w:bookmarkStart w:id="1599" w:name="_Toc467835656"/>
      <w:bookmarkStart w:id="1600" w:name="_Toc512863978"/>
      <w:r w:rsidRPr="00C73365">
        <w:rPr>
          <w:rFonts w:asciiTheme="minorHAnsi" w:hAnsiTheme="minorHAnsi" w:cstheme="minorHAnsi"/>
          <w:sz w:val="22"/>
          <w:lang w:val="fr-FR"/>
        </w:rPr>
        <w:t>Contrats de collaboration et de recherche et développement</w:t>
      </w:r>
      <w:bookmarkEnd w:id="1598"/>
      <w:bookmarkEnd w:id="1599"/>
      <w:bookmarkEnd w:id="1600"/>
    </w:p>
    <w:p w:rsidR="00F46C7B" w:rsidRPr="00C73365" w:rsidRDefault="00F46C7B" w:rsidP="004572A0">
      <w:pPr>
        <w:pStyle w:val="ListContinue2"/>
        <w:rPr>
          <w:rFonts w:asciiTheme="minorHAnsi" w:hAnsiTheme="minorHAnsi" w:cstheme="minorHAnsi"/>
          <w:lang w:val="fr-FR"/>
        </w:rPr>
        <w:sectPr w:rsidR="00F46C7B" w:rsidRPr="00C73365" w:rsidSect="007C607C">
          <w:headerReference w:type="even" r:id="rId105"/>
          <w:footerReference w:type="even" r:id="rId106"/>
          <w:pgSz w:w="11907" w:h="16840" w:code="9"/>
          <w:pgMar w:top="1134" w:right="1134" w:bottom="1134" w:left="1134" w:header="709" w:footer="709" w:gutter="0"/>
          <w:cols w:space="708"/>
          <w:docGrid w:linePitch="360"/>
        </w:sectPr>
      </w:pPr>
    </w:p>
    <w:p w:rsidR="00F46C7B" w:rsidRPr="00C73365" w:rsidRDefault="00F46C7B" w:rsidP="004572A0">
      <w:pPr>
        <w:pStyle w:val="ListContinue2"/>
        <w:rPr>
          <w:rFonts w:asciiTheme="minorHAnsi" w:hAnsiTheme="minorHAnsi" w:cstheme="minorHAnsi"/>
          <w:lang w:val="fr-FR"/>
        </w:rPr>
      </w:pPr>
      <w:r w:rsidRPr="00C73365">
        <w:rPr>
          <w:rFonts w:asciiTheme="minorHAnsi" w:hAnsiTheme="minorHAnsi" w:cstheme="minorHAnsi"/>
          <w:lang w:val="fr-FR"/>
        </w:rPr>
        <w:t>Les contrats les plus importants liés aux accords de collaboration, de recherche et développement ainsi que les contrats de licences sont listés et décrits au paragraphe 11.3 « Contrats de collaboration, de recherches, de prestations de service et de licences accordés par la Société ou concédés à cette dernière » du présent document de référence.</w:t>
      </w:r>
    </w:p>
    <w:p w:rsidR="00F46C7B" w:rsidRPr="00C73365" w:rsidRDefault="00F46C7B" w:rsidP="004572A0">
      <w:pPr>
        <w:pStyle w:val="ListContinue2"/>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567"/>
          <w:docGrid w:linePitch="360"/>
        </w:sectPr>
      </w:pPr>
    </w:p>
    <w:p w:rsidR="00F46C7B" w:rsidRPr="00C73365" w:rsidRDefault="00F46C7B" w:rsidP="009E5FDD">
      <w:pPr>
        <w:pStyle w:val="ConmainL2"/>
        <w:numPr>
          <w:ilvl w:val="1"/>
          <w:numId w:val="9"/>
        </w:numPr>
        <w:rPr>
          <w:rFonts w:asciiTheme="minorHAnsi" w:hAnsiTheme="minorHAnsi" w:cstheme="minorHAnsi"/>
          <w:sz w:val="22"/>
          <w:lang w:val="fr-FR"/>
        </w:rPr>
      </w:pPr>
      <w:bookmarkStart w:id="1601" w:name="_Toc460341075"/>
      <w:bookmarkStart w:id="1602" w:name="_Toc460341076"/>
      <w:bookmarkStart w:id="1603" w:name="_Toc460341077"/>
      <w:bookmarkStart w:id="1604" w:name="_Toc462673309"/>
      <w:bookmarkStart w:id="1605" w:name="_Toc467835658"/>
      <w:bookmarkStart w:id="1606" w:name="_Toc512863979"/>
      <w:bookmarkEnd w:id="1601"/>
      <w:bookmarkEnd w:id="1602"/>
      <w:bookmarkEnd w:id="1603"/>
      <w:r w:rsidRPr="00C73365">
        <w:rPr>
          <w:rFonts w:asciiTheme="minorHAnsi" w:hAnsiTheme="minorHAnsi" w:cstheme="minorHAnsi"/>
          <w:sz w:val="22"/>
          <w:lang w:val="fr-FR"/>
        </w:rPr>
        <w:t>Contrats de prestations de services et de mandat avec des « Clinical Research Organisation » (CRO), des laboratoires centralisés et des logisticiens cliniques</w:t>
      </w:r>
      <w:bookmarkEnd w:id="1604"/>
      <w:bookmarkEnd w:id="1605"/>
      <w:bookmarkEnd w:id="1606"/>
    </w:p>
    <w:p w:rsidR="00F46C7B" w:rsidRPr="00131ABF" w:rsidRDefault="00F46C7B" w:rsidP="00131ABF">
      <w:pPr>
        <w:pStyle w:val="ConmainL3"/>
        <w:numPr>
          <w:ilvl w:val="2"/>
          <w:numId w:val="9"/>
        </w:numPr>
        <w:spacing w:after="0"/>
        <w:ind w:left="1440"/>
        <w:rPr>
          <w:rFonts w:asciiTheme="minorHAnsi" w:hAnsiTheme="minorHAnsi" w:cstheme="minorHAnsi"/>
          <w:b/>
          <w:color w:val="7030A0"/>
          <w:lang w:val="fr-FR"/>
        </w:rPr>
      </w:pPr>
      <w:r w:rsidRPr="00131ABF">
        <w:rPr>
          <w:rFonts w:asciiTheme="minorHAnsi" w:hAnsiTheme="minorHAnsi" w:cstheme="minorHAnsi"/>
          <w:b/>
          <w:color w:val="7030A0"/>
          <w:lang w:val="fr-FR"/>
        </w:rPr>
        <w:t xml:space="preserve">Contrats concernant le candidat-médicament </w:t>
      </w:r>
      <w:r w:rsidR="00E32CFE" w:rsidRPr="00131ABF">
        <w:rPr>
          <w:rFonts w:asciiTheme="minorHAnsi" w:hAnsiTheme="minorHAnsi" w:cstheme="minorHAnsi"/>
          <w:b/>
          <w:color w:val="7030A0"/>
          <w:lang w:val="fr-FR"/>
        </w:rPr>
        <w:t>ABX464</w:t>
      </w:r>
    </w:p>
    <w:p w:rsidR="00F46C7B" w:rsidRPr="00C73365" w:rsidRDefault="00C255DF" w:rsidP="00C255DF">
      <w:pPr>
        <w:pStyle w:val="BodyTextIndent"/>
        <w:tabs>
          <w:tab w:val="left" w:pos="1177"/>
        </w:tabs>
        <w:ind w:left="0"/>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r>
        <w:rPr>
          <w:rFonts w:asciiTheme="minorHAnsi" w:hAnsiTheme="minorHAnsi" w:cstheme="minorHAnsi"/>
          <w:lang w:val="fr-FR"/>
        </w:rPr>
        <w:tab/>
      </w:r>
    </w:p>
    <w:p w:rsidR="00A112A0" w:rsidRPr="00C73365" w:rsidRDefault="00A112A0" w:rsidP="00434C49">
      <w:pPr>
        <w:pStyle w:val="ListParagraph"/>
        <w:numPr>
          <w:ilvl w:val="0"/>
          <w:numId w:val="54"/>
        </w:numPr>
        <w:spacing w:after="0"/>
        <w:rPr>
          <w:rFonts w:asciiTheme="minorHAnsi" w:hAnsiTheme="minorHAnsi" w:cstheme="minorHAnsi"/>
          <w:lang w:val="fr-FR"/>
        </w:rPr>
      </w:pPr>
      <w:r w:rsidRPr="00C73365">
        <w:rPr>
          <w:rFonts w:asciiTheme="minorHAnsi" w:hAnsiTheme="minorHAnsi" w:cstheme="minorHAnsi"/>
          <w:lang w:val="fr-FR"/>
        </w:rPr>
        <w:t>Contrats de Fabrication</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sous-traite auprès de PCAS la synthèse, la production et libération du principe actif du composé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Cette production est pour les études cliniques à venir avec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Le contrat a été signé le 16 mars 2016 pour une durée de 5 ans.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se réserve le droit de reporter ou de résilier toutes prestations à tout moment, sous réserve du paiement des prestations réalisées et des frais non révocables.</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sous-traite auprès de Delpharm la « mise en gélule » de ce principe actif, produit par PCAS, dans le cadre des essais à venir avec </w:t>
      </w:r>
      <w:r w:rsidR="00E32CFE" w:rsidRPr="00C73365">
        <w:rPr>
          <w:rFonts w:asciiTheme="minorHAnsi" w:hAnsiTheme="minorHAnsi" w:cstheme="minorHAnsi"/>
          <w:lang w:val="fr-FR"/>
        </w:rPr>
        <w:t>ABX464</w:t>
      </w:r>
      <w:r w:rsidRPr="00C73365">
        <w:rPr>
          <w:rFonts w:asciiTheme="minorHAnsi" w:hAnsiTheme="minorHAnsi" w:cstheme="minorHAnsi"/>
          <w:lang w:val="fr-FR"/>
        </w:rPr>
        <w:t>, pour l’instant sous forme de commandes signées respectivement les 10 mars 2016 et 4 juillet 2016.</w:t>
      </w:r>
    </w:p>
    <w:p w:rsidR="00A112A0" w:rsidRPr="00C73365" w:rsidRDefault="00A112A0" w:rsidP="00434C49">
      <w:pPr>
        <w:pStyle w:val="ListParagraph"/>
        <w:numPr>
          <w:ilvl w:val="0"/>
          <w:numId w:val="54"/>
        </w:numPr>
        <w:spacing w:after="0"/>
        <w:rPr>
          <w:rFonts w:asciiTheme="minorHAnsi" w:hAnsiTheme="minorHAnsi" w:cstheme="minorHAnsi"/>
          <w:szCs w:val="18"/>
          <w:lang w:val="fr-FR"/>
        </w:rPr>
      </w:pPr>
      <w:r w:rsidRPr="00C73365">
        <w:rPr>
          <w:rFonts w:asciiTheme="minorHAnsi" w:hAnsiTheme="minorHAnsi" w:cstheme="minorHAnsi"/>
          <w:szCs w:val="18"/>
          <w:lang w:val="fr-FR"/>
        </w:rPr>
        <w:t>Contrats de développement clinique</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ABX464-005</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s’est portée « promoteur » (au sens du code de la santé publique) d’une recherche biomédicale sur l’Homme relative au candidat médicament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et codifiée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-005. La conduite opérationnelle de cet essai clinique de sécurité, pharmacocinétique et pharmacodynamie est sous-traitées en Espagne auprès de la Fundacio Lluita contra la SIDA (« FLS ») en conformité avec les Bonnes Pratiques Cliniques et la réglementation applicable. Dans le cadre de cet essai clinique, les patients infectés par le VIH se verront administrer le candidat médicament </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pendant 28 jours en combinaison avec leur traitement antirétroviral. Des biopsies rectales seront collectées à différents intervalles pour mesurer l</w:t>
      </w:r>
      <w:r w:rsidR="004572A0" w:rsidRPr="00C73365">
        <w:rPr>
          <w:rFonts w:asciiTheme="minorHAnsi" w:hAnsiTheme="minorHAnsi" w:cstheme="minorHAnsi"/>
          <w:lang w:val="fr-FR"/>
        </w:rPr>
        <w:t>’</w:t>
      </w:r>
      <w:r w:rsidRPr="00C73365">
        <w:rPr>
          <w:rFonts w:asciiTheme="minorHAnsi" w:hAnsiTheme="minorHAnsi" w:cstheme="minorHAnsi"/>
          <w:lang w:val="fr-FR"/>
        </w:rPr>
        <w:t>effet d</w:t>
      </w:r>
      <w:r w:rsidR="004572A0" w:rsidRPr="00C73365">
        <w:rPr>
          <w:rFonts w:asciiTheme="minorHAnsi" w:hAnsiTheme="minorHAnsi" w:cstheme="minorHAnsi"/>
          <w:lang w:val="fr-FR"/>
        </w:rPr>
        <w:t>’</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sur les réservoirs du VIH qui se trouvent principalement dans les intestins. Cet essai clinique, qui sera menée à l</w:t>
      </w:r>
      <w:r w:rsidR="004572A0" w:rsidRPr="00C73365">
        <w:rPr>
          <w:rFonts w:asciiTheme="minorHAnsi" w:hAnsiTheme="minorHAnsi" w:cstheme="minorHAnsi"/>
          <w:lang w:val="fr-FR"/>
        </w:rPr>
        <w:t>’</w:t>
      </w:r>
      <w:r w:rsidRPr="00C73365">
        <w:rPr>
          <w:rFonts w:asciiTheme="minorHAnsi" w:hAnsiTheme="minorHAnsi" w:cstheme="minorHAnsi"/>
          <w:lang w:val="fr-FR"/>
        </w:rPr>
        <w:t>Hôpital Universitaire Germans Trias i Pujol à Badalona (Barcelone, Espagne), permettra de quantifier sur la durée la charge virale et le niveau d</w:t>
      </w:r>
      <w:r w:rsidR="004572A0" w:rsidRPr="00C73365">
        <w:rPr>
          <w:rFonts w:asciiTheme="minorHAnsi" w:hAnsiTheme="minorHAnsi" w:cstheme="minorHAnsi"/>
          <w:lang w:val="fr-FR"/>
        </w:rPr>
        <w:t>’</w:t>
      </w:r>
      <w:r w:rsidRPr="00C73365">
        <w:rPr>
          <w:rFonts w:asciiTheme="minorHAnsi" w:hAnsiTheme="minorHAnsi" w:cstheme="minorHAnsi"/>
          <w:lang w:val="fr-FR"/>
        </w:rPr>
        <w:t>inflammation dans le réservoir et ainsi de mieux comprendre l</w:t>
      </w:r>
      <w:r w:rsidR="004572A0" w:rsidRPr="00C73365">
        <w:rPr>
          <w:rFonts w:asciiTheme="minorHAnsi" w:hAnsiTheme="minorHAnsi" w:cstheme="minorHAnsi"/>
          <w:lang w:val="fr-FR"/>
        </w:rPr>
        <w:t>’</w:t>
      </w:r>
      <w:r w:rsidRPr="00C73365">
        <w:rPr>
          <w:rFonts w:asciiTheme="minorHAnsi" w:hAnsiTheme="minorHAnsi" w:cstheme="minorHAnsi"/>
          <w:lang w:val="fr-FR"/>
        </w:rPr>
        <w:t>efficacité durable d</w:t>
      </w:r>
      <w:r w:rsidR="004572A0" w:rsidRPr="00C73365">
        <w:rPr>
          <w:rFonts w:asciiTheme="minorHAnsi" w:hAnsiTheme="minorHAnsi" w:cstheme="minorHAnsi"/>
          <w:lang w:val="fr-FR"/>
        </w:rPr>
        <w:t>’</w:t>
      </w:r>
      <w:r w:rsidR="00E32CFE" w:rsidRPr="00C73365">
        <w:rPr>
          <w:rFonts w:asciiTheme="minorHAnsi" w:hAnsiTheme="minorHAnsi" w:cstheme="minorHAnsi"/>
          <w:lang w:val="fr-FR"/>
        </w:rPr>
        <w:t>ABX464</w:t>
      </w:r>
      <w:r w:rsidRPr="00C73365">
        <w:rPr>
          <w:rFonts w:asciiTheme="minorHAnsi" w:hAnsiTheme="minorHAnsi" w:cstheme="minorHAnsi"/>
          <w:lang w:val="fr-FR"/>
        </w:rPr>
        <w:t xml:space="preserve"> observée dans les modèles précliniques.</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Ces prestations cliniques sont réalisées sous l’emprise d’un contrat de prestations de services (« Clinical Study Services Agreement ») entre la Société et FLS d’effet au 7 novembre 2016 et d’échéance à la validation des résultats et du rapport final de l’essai clinique précitée, intervenant au plus tard le 6 mai 2018. Nonobstant, certaines obligations, notamment celles à la charge du prestataire relatives à la propriété intellectuelle, à la confidentialité, au droit d’audit, à l’archivage et aux autres obligations réglementaires survivent à l’échéance ou la résiliation dudit contrat.</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Au titre de ce contrat,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pourra suspendre ou interrompre l’essai clinique à tout moment. Dans ce cas,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devra au prestataire l</w:t>
      </w:r>
      <w:r w:rsidR="004572A0" w:rsidRPr="00C73365">
        <w:rPr>
          <w:rFonts w:asciiTheme="minorHAnsi" w:hAnsiTheme="minorHAnsi" w:cstheme="minorHAnsi"/>
          <w:lang w:val="fr-FR"/>
        </w:rPr>
        <w:t>’</w:t>
      </w:r>
      <w:r w:rsidRPr="00C73365">
        <w:rPr>
          <w:rFonts w:asciiTheme="minorHAnsi" w:hAnsiTheme="minorHAnsi" w:cstheme="minorHAnsi"/>
          <w:lang w:val="fr-FR"/>
        </w:rPr>
        <w:t>intégralité des prestations déjà réalisées ainsi que les coûts nécessaires à la clôture de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essai clinique en coordination entre les Parties. Chacune des parties pourra également interrompre le contrat à tout moment en respectant un préavis de 10 jours en cas de faute de l’autre partie qui n’aurait été réparée dans ce délai. </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ABX464- 101</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ABX464-101 est une étude clinique de preuve de concept de phase 2a dont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s’est portée « promoteur » (au sens du code de la santé publique) et visant à évaluer l</w:t>
      </w:r>
      <w:r w:rsidR="004572A0" w:rsidRPr="00C73365">
        <w:rPr>
          <w:rFonts w:asciiTheme="minorHAnsi" w:hAnsiTheme="minorHAnsi" w:cstheme="minorHAnsi"/>
          <w:lang w:val="fr-FR"/>
        </w:rPr>
        <w:t>’</w:t>
      </w:r>
      <w:r w:rsidRPr="00C73365">
        <w:rPr>
          <w:rFonts w:asciiTheme="minorHAnsi" w:hAnsiTheme="minorHAnsi" w:cstheme="minorHAnsi"/>
          <w:lang w:val="fr-FR"/>
        </w:rPr>
        <w:t>innocuité et l</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efficacité d’une dose quotidienne d’ABX464 50 mg par rapport à un placebo, chez des patients atteints de </w:t>
      </w:r>
      <w:r w:rsidR="00357A37" w:rsidRPr="00C73365">
        <w:rPr>
          <w:rFonts w:asciiTheme="minorHAnsi" w:hAnsiTheme="minorHAnsi" w:cstheme="minorHAnsi"/>
          <w:lang w:val="fr-FR"/>
        </w:rPr>
        <w:t>rectocolite hémorragique</w:t>
      </w:r>
      <w:r w:rsidRPr="00C73365">
        <w:rPr>
          <w:rFonts w:asciiTheme="minorHAnsi" w:hAnsiTheme="minorHAnsi" w:cstheme="minorHAnsi"/>
          <w:lang w:val="fr-FR"/>
        </w:rPr>
        <w:t xml:space="preserve"> modérée à sévère qui ont développé une intolérance ou n’ont pas répondu aux traitements immunomodulateurs, anti-TNFα, vedolizumab et/ou corticostéroïdes. </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conduite opérationnelle de cette étude est sous-traitée à Orion Santé SARL. Un contrat cadre (« Master Services Agreement ») a été conclu le 25 mai 2016 à cet effet pour une durée de trois ans (prolongée, le cas échéant, à la clôture effective de toute prestation convenue antérieurement à l’échéance du contrat cadre). Un contrat d’application (« Work </w:t>
      </w:r>
      <w:r w:rsidRPr="00C73365">
        <w:rPr>
          <w:rFonts w:asciiTheme="minorHAnsi" w:hAnsiTheme="minorHAnsi" w:cstheme="minorHAnsi"/>
          <w:lang w:val="fr-FR"/>
        </w:rPr>
        <w:lastRenderedPageBreak/>
        <w:t xml:space="preserve">Order ») a été initié le 22 août 2017pour la durée de l’essai.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pourra suspendre ou interrompre l’essai. Dans ce cas,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devra au prestataire l’intégralité des prestations déjà réalisées à la date de la notification de l’interruption de l’essai ainsi que les coûts nécessaires à la clôture de l’essai. Chacune des parties pourra également suspendre ou interrompre le contrat cadre et/ou toute prestation à tout moment en respectant un préavis de 3 mois.</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a sous-traité auprès de Bioclinica des prestations de services et de conseil notamment de suivi d’acquisition, de revue et d’analyse d’imagerie médicale à cet effet. Afin de couvrir lesdites prestations, un contrat cadre de prestations de services (« General Services Agreement ») d’effet au 28 août 2017 a été conclu pour la durée de l’essai clinique. </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Chacune des parties pourra suspendre ou interrompre les prestations ou le contrat dans son ensemble avec un préavis de trente (30) jours que ce soit pour cause ou sans cause. Dans l’hypothèse d’une résiliation sans cause de la part d’</w:t>
      </w:r>
      <w:r w:rsidR="00EF089C" w:rsidRPr="00C73365">
        <w:rPr>
          <w:rFonts w:asciiTheme="minorHAnsi" w:hAnsiTheme="minorHAnsi" w:cstheme="minorHAnsi"/>
          <w:lang w:val="fr-FR"/>
        </w:rPr>
        <w:t>ABIVAX</w:t>
      </w:r>
      <w:r w:rsidRPr="00C73365">
        <w:rPr>
          <w:rFonts w:asciiTheme="minorHAnsi" w:hAnsiTheme="minorHAnsi" w:cstheme="minorHAnsi"/>
          <w:lang w:val="fr-FR"/>
        </w:rPr>
        <w:t>, cette dernière devra au prestataire l’intégralité des prestations déjà réalisées à la date de la notification de l’interruption de l’essai, les frais non-révocables associés ainsi que, sous accord préalable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les coûts nécessaires à la clôture des prestations. </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Sous l’emprise du contrat cadre (« Master Service Agreement ») passé avec EuroFins Medinet et d’effet au 3 novembre 2017 pour une durée de cinq (5) ans,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confié à cette dernière la conduite des analyses biologiques relatives à l’essai clinique.  Un contrat d’application (« Work Order ») couvrant ces prestations a été signé le 26 mai 2017 pour leur durée de réalisation. Aux termes du contrat cadre précité,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peut résilier l’ensemble de la relation contractuelle avec ou sans motif, sous réserve du respect d’un préavis de 15 jours. Elle peut également reporter ou résilier un contrat d’application en particulier, sous réserve du respect d’un préavis de 10 jours. Dans ce cas, Eurofins Medinet aurait droit au paiement de l’intégralité des prestations déjà réalisées à la date de la notification ainsi qu’au remboursement des autres frais non-révocables qui auraient déjà été engagés à cette date.</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ABX464- 102</w:t>
      </w:r>
    </w:p>
    <w:p w:rsidR="00A112A0" w:rsidRPr="00C73365" w:rsidRDefault="00A112A0" w:rsidP="004572A0">
      <w:pPr>
        <w:pStyle w:val="BodyText"/>
        <w:rPr>
          <w:rFonts w:asciiTheme="minorHAnsi" w:hAnsiTheme="minorHAnsi" w:cstheme="minorHAnsi"/>
          <w:lang w:val="fr-FR"/>
        </w:rPr>
      </w:pPr>
      <w:r w:rsidRPr="00C73365">
        <w:rPr>
          <w:rFonts w:asciiTheme="minorHAnsi" w:hAnsiTheme="minorHAnsi" w:cstheme="minorHAnsi"/>
          <w:lang w:val="fr-FR"/>
        </w:rPr>
        <w:t xml:space="preserve">ABX464-102 est une étude de suivi de 12 mois dont la société s’est portée « promoteur » (au sens du code de la santé publique) et menée en ouvert sur des patients atteints de </w:t>
      </w:r>
      <w:r w:rsidR="00357A37" w:rsidRPr="00C73365">
        <w:rPr>
          <w:rFonts w:asciiTheme="minorHAnsi" w:hAnsiTheme="minorHAnsi" w:cstheme="minorHAnsi"/>
          <w:lang w:val="fr-FR"/>
        </w:rPr>
        <w:t>rectocolite hémorragique</w:t>
      </w:r>
      <w:r w:rsidRPr="00C73365">
        <w:rPr>
          <w:rFonts w:asciiTheme="minorHAnsi" w:hAnsiTheme="minorHAnsi" w:cstheme="minorHAnsi"/>
          <w:lang w:val="fr-FR"/>
        </w:rPr>
        <w:t xml:space="preserve"> bénéficiant de l</w:t>
      </w:r>
      <w:r w:rsidR="004572A0" w:rsidRPr="00C73365">
        <w:rPr>
          <w:rFonts w:asciiTheme="minorHAnsi" w:hAnsiTheme="minorHAnsi" w:cstheme="minorHAnsi"/>
          <w:lang w:val="fr-FR"/>
        </w:rPr>
        <w:t>’</w:t>
      </w:r>
      <w:r w:rsidRPr="00C73365">
        <w:rPr>
          <w:rFonts w:asciiTheme="minorHAnsi" w:hAnsiTheme="minorHAnsi" w:cstheme="minorHAnsi"/>
          <w:lang w:val="fr-FR"/>
        </w:rPr>
        <w:t>administration d</w:t>
      </w:r>
      <w:r w:rsidR="004572A0" w:rsidRPr="00C73365">
        <w:rPr>
          <w:rFonts w:asciiTheme="minorHAnsi" w:hAnsiTheme="minorHAnsi" w:cstheme="minorHAnsi"/>
          <w:lang w:val="fr-FR"/>
        </w:rPr>
        <w:t>’</w:t>
      </w:r>
      <w:r w:rsidRPr="00C73365">
        <w:rPr>
          <w:rFonts w:asciiTheme="minorHAnsi" w:hAnsiTheme="minorHAnsi" w:cstheme="minorHAnsi"/>
          <w:lang w:val="fr-FR"/>
        </w:rPr>
        <w:t>ABX464 dans l</w:t>
      </w:r>
      <w:r w:rsidR="004572A0" w:rsidRPr="00C73365">
        <w:rPr>
          <w:rFonts w:asciiTheme="minorHAnsi" w:hAnsiTheme="minorHAnsi" w:cstheme="minorHAnsi"/>
          <w:lang w:val="fr-FR"/>
        </w:rPr>
        <w:t>’</w:t>
      </w:r>
      <w:r w:rsidRPr="00C73365">
        <w:rPr>
          <w:rFonts w:asciiTheme="minorHAnsi" w:hAnsiTheme="minorHAnsi" w:cstheme="minorHAnsi"/>
          <w:lang w:val="fr-FR"/>
        </w:rPr>
        <w:t>étude ABX464-101.</w:t>
      </w:r>
    </w:p>
    <w:p w:rsidR="00A112A0" w:rsidRDefault="00A112A0" w:rsidP="00A96CCA">
      <w:pPr>
        <w:pStyle w:val="ListParagraph"/>
        <w:spacing w:after="0"/>
        <w:ind w:left="0"/>
        <w:rPr>
          <w:rFonts w:asciiTheme="minorHAnsi" w:hAnsiTheme="minorHAnsi" w:cstheme="minorHAnsi"/>
          <w:szCs w:val="18"/>
          <w:lang w:val="fr-FR"/>
        </w:rPr>
      </w:pPr>
      <w:r w:rsidRPr="00C73365">
        <w:rPr>
          <w:rFonts w:asciiTheme="minorHAnsi" w:hAnsiTheme="minorHAnsi" w:cstheme="minorHAnsi"/>
          <w:szCs w:val="18"/>
          <w:lang w:val="fr-FR"/>
        </w:rPr>
        <w:t xml:space="preserve">La conduite opérationnelle de cette étude est sous-traitée à Orion Santé SARL. Un contrat cadre (« Master Services Agreement ») a été conclu le 25 mai 2016 à cet effet pour une durée de trois ans (prolongée, le cas échéant, à la clôture effective de toute prestation convenue antérieurement à l’échéance du contrat cadre).  Un contrat d’application (« Work Order ») a été initié le 22 août 2017pour la durée de l’essai. </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pourra suspendre ou interrompre l’essai. Dans ce cas, </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devra au prestataire l’intégralité des prestations déjà réalisées à la date de la notification de l’interruption de l’essai ainsi que les coûts nécessaires à la clôture de l’essai. Chacune des parties pourra également suspendre ou interrompre le contrat cadre et/ou toute prestation à tout moment en respectant un préavis de 3 mois.</w:t>
      </w:r>
    </w:p>
    <w:p w:rsidR="00C255DF" w:rsidRPr="00C73365" w:rsidRDefault="00C255DF" w:rsidP="00A96CCA">
      <w:pPr>
        <w:pStyle w:val="ListParagraph"/>
        <w:spacing w:after="0"/>
        <w:ind w:left="0"/>
        <w:rPr>
          <w:rFonts w:asciiTheme="minorHAnsi" w:hAnsiTheme="minorHAnsi" w:cstheme="minorHAnsi"/>
          <w:szCs w:val="18"/>
          <w:lang w:val="fr-FR"/>
        </w:rPr>
      </w:pPr>
    </w:p>
    <w:p w:rsidR="00A112A0" w:rsidRPr="00131ABF" w:rsidRDefault="00F46C7B" w:rsidP="00131ABF">
      <w:pPr>
        <w:pStyle w:val="ConmainL3"/>
        <w:numPr>
          <w:ilvl w:val="2"/>
          <w:numId w:val="9"/>
        </w:numPr>
        <w:spacing w:after="0"/>
        <w:ind w:left="1440"/>
        <w:rPr>
          <w:rFonts w:asciiTheme="minorHAnsi" w:hAnsiTheme="minorHAnsi" w:cstheme="minorHAnsi"/>
          <w:b/>
          <w:color w:val="7030A0"/>
          <w:lang w:val="fr-FR"/>
        </w:rPr>
      </w:pPr>
      <w:r w:rsidRPr="00131ABF">
        <w:rPr>
          <w:rFonts w:asciiTheme="minorHAnsi" w:hAnsiTheme="minorHAnsi" w:cstheme="minorHAnsi"/>
          <w:b/>
          <w:color w:val="7030A0"/>
          <w:lang w:val="fr-FR"/>
        </w:rPr>
        <w:t xml:space="preserve">Contrats concernant le candidat-médicament </w:t>
      </w:r>
      <w:r w:rsidR="00E32CFE" w:rsidRPr="00131ABF">
        <w:rPr>
          <w:rFonts w:asciiTheme="minorHAnsi" w:hAnsiTheme="minorHAnsi" w:cstheme="minorHAnsi"/>
          <w:b/>
          <w:color w:val="7030A0"/>
          <w:lang w:val="fr-FR"/>
        </w:rPr>
        <w:t>ABX544</w:t>
      </w:r>
    </w:p>
    <w:p w:rsidR="00C12D8F" w:rsidRDefault="00C12D8F" w:rsidP="00A96CCA">
      <w:pPr>
        <w:pStyle w:val="ConmainL3"/>
        <w:keepNext w:val="0"/>
        <w:tabs>
          <w:tab w:val="clear" w:pos="360"/>
        </w:tabs>
        <w:spacing w:after="0"/>
        <w:ind w:left="0" w:firstLine="0"/>
        <w:outlineLvl w:val="9"/>
        <w:rPr>
          <w:rFonts w:asciiTheme="minorHAnsi" w:hAnsiTheme="minorHAnsi" w:cstheme="minorHAnsi"/>
          <w:szCs w:val="18"/>
          <w:lang w:val="fr-FR"/>
        </w:rPr>
      </w:pPr>
    </w:p>
    <w:p w:rsidR="00F46C7B" w:rsidRPr="00C73365" w:rsidRDefault="00F46C7B" w:rsidP="00A96CCA">
      <w:pPr>
        <w:pStyle w:val="ConmainL3"/>
        <w:keepNext w:val="0"/>
        <w:tabs>
          <w:tab w:val="clear" w:pos="360"/>
        </w:tabs>
        <w:spacing w:after="0"/>
        <w:ind w:left="0" w:firstLine="0"/>
        <w:outlineLvl w:val="9"/>
        <w:rPr>
          <w:rFonts w:asciiTheme="minorHAnsi" w:hAnsiTheme="minorHAnsi" w:cstheme="minorHAnsi"/>
          <w:szCs w:val="18"/>
          <w:lang w:val="fr-FR"/>
        </w:rPr>
      </w:pPr>
      <w:r w:rsidRPr="00C73365">
        <w:rPr>
          <w:rFonts w:asciiTheme="minorHAnsi" w:hAnsiTheme="minorHAnsi" w:cstheme="minorHAnsi"/>
          <w:szCs w:val="18"/>
          <w:lang w:val="fr-FR"/>
        </w:rPr>
        <w:t xml:space="preserve">ExpreS²ion et </w:t>
      </w:r>
      <w:r w:rsidR="00EF089C" w:rsidRPr="00C73365">
        <w:rPr>
          <w:rFonts w:asciiTheme="minorHAnsi" w:hAnsiTheme="minorHAnsi" w:cstheme="minorHAnsi"/>
          <w:szCs w:val="18"/>
          <w:lang w:val="fr-FR"/>
        </w:rPr>
        <w:t>ABIVAX</w:t>
      </w:r>
      <w:r w:rsidRPr="00C73365">
        <w:rPr>
          <w:rFonts w:asciiTheme="minorHAnsi" w:hAnsiTheme="minorHAnsi" w:cstheme="minorHAnsi"/>
          <w:szCs w:val="18"/>
          <w:lang w:val="fr-FR"/>
        </w:rPr>
        <w:t xml:space="preserve"> ont signé en date du 7 décembre 2016 un accord de service sur le processus de développement ainsi qu’un descriptif des modalités d’un accord de licence pour la plateforme d’ExpreS²ion pour </w:t>
      </w:r>
      <w:r w:rsidR="00E32CFE" w:rsidRPr="00C73365">
        <w:rPr>
          <w:rFonts w:asciiTheme="minorHAnsi" w:hAnsiTheme="minorHAnsi" w:cstheme="minorHAnsi"/>
          <w:szCs w:val="18"/>
          <w:lang w:val="fr-FR"/>
        </w:rPr>
        <w:t>ABX544</w:t>
      </w:r>
      <w:r w:rsidRPr="00C73365">
        <w:rPr>
          <w:rFonts w:asciiTheme="minorHAnsi" w:hAnsiTheme="minorHAnsi" w:cstheme="minorHAnsi"/>
          <w:szCs w:val="18"/>
          <w:lang w:val="fr-FR"/>
        </w:rPr>
        <w:t xml:space="preserve"> qui spécifie les modalités et conditions d’une licence commerciale sur la plateforme technologique propriétaire d’ExpreS2ion, </w:t>
      </w:r>
    </w:p>
    <w:p w:rsidR="00F46C7B" w:rsidRPr="00C73365" w:rsidRDefault="00F46C7B" w:rsidP="00A96CCA">
      <w:pPr>
        <w:pStyle w:val="ConmainL3"/>
        <w:tabs>
          <w:tab w:val="clear" w:pos="360"/>
        </w:tabs>
        <w:spacing w:after="0"/>
        <w:ind w:left="0" w:firstLine="0"/>
        <w:outlineLvl w:val="9"/>
        <w:rPr>
          <w:rFonts w:asciiTheme="minorHAnsi" w:hAnsiTheme="minorHAnsi" w:cstheme="minorHAnsi"/>
          <w:szCs w:val="18"/>
          <w:lang w:val="fr-FR"/>
        </w:rPr>
      </w:pPr>
      <w:r w:rsidRPr="00C73365">
        <w:rPr>
          <w:rFonts w:asciiTheme="minorHAnsi" w:hAnsiTheme="minorHAnsi" w:cstheme="minorHAnsi"/>
          <w:szCs w:val="18"/>
          <w:lang w:val="fr-FR"/>
        </w:rPr>
        <w:t>Selon les termes de l’accord de service, ExpreS²ion développera le processus de la production BPF d’un antigène du virus Ebola nécessaire à la production d’</w:t>
      </w:r>
      <w:r w:rsidR="00E32CFE" w:rsidRPr="00C73365">
        <w:rPr>
          <w:rFonts w:asciiTheme="minorHAnsi" w:hAnsiTheme="minorHAnsi" w:cstheme="minorHAnsi"/>
          <w:szCs w:val="18"/>
          <w:lang w:val="fr-FR"/>
        </w:rPr>
        <w:t>ABX544</w:t>
      </w:r>
      <w:r w:rsidRPr="00C73365">
        <w:rPr>
          <w:rFonts w:asciiTheme="minorHAnsi" w:hAnsiTheme="minorHAnsi" w:cstheme="minorHAnsi"/>
          <w:szCs w:val="18"/>
          <w:lang w:val="fr-FR"/>
        </w:rPr>
        <w:t xml:space="preserve">. </w:t>
      </w:r>
    </w:p>
    <w:p w:rsidR="00FE5FB1" w:rsidRDefault="00F46C7B" w:rsidP="00A96CCA">
      <w:pPr>
        <w:pStyle w:val="ConmainL3"/>
        <w:tabs>
          <w:tab w:val="clear" w:pos="360"/>
        </w:tabs>
        <w:spacing w:after="0"/>
        <w:ind w:left="0" w:firstLine="0"/>
        <w:outlineLvl w:val="9"/>
        <w:rPr>
          <w:rFonts w:asciiTheme="minorHAnsi" w:hAnsiTheme="minorHAnsi" w:cstheme="minorHAnsi"/>
          <w:szCs w:val="18"/>
          <w:lang w:val="fr-FR"/>
        </w:rPr>
      </w:pPr>
      <w:r w:rsidRPr="00C73365">
        <w:rPr>
          <w:rFonts w:asciiTheme="minorHAnsi" w:hAnsiTheme="minorHAnsi" w:cstheme="minorHAnsi"/>
          <w:szCs w:val="18"/>
          <w:lang w:val="fr-FR"/>
        </w:rPr>
        <w:t xml:space="preserve">L’accord de licence correspondant </w:t>
      </w:r>
      <w:r w:rsidR="009F7082" w:rsidRPr="00C73365">
        <w:rPr>
          <w:rFonts w:asciiTheme="minorHAnsi" w:hAnsiTheme="minorHAnsi" w:cstheme="minorHAnsi"/>
          <w:szCs w:val="18"/>
          <w:lang w:val="fr-FR"/>
        </w:rPr>
        <w:t>a été signé.</w:t>
      </w:r>
      <w:r w:rsidRPr="00C73365">
        <w:rPr>
          <w:rFonts w:asciiTheme="minorHAnsi" w:hAnsiTheme="minorHAnsi" w:cstheme="minorHAnsi"/>
          <w:szCs w:val="18"/>
          <w:lang w:val="fr-FR"/>
        </w:rPr>
        <w:t xml:space="preserve"> </w:t>
      </w:r>
    </w:p>
    <w:p w:rsidR="00C255DF" w:rsidRPr="00C73365" w:rsidRDefault="00C255DF" w:rsidP="00A96CCA">
      <w:pPr>
        <w:pStyle w:val="ConmainL3"/>
        <w:tabs>
          <w:tab w:val="clear" w:pos="360"/>
        </w:tabs>
        <w:spacing w:after="0"/>
        <w:ind w:left="0" w:firstLine="0"/>
        <w:outlineLvl w:val="9"/>
        <w:rPr>
          <w:rFonts w:asciiTheme="minorHAnsi" w:hAnsiTheme="minorHAnsi" w:cstheme="minorHAnsi"/>
          <w:szCs w:val="18"/>
          <w:lang w:val="fr-FR"/>
        </w:rPr>
      </w:pPr>
    </w:p>
    <w:p w:rsidR="00FC5DE4" w:rsidRPr="00131ABF" w:rsidRDefault="00FC5DE4" w:rsidP="00131ABF">
      <w:pPr>
        <w:pStyle w:val="ConmainL3"/>
        <w:numPr>
          <w:ilvl w:val="2"/>
          <w:numId w:val="9"/>
        </w:numPr>
        <w:spacing w:after="0"/>
        <w:ind w:left="1440"/>
        <w:rPr>
          <w:rFonts w:asciiTheme="minorHAnsi" w:hAnsiTheme="minorHAnsi" w:cstheme="minorHAnsi"/>
          <w:b/>
          <w:color w:val="7030A0"/>
          <w:lang w:val="fr-FR"/>
        </w:rPr>
      </w:pPr>
      <w:r w:rsidRPr="00131ABF">
        <w:rPr>
          <w:rFonts w:asciiTheme="minorHAnsi" w:hAnsiTheme="minorHAnsi" w:cstheme="minorHAnsi"/>
          <w:b/>
          <w:color w:val="7030A0"/>
          <w:lang w:val="fr-FR"/>
        </w:rPr>
        <w:t xml:space="preserve">Contrats concernant le candidat-médicament </w:t>
      </w:r>
      <w:r w:rsidR="00E32CFE" w:rsidRPr="00131ABF">
        <w:rPr>
          <w:rFonts w:asciiTheme="minorHAnsi" w:hAnsiTheme="minorHAnsi" w:cstheme="minorHAnsi"/>
          <w:b/>
          <w:color w:val="7030A0"/>
          <w:lang w:val="fr-FR"/>
        </w:rPr>
        <w:t>ABX196</w:t>
      </w:r>
    </w:p>
    <w:p w:rsidR="00C12D8F" w:rsidRDefault="00C12D8F" w:rsidP="004572A0">
      <w:pPr>
        <w:pStyle w:val="BodyText"/>
        <w:rPr>
          <w:rFonts w:asciiTheme="minorHAnsi" w:hAnsiTheme="minorHAnsi" w:cstheme="minorHAnsi"/>
          <w:lang w:val="fr-FR"/>
        </w:rPr>
      </w:pPr>
    </w:p>
    <w:p w:rsidR="007D1D8D" w:rsidRPr="00C73365" w:rsidRDefault="007D1D8D" w:rsidP="004572A0">
      <w:pPr>
        <w:pStyle w:val="BodyText"/>
        <w:rPr>
          <w:rFonts w:asciiTheme="minorHAnsi" w:hAnsiTheme="minorHAnsi" w:cstheme="minorHAnsi"/>
          <w:lang w:val="fr-FR"/>
        </w:rPr>
      </w:pPr>
      <w:r w:rsidRPr="00C73365">
        <w:rPr>
          <w:rFonts w:asciiTheme="minorHAnsi" w:hAnsiTheme="minorHAnsi" w:cstheme="minorHAnsi"/>
          <w:lang w:val="fr-FR"/>
        </w:rPr>
        <w:t xml:space="preserve">Des travaux d’optimisation et de modification des procédés de fabrication du produit et la synthèse de la matière de départ du produit sous Bonnes Pratiques de Fabrication ont été sous-traités à la société Dextra par l’intermédiaire de bons de commande contresignés par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rsidR="00FC5DE4" w:rsidRPr="00131ABF" w:rsidRDefault="00D10EEF" w:rsidP="00131ABF">
      <w:pPr>
        <w:pStyle w:val="ConmainL3"/>
        <w:numPr>
          <w:ilvl w:val="2"/>
          <w:numId w:val="9"/>
        </w:numPr>
        <w:spacing w:after="0"/>
        <w:ind w:left="1440"/>
        <w:rPr>
          <w:rFonts w:asciiTheme="minorHAnsi" w:hAnsiTheme="minorHAnsi" w:cstheme="minorHAnsi"/>
          <w:b/>
          <w:color w:val="7030A0"/>
          <w:lang w:val="fr-FR"/>
        </w:rPr>
      </w:pPr>
      <w:r w:rsidRPr="00131ABF">
        <w:rPr>
          <w:rFonts w:asciiTheme="minorHAnsi" w:hAnsiTheme="minorHAnsi" w:cstheme="minorHAnsi"/>
          <w:b/>
          <w:color w:val="7030A0"/>
          <w:lang w:val="fr-FR"/>
        </w:rPr>
        <w:t>C</w:t>
      </w:r>
      <w:r w:rsidR="00FC5DE4" w:rsidRPr="00131ABF">
        <w:rPr>
          <w:rFonts w:asciiTheme="minorHAnsi" w:hAnsiTheme="minorHAnsi" w:cstheme="minorHAnsi"/>
          <w:b/>
          <w:color w:val="7030A0"/>
          <w:lang w:val="fr-FR"/>
        </w:rPr>
        <w:t>ontrats concernant la recherche</w:t>
      </w:r>
    </w:p>
    <w:p w:rsidR="00C12D8F" w:rsidRDefault="00C12D8F" w:rsidP="004572A0">
      <w:pPr>
        <w:pStyle w:val="BodyText"/>
        <w:rPr>
          <w:rFonts w:asciiTheme="minorHAnsi" w:hAnsiTheme="minorHAnsi" w:cstheme="minorHAnsi"/>
          <w:lang w:val="fr-FR"/>
        </w:rPr>
      </w:pPr>
    </w:p>
    <w:p w:rsidR="007D1D8D" w:rsidRPr="00C73365" w:rsidRDefault="007D1D8D"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La plateforme antivirale d’</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est basée sur une technologie visant à inhiber la biogenèse d’ARNm et sa chimiothèque composée de plus de 1</w:t>
      </w:r>
      <w:r w:rsidR="006035D0">
        <w:rPr>
          <w:rFonts w:asciiTheme="minorHAnsi" w:hAnsiTheme="minorHAnsi" w:cstheme="minorHAnsi"/>
          <w:lang w:val="fr-FR"/>
        </w:rPr>
        <w:t>2</w:t>
      </w:r>
      <w:r w:rsidRPr="00C73365">
        <w:rPr>
          <w:rFonts w:asciiTheme="minorHAnsi" w:hAnsiTheme="minorHAnsi" w:cstheme="minorHAnsi"/>
          <w:lang w:val="fr-FR"/>
        </w:rPr>
        <w:t xml:space="preserve">00 petites molécules. </w:t>
      </w:r>
    </w:p>
    <w:p w:rsidR="007D1D8D" w:rsidRPr="00C73365" w:rsidRDefault="007D1D8D"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collaboration entre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Evotec vise à accélérer de manière efficace la découverte et le développement préliminaire de petites molécules. La société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identifie les cibles et assure l’identification initiale de candidats médicaments ; la société Evotec s’appuie sur sa plateforme industrielle de pointe en matière de découverte de médicaments en optimisant les candidats médicaments et en menant des études préliminaires. Les cibles d’infections virales causées par le VRS, la grippe et la dengue ont déjà été identifiées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font actuellement l’objet d’évaluations en vue de prochains développements dans le cadre de ce partenariat.</w:t>
      </w:r>
    </w:p>
    <w:p w:rsidR="007D1D8D"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7D1D8D" w:rsidRPr="00C73365">
        <w:rPr>
          <w:rFonts w:asciiTheme="minorHAnsi" w:hAnsiTheme="minorHAnsi" w:cstheme="minorHAnsi"/>
          <w:lang w:val="fr-FR"/>
        </w:rPr>
        <w:t xml:space="preserve"> mène des études d’identification de nouvelles cibles ainsi que des études pharmacologiques in vitro et in vivo. Evotec dirige les travaux de recherche sur la conception et l’implémentation de la chimie médicinale, la pharmacologie, l’ADME (absorption, distribution, métabolisme et excrétion) ainsi que sur la chimie computationnelle, les modes d’action et l’identification des cibles moléculaires.</w:t>
      </w:r>
    </w:p>
    <w:p w:rsidR="007D1D8D" w:rsidRPr="00C73365" w:rsidRDefault="007D1D8D"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Les droits commerciaux de candidats médicaments issus de cette collaboration seront détenus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Ce partenariat sera, en partie, soutenu par le financement obtenu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en janvier 2017 dans le cadre de l’appel à projets « Projets de R&amp;D Structurants Pour la Compétitivité » (PSPC) du Programme d’Investissement d’Avenir (PIA). Le programme est piloté par le Commissariat Général de l’Investissement et opéré par </w:t>
      </w:r>
      <w:r w:rsidR="001479F8">
        <w:rPr>
          <w:rFonts w:asciiTheme="minorHAnsi" w:hAnsiTheme="minorHAnsi" w:cstheme="minorHAnsi"/>
          <w:lang w:val="fr-FR"/>
        </w:rPr>
        <w:t>Bpifrance</w:t>
      </w:r>
      <w:r w:rsidRPr="00C73365">
        <w:rPr>
          <w:rFonts w:asciiTheme="minorHAnsi" w:hAnsiTheme="minorHAnsi" w:cstheme="minorHAnsi"/>
          <w:lang w:val="fr-FR"/>
        </w:rPr>
        <w:t>.</w:t>
      </w:r>
    </w:p>
    <w:p w:rsidR="00F46C7B" w:rsidRPr="00C73365" w:rsidRDefault="00F46C7B" w:rsidP="009E5FDD">
      <w:pPr>
        <w:pStyle w:val="ConmainL2"/>
        <w:numPr>
          <w:ilvl w:val="1"/>
          <w:numId w:val="9"/>
        </w:numPr>
        <w:rPr>
          <w:rFonts w:asciiTheme="minorHAnsi" w:hAnsiTheme="minorHAnsi" w:cstheme="minorHAnsi"/>
          <w:sz w:val="22"/>
          <w:lang w:val="fr-FR"/>
        </w:rPr>
      </w:pPr>
      <w:bookmarkStart w:id="1607" w:name="_Toc462673310"/>
      <w:bookmarkStart w:id="1608" w:name="_Toc467835659"/>
      <w:bookmarkStart w:id="1609" w:name="_Toc512863980"/>
      <w:r w:rsidRPr="00C73365">
        <w:rPr>
          <w:rFonts w:asciiTheme="minorHAnsi" w:hAnsiTheme="minorHAnsi" w:cstheme="minorHAnsi"/>
          <w:sz w:val="22"/>
          <w:lang w:val="fr-FR"/>
        </w:rPr>
        <w:t>Contrat de cession de marque</w:t>
      </w:r>
      <w:bookmarkEnd w:id="1607"/>
      <w:bookmarkEnd w:id="1608"/>
      <w:bookmarkEnd w:id="1609"/>
    </w:p>
    <w:p w:rsidR="00F46C7B" w:rsidRPr="00C73365" w:rsidRDefault="00F46C7B" w:rsidP="004572A0">
      <w:pPr>
        <w:pStyle w:val="ListContinue"/>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rsidR="00F46C7B" w:rsidRPr="00C73365" w:rsidRDefault="00F46C7B" w:rsidP="006035D0">
      <w:pPr>
        <w:rPr>
          <w:lang w:val="fr-FR"/>
        </w:rPr>
        <w:sectPr w:rsidR="00F46C7B" w:rsidRPr="00C73365" w:rsidSect="007C607C">
          <w:type w:val="continuous"/>
          <w:pgSz w:w="11907" w:h="16840" w:code="9"/>
          <w:pgMar w:top="1134" w:right="1134" w:bottom="1134" w:left="1134" w:header="709" w:footer="709" w:gutter="0"/>
          <w:cols w:space="567"/>
          <w:docGrid w:linePitch="360"/>
        </w:sectPr>
      </w:pPr>
      <w:r w:rsidRPr="00C93577">
        <w:rPr>
          <w:lang w:val="fr-FR"/>
        </w:rPr>
        <w:t xml:space="preserve">Un contrat de cession de marque a été conclu avec effet en date du 23 février 2015 avec Truffle Capital aux termes duquel Truffle Capital cède à </w:t>
      </w:r>
      <w:r w:rsidR="00EF089C" w:rsidRPr="00C93577">
        <w:rPr>
          <w:lang w:val="fr-FR"/>
        </w:rPr>
        <w:t>ABIVAX</w:t>
      </w:r>
      <w:r w:rsidRPr="00C93577">
        <w:rPr>
          <w:lang w:val="fr-FR"/>
        </w:rPr>
        <w:t xml:space="preserve"> tous les droits de propriété et de jouissance attachés à la marque française </w:t>
      </w:r>
      <w:r w:rsidR="00EF089C" w:rsidRPr="00C93577">
        <w:rPr>
          <w:lang w:val="fr-FR"/>
        </w:rPr>
        <w:t>ABIVAX</w:t>
      </w:r>
      <w:r w:rsidRPr="00C93577">
        <w:rPr>
          <w:lang w:val="fr-FR"/>
        </w:rPr>
        <w:t>,  enregistrée sous le numéro FR 13 4 043 749, déposée le 30 octobre 2013 en classe 5 pour les produits suivants : « Produits pharmaceutiques et vétérinaires ; produits hygiéniques pour la médecine ; préparations chimiques à usage médical ou pharmaceutique ; parasiticides », tous les droits de poursuite judiciaire pour les actes de contrefaçon non prescrits à la date d’effet de la cession ainsi que le droit de priorité issu de la convention d’union de Paris attaché à cette marque</w:t>
      </w:r>
      <w:r w:rsidRPr="00C73365">
        <w:rPr>
          <w:lang w:val="fr-FR"/>
        </w:rPr>
        <w:t>.</w:t>
      </w:r>
    </w:p>
    <w:p w:rsidR="0094169B" w:rsidRPr="00C73365" w:rsidRDefault="0094169B">
      <w:pPr>
        <w:spacing w:after="160" w:line="259" w:lineRule="auto"/>
        <w:rPr>
          <w:rFonts w:asciiTheme="minorHAnsi" w:hAnsiTheme="minorHAnsi" w:cstheme="minorHAnsi"/>
          <w:b/>
          <w:sz w:val="22"/>
          <w:szCs w:val="20"/>
          <w:lang w:val="fr-FR"/>
        </w:rPr>
      </w:pPr>
      <w:bookmarkStart w:id="1610" w:name="_Toc462673311"/>
      <w:bookmarkStart w:id="1611" w:name="_Toc467835660"/>
      <w:r w:rsidRPr="00C73365">
        <w:rPr>
          <w:rFonts w:asciiTheme="minorHAnsi" w:hAnsiTheme="minorHAnsi" w:cstheme="minorHAnsi"/>
          <w:sz w:val="22"/>
          <w:lang w:val="fr-FR"/>
        </w:rPr>
        <w:br w:type="page"/>
      </w:r>
    </w:p>
    <w:p w:rsidR="00F46C7B" w:rsidRPr="00C73365" w:rsidRDefault="00F46C7B" w:rsidP="009E5FDD">
      <w:pPr>
        <w:pStyle w:val="ConmainL2"/>
        <w:numPr>
          <w:ilvl w:val="1"/>
          <w:numId w:val="9"/>
        </w:numPr>
        <w:rPr>
          <w:rFonts w:asciiTheme="minorHAnsi" w:hAnsiTheme="minorHAnsi" w:cstheme="minorHAnsi"/>
          <w:sz w:val="22"/>
          <w:lang w:val="fr-FR"/>
        </w:rPr>
      </w:pPr>
      <w:bookmarkStart w:id="1612" w:name="_Toc512863981"/>
      <w:r w:rsidRPr="00C73365">
        <w:rPr>
          <w:rFonts w:asciiTheme="minorHAnsi" w:hAnsiTheme="minorHAnsi" w:cstheme="minorHAnsi"/>
          <w:sz w:val="22"/>
          <w:lang w:val="fr-FR"/>
        </w:rPr>
        <w:lastRenderedPageBreak/>
        <w:t xml:space="preserve">Contrats d’aide </w:t>
      </w:r>
      <w:r w:rsidR="001479F8">
        <w:rPr>
          <w:rFonts w:asciiTheme="minorHAnsi" w:hAnsiTheme="minorHAnsi" w:cstheme="minorHAnsi"/>
          <w:sz w:val="22"/>
          <w:lang w:val="fr-FR"/>
        </w:rPr>
        <w:t>Bpifrance</w:t>
      </w:r>
      <w:r w:rsidRPr="00C73365">
        <w:rPr>
          <w:rFonts w:asciiTheme="minorHAnsi" w:hAnsiTheme="minorHAnsi" w:cstheme="minorHAnsi"/>
          <w:sz w:val="22"/>
          <w:lang w:val="fr-FR"/>
        </w:rPr>
        <w:t xml:space="preserve"> (subventions et/ou avances remboursables)</w:t>
      </w:r>
      <w:bookmarkEnd w:id="1610"/>
      <w:bookmarkEnd w:id="1611"/>
      <w:bookmarkEnd w:id="1612"/>
      <w:r w:rsidRPr="00C73365">
        <w:rPr>
          <w:rFonts w:asciiTheme="minorHAnsi" w:hAnsiTheme="minorHAnsi" w:cstheme="minorHAnsi"/>
          <w:sz w:val="22"/>
          <w:lang w:val="fr-FR"/>
        </w:rPr>
        <w:t xml:space="preserve"> </w:t>
      </w:r>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Contrat d’aide à l’innovation </w:t>
      </w:r>
      <w:r w:rsidR="001479F8">
        <w:rPr>
          <w:rFonts w:asciiTheme="minorHAnsi" w:hAnsiTheme="minorHAnsi" w:cstheme="minorHAnsi"/>
          <w:b/>
          <w:color w:val="7030A0"/>
          <w:lang w:val="fr-FR"/>
        </w:rPr>
        <w:t>Bpifrance</w:t>
      </w:r>
      <w:r w:rsidRPr="00C73365">
        <w:rPr>
          <w:rFonts w:asciiTheme="minorHAnsi" w:hAnsiTheme="minorHAnsi" w:cstheme="minorHAnsi"/>
          <w:b/>
          <w:color w:val="7030A0"/>
          <w:lang w:val="fr-FR"/>
        </w:rPr>
        <w:t xml:space="preserve"> conjointe sur fonds FEDER (A 10 06 002G) (Produit </w:t>
      </w:r>
      <w:r w:rsidR="00E32CFE" w:rsidRPr="00C73365">
        <w:rPr>
          <w:rFonts w:asciiTheme="minorHAnsi" w:hAnsiTheme="minorHAnsi" w:cstheme="minorHAnsi"/>
          <w:b/>
          <w:color w:val="7030A0"/>
          <w:lang w:val="fr-FR"/>
        </w:rPr>
        <w:t>ABX196</w:t>
      </w:r>
      <w:r w:rsidRPr="00C73365">
        <w:rPr>
          <w:rFonts w:asciiTheme="minorHAnsi" w:hAnsiTheme="minorHAnsi" w:cstheme="minorHAnsi"/>
          <w:b/>
          <w:color w:val="7030A0"/>
          <w:lang w:val="fr-FR"/>
        </w:rPr>
        <w:t>)</w:t>
      </w:r>
    </w:p>
    <w:p w:rsidR="0094169B" w:rsidRPr="00C73365" w:rsidRDefault="0094169B" w:rsidP="00A96CCA">
      <w:pPr>
        <w:spacing w:after="0"/>
        <w:rPr>
          <w:rFonts w:asciiTheme="minorHAnsi" w:hAnsiTheme="minorHAnsi" w:cstheme="minorHAnsi"/>
          <w:lang w:val="fr-FR"/>
        </w:r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WITTYCELL (absorbée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le 31 juillet 2014) et </w:t>
      </w:r>
      <w:r w:rsidR="001479F8">
        <w:rPr>
          <w:rFonts w:asciiTheme="minorHAnsi" w:hAnsiTheme="minorHAnsi" w:cstheme="minorHAnsi"/>
          <w:lang w:val="fr-FR"/>
        </w:rPr>
        <w:t>Bpifrance</w:t>
      </w:r>
      <w:r w:rsidRPr="00C73365">
        <w:rPr>
          <w:rFonts w:asciiTheme="minorHAnsi" w:hAnsiTheme="minorHAnsi" w:cstheme="minorHAnsi"/>
          <w:lang w:val="fr-FR"/>
        </w:rPr>
        <w:t xml:space="preserve"> ont conclu en date du 3 décembre 2010 un contrat d’aide à l’innovation conjointement à une aide sur fonds FEDER pour un montant de 800.000 euros dans le cadre du développement de nouveaux adjuvants vaccinaux.</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a perçu l’intégralité de l’aide à l’innovation octroyée par </w:t>
      </w:r>
      <w:r w:rsidR="001479F8">
        <w:rPr>
          <w:rFonts w:asciiTheme="minorHAnsi" w:hAnsiTheme="minorHAnsi" w:cstheme="minorHAnsi"/>
          <w:lang w:val="fr-FR"/>
        </w:rPr>
        <w:t>Bpifrance</w:t>
      </w:r>
      <w:r w:rsidRPr="00C73365">
        <w:rPr>
          <w:rFonts w:asciiTheme="minorHAnsi" w:hAnsiTheme="minorHAnsi" w:cstheme="minorHAnsi"/>
          <w:lang w:val="fr-FR"/>
        </w:rPr>
        <w:t xml:space="preserve"> conjointement à l’aide sur fonds FEDER.</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Dans le cadre d’un avenant au contrat conclu en date du 3 novembre 2014, un </w:t>
      </w:r>
      <w:r w:rsidR="000E5435" w:rsidRPr="00C73365">
        <w:rPr>
          <w:rFonts w:asciiTheme="minorHAnsi" w:hAnsiTheme="minorHAnsi" w:cstheme="minorHAnsi"/>
          <w:lang w:val="fr-FR"/>
        </w:rPr>
        <w:t>premier r</w:t>
      </w:r>
      <w:r w:rsidRPr="00C73365">
        <w:rPr>
          <w:rFonts w:asciiTheme="minorHAnsi" w:hAnsiTheme="minorHAnsi" w:cstheme="minorHAnsi"/>
          <w:lang w:val="fr-FR"/>
        </w:rPr>
        <w:t xml:space="preserve">eport d’échéances a été accordé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à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w:t>
      </w:r>
      <w:r w:rsidR="000E5435" w:rsidRPr="00C73365">
        <w:rPr>
          <w:rFonts w:asciiTheme="minorHAnsi" w:hAnsiTheme="minorHAnsi" w:cstheme="minorHAnsi"/>
          <w:lang w:val="fr-FR"/>
        </w:rPr>
        <w:t>Le 10 novembre 2016, un nouveau report d’échéance a été accordé.</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nouvel échéancier convenu, et actuellement appliqué est le suivant :</w:t>
      </w:r>
    </w:p>
    <w:tbl>
      <w:tblPr>
        <w:tblW w:w="3800" w:type="dxa"/>
        <w:tblInd w:w="3213" w:type="dxa"/>
        <w:tblCellMar>
          <w:left w:w="70" w:type="dxa"/>
          <w:right w:w="70" w:type="dxa"/>
        </w:tblCellMar>
        <w:tblLook w:val="04A0" w:firstRow="1" w:lastRow="0" w:firstColumn="1" w:lastColumn="0" w:noHBand="0" w:noVBand="1"/>
      </w:tblPr>
      <w:tblGrid>
        <w:gridCol w:w="2500"/>
        <w:gridCol w:w="1300"/>
      </w:tblGrid>
      <w:tr w:rsidR="00BE2C65" w:rsidRPr="00C73365" w:rsidTr="00C6091B">
        <w:trPr>
          <w:trHeight w:val="288"/>
        </w:trPr>
        <w:tc>
          <w:tcPr>
            <w:tcW w:w="2500" w:type="dxa"/>
            <w:tcBorders>
              <w:top w:val="single" w:sz="4" w:space="0" w:color="7030A0"/>
              <w:left w:val="nil"/>
              <w:bottom w:val="single" w:sz="4" w:space="0" w:color="7030A0"/>
              <w:right w:val="nil"/>
            </w:tcBorders>
            <w:shd w:val="clear" w:color="auto" w:fill="auto"/>
            <w:noWrap/>
            <w:vAlign w:val="center"/>
          </w:tcPr>
          <w:p w:rsidR="00BE2C65" w:rsidRPr="00C73365" w:rsidRDefault="00BE2C65"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t>Au plus tard le 31 décembre 2017</w:t>
            </w:r>
            <w:r w:rsidR="009F7082" w:rsidRPr="00C73365">
              <w:rPr>
                <w:rFonts w:asciiTheme="minorHAnsi" w:hAnsiTheme="minorHAnsi" w:cstheme="minorHAnsi"/>
                <w:lang w:val="fr-FR"/>
              </w:rPr>
              <w:t xml:space="preserve"> (</w:t>
            </w:r>
            <w:r w:rsidR="00FC5DE4" w:rsidRPr="00C73365">
              <w:rPr>
                <w:rFonts w:asciiTheme="minorHAnsi" w:hAnsiTheme="minorHAnsi" w:cstheme="minorHAnsi"/>
                <w:lang w:val="fr-FR"/>
              </w:rPr>
              <w:t>prélevé</w:t>
            </w:r>
            <w:r w:rsidR="009F7082" w:rsidRPr="00C73365">
              <w:rPr>
                <w:rFonts w:asciiTheme="minorHAnsi" w:hAnsiTheme="minorHAnsi" w:cstheme="minorHAnsi"/>
                <w:lang w:val="fr-FR"/>
              </w:rPr>
              <w:t xml:space="preserve"> le 02/01/2018)</w:t>
            </w:r>
          </w:p>
        </w:tc>
        <w:tc>
          <w:tcPr>
            <w:tcW w:w="1300" w:type="dxa"/>
            <w:tcBorders>
              <w:top w:val="single" w:sz="4" w:space="0" w:color="7030A0"/>
              <w:left w:val="nil"/>
              <w:bottom w:val="single" w:sz="4" w:space="0" w:color="7030A0"/>
              <w:right w:val="nil"/>
            </w:tcBorders>
            <w:shd w:val="clear" w:color="auto" w:fill="auto"/>
            <w:noWrap/>
          </w:tcPr>
          <w:p w:rsidR="00BE2C65" w:rsidRPr="00C73365" w:rsidRDefault="00BE2C65"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85 </w:t>
            </w:r>
            <w:r w:rsidR="00EF089C" w:rsidRPr="00C73365">
              <w:rPr>
                <w:rFonts w:asciiTheme="minorHAnsi" w:hAnsiTheme="minorHAnsi" w:cstheme="minorHAnsi"/>
                <w:color w:val="000000"/>
                <w:szCs w:val="20"/>
                <w:lang w:val="fr-FR" w:eastAsia="fr-FR"/>
              </w:rPr>
              <w:t>K€</w:t>
            </w:r>
          </w:p>
        </w:tc>
      </w:tr>
      <w:tr w:rsidR="00BE2C65" w:rsidRPr="00C73365" w:rsidTr="0094169B">
        <w:trPr>
          <w:trHeight w:val="288"/>
        </w:trPr>
        <w:tc>
          <w:tcPr>
            <w:tcW w:w="2500" w:type="dxa"/>
            <w:tcBorders>
              <w:top w:val="nil"/>
              <w:left w:val="nil"/>
              <w:bottom w:val="single" w:sz="4" w:space="0" w:color="7030A0"/>
              <w:right w:val="nil"/>
            </w:tcBorders>
            <w:shd w:val="clear" w:color="auto" w:fill="auto"/>
            <w:noWrap/>
            <w:vAlign w:val="center"/>
          </w:tcPr>
          <w:p w:rsidR="00BE2C65" w:rsidRPr="00C73365" w:rsidRDefault="00BE2C65"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t>Au plus tard le 31 mars 2018</w:t>
            </w:r>
          </w:p>
        </w:tc>
        <w:tc>
          <w:tcPr>
            <w:tcW w:w="1300" w:type="dxa"/>
            <w:tcBorders>
              <w:top w:val="nil"/>
              <w:left w:val="nil"/>
              <w:bottom w:val="single" w:sz="4" w:space="0" w:color="7030A0"/>
              <w:right w:val="nil"/>
            </w:tcBorders>
            <w:shd w:val="clear" w:color="auto" w:fill="auto"/>
            <w:noWrap/>
          </w:tcPr>
          <w:p w:rsidR="00BE2C65" w:rsidRPr="00C73365" w:rsidRDefault="00BE2C65"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85 </w:t>
            </w:r>
            <w:r w:rsidR="00EF089C" w:rsidRPr="00C73365">
              <w:rPr>
                <w:rFonts w:asciiTheme="minorHAnsi" w:hAnsiTheme="minorHAnsi" w:cstheme="minorHAnsi"/>
                <w:color w:val="000000"/>
                <w:szCs w:val="20"/>
                <w:lang w:val="fr-FR" w:eastAsia="fr-FR"/>
              </w:rPr>
              <w:t>K€</w:t>
            </w:r>
          </w:p>
        </w:tc>
      </w:tr>
      <w:tr w:rsidR="00BE2C65" w:rsidRPr="00C73365" w:rsidTr="0094169B">
        <w:trPr>
          <w:trHeight w:val="454"/>
        </w:trPr>
        <w:tc>
          <w:tcPr>
            <w:tcW w:w="2500" w:type="dxa"/>
            <w:tcBorders>
              <w:top w:val="single" w:sz="4" w:space="0" w:color="7030A0"/>
              <w:left w:val="nil"/>
              <w:bottom w:val="single" w:sz="4" w:space="0" w:color="7030A0"/>
              <w:right w:val="nil"/>
            </w:tcBorders>
            <w:shd w:val="clear" w:color="auto" w:fill="auto"/>
            <w:noWrap/>
            <w:vAlign w:val="center"/>
            <w:hideMark/>
          </w:tcPr>
          <w:p w:rsidR="00BE2C65" w:rsidRPr="00C73365" w:rsidRDefault="00BE2C65" w:rsidP="00A96CCA">
            <w:pPr>
              <w:spacing w:after="0"/>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TOTAL</w:t>
            </w:r>
          </w:p>
        </w:tc>
        <w:tc>
          <w:tcPr>
            <w:tcW w:w="1300" w:type="dxa"/>
            <w:tcBorders>
              <w:top w:val="single" w:sz="4" w:space="0" w:color="7030A0"/>
              <w:left w:val="nil"/>
              <w:bottom w:val="single" w:sz="4" w:space="0" w:color="7030A0"/>
              <w:right w:val="nil"/>
            </w:tcBorders>
            <w:shd w:val="clear" w:color="auto" w:fill="auto"/>
            <w:vAlign w:val="center"/>
            <w:hideMark/>
          </w:tcPr>
          <w:p w:rsidR="00BE2C65" w:rsidRPr="00C73365" w:rsidRDefault="00077BCF" w:rsidP="00A96CCA">
            <w:pPr>
              <w:spacing w:after="0"/>
              <w:jc w:val="right"/>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 xml:space="preserve">170 </w:t>
            </w:r>
            <w:r w:rsidR="00EF089C" w:rsidRPr="00C73365">
              <w:rPr>
                <w:rFonts w:asciiTheme="minorHAnsi" w:hAnsiTheme="minorHAnsi" w:cstheme="minorHAnsi"/>
                <w:b/>
                <w:color w:val="7030A0"/>
                <w:szCs w:val="20"/>
                <w:lang w:val="fr-FR" w:eastAsia="fr-FR"/>
              </w:rPr>
              <w:t>K€</w:t>
            </w:r>
          </w:p>
        </w:tc>
      </w:tr>
    </w:tbl>
    <w:p w:rsidR="005C36A7" w:rsidRDefault="005C36A7" w:rsidP="00820BE1">
      <w:pPr>
        <w:rPr>
          <w:lang w:val="fr-FR"/>
        </w:rPr>
      </w:pPr>
    </w:p>
    <w:p w:rsidR="00D35D6B" w:rsidRPr="00820BE1" w:rsidRDefault="00D35D6B" w:rsidP="00820BE1">
      <w:pPr>
        <w:rPr>
          <w:lang w:val="fr-FR"/>
        </w:rPr>
      </w:pPr>
      <w:r w:rsidRPr="00820BE1">
        <w:rPr>
          <w:lang w:val="fr-FR"/>
        </w:rPr>
        <w:t>A date d’enregistrement de ce document, la société a intégralement remboursé ces montants ci-dessus.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Et, au plus tard le 31 mars de chaque année, à compter du 1</w:t>
      </w:r>
      <w:r w:rsidRPr="00C73365">
        <w:rPr>
          <w:rFonts w:asciiTheme="minorHAnsi" w:hAnsiTheme="minorHAnsi" w:cstheme="minorHAnsi"/>
          <w:vertAlign w:val="superscript"/>
          <w:lang w:val="fr-FR"/>
        </w:rPr>
        <w:t>er</w:t>
      </w:r>
      <w:r w:rsidRPr="00C73365">
        <w:rPr>
          <w:rFonts w:asciiTheme="minorHAnsi" w:hAnsiTheme="minorHAnsi" w:cstheme="minorHAnsi"/>
          <w:lang w:val="fr-FR"/>
        </w:rPr>
        <w:t xml:space="preserve"> janvier 2012, une annuité de remboursement égale à </w:t>
      </w:r>
    </w:p>
    <w:p w:rsidR="00F46C7B" w:rsidRPr="00C73365" w:rsidRDefault="00F46C7B" w:rsidP="00B170BA">
      <w:pPr>
        <w:pStyle w:val="ListParagraph"/>
        <w:numPr>
          <w:ilvl w:val="0"/>
          <w:numId w:val="40"/>
        </w:numPr>
        <w:spacing w:after="0"/>
        <w:rPr>
          <w:rFonts w:asciiTheme="minorHAnsi" w:hAnsiTheme="minorHAnsi" w:cstheme="minorHAnsi"/>
          <w:lang w:val="fr-FR"/>
        </w:rPr>
      </w:pPr>
      <w:r w:rsidRPr="00C73365">
        <w:rPr>
          <w:rFonts w:asciiTheme="minorHAnsi" w:hAnsiTheme="minorHAnsi" w:cstheme="minorHAnsi"/>
          <w:lang w:val="fr-FR"/>
        </w:rPr>
        <w:t>31,95 % du produit, hors taxes, des cessions ou concessions de licences, de brevets ou de savoir-faire, perçu au cours de l’année calendaire précédente lorsque lesdites cessions ou concessions portent sur tout ou partie des résultats du programme aidé ;</w:t>
      </w:r>
    </w:p>
    <w:p w:rsidR="00F46C7B" w:rsidRPr="00C73365" w:rsidRDefault="00F46C7B" w:rsidP="00B170BA">
      <w:pPr>
        <w:pStyle w:val="ListParagraph"/>
        <w:numPr>
          <w:ilvl w:val="0"/>
          <w:numId w:val="40"/>
        </w:numPr>
        <w:spacing w:after="0"/>
        <w:rPr>
          <w:rFonts w:asciiTheme="minorHAnsi" w:hAnsiTheme="minorHAnsi" w:cstheme="minorHAnsi"/>
          <w:lang w:val="fr-FR"/>
        </w:rPr>
      </w:pPr>
      <w:r w:rsidRPr="00C73365">
        <w:rPr>
          <w:rFonts w:asciiTheme="minorHAnsi" w:hAnsiTheme="minorHAnsi" w:cstheme="minorHAnsi"/>
          <w:lang w:val="fr-FR"/>
        </w:rPr>
        <w:t>31,95 % du produit, hors taxes, généré par la commercialisation et notamment la vente à un tiers ou l’utilisation par le bénéficiaire de l’aide, pour ses besoins propres des prototypes, préséries, maquettes, réalisées dans le cadre du programme aidé.</w:t>
      </w:r>
    </w:p>
    <w:p w:rsidR="00F46C7B" w:rsidRPr="00C73365" w:rsidRDefault="00F46C7B" w:rsidP="00A96CCA">
      <w:pPr>
        <w:pStyle w:val="ListParagraph"/>
        <w:spacing w:after="0"/>
        <w:ind w:left="720"/>
        <w:rPr>
          <w:rFonts w:asciiTheme="minorHAnsi" w:hAnsiTheme="minorHAnsi" w:cstheme="minorHAnsi"/>
          <w:lang w:val="fr-FR"/>
        </w:r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Les sommes dues en application de ce qui précède s’imputeront en totalité et à due concurrence sur l’ultime échéance due et, le cas échéant, sur le pénultième.</w:t>
      </w:r>
      <w:r w:rsidR="00BE57BD" w:rsidRPr="00C73365">
        <w:rPr>
          <w:rFonts w:asciiTheme="minorHAnsi" w:hAnsiTheme="minorHAnsi" w:cstheme="minorHAnsi"/>
          <w:lang w:val="fr-FR"/>
        </w:rPr>
        <w:t xml:space="preserve"> La société ne sera pas </w:t>
      </w:r>
      <w:r w:rsidR="00CD615C" w:rsidRPr="00C73365">
        <w:rPr>
          <w:rFonts w:asciiTheme="minorHAnsi" w:hAnsiTheme="minorHAnsi" w:cstheme="minorHAnsi"/>
          <w:lang w:val="fr-FR"/>
        </w:rPr>
        <w:t>amenée</w:t>
      </w:r>
      <w:r w:rsidR="00BE57BD" w:rsidRPr="00C73365">
        <w:rPr>
          <w:rFonts w:asciiTheme="minorHAnsi" w:hAnsiTheme="minorHAnsi" w:cstheme="minorHAnsi"/>
          <w:lang w:val="fr-FR"/>
        </w:rPr>
        <w:t xml:space="preserve"> à rembourser </w:t>
      </w:r>
      <w:r w:rsidR="00665210" w:rsidRPr="00C73365">
        <w:rPr>
          <w:rFonts w:asciiTheme="minorHAnsi" w:hAnsiTheme="minorHAnsi" w:cstheme="minorHAnsi"/>
          <w:lang w:val="fr-FR"/>
        </w:rPr>
        <w:t>une somme supérieure</w:t>
      </w:r>
      <w:r w:rsidR="00BE57BD" w:rsidRPr="00C73365">
        <w:rPr>
          <w:rFonts w:asciiTheme="minorHAnsi" w:hAnsiTheme="minorHAnsi" w:cstheme="minorHAnsi"/>
          <w:lang w:val="fr-FR"/>
        </w:rPr>
        <w:t xml:space="preserve"> en principal au montant de l’aide qu’elle a perçue.</w:t>
      </w:r>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Contrat </w:t>
      </w:r>
      <w:r w:rsidR="001479F8">
        <w:rPr>
          <w:rFonts w:asciiTheme="minorHAnsi" w:hAnsiTheme="minorHAnsi" w:cstheme="minorHAnsi"/>
          <w:b/>
          <w:color w:val="7030A0"/>
          <w:lang w:val="fr-FR"/>
        </w:rPr>
        <w:t>Bpifrance</w:t>
      </w:r>
      <w:r w:rsidRPr="00C73365">
        <w:rPr>
          <w:rFonts w:asciiTheme="minorHAnsi" w:hAnsiTheme="minorHAnsi" w:cstheme="minorHAnsi"/>
          <w:b/>
          <w:color w:val="7030A0"/>
          <w:lang w:val="fr-FR"/>
        </w:rPr>
        <w:t xml:space="preserve"> ISI « CaReNA » (Produit </w:t>
      </w:r>
      <w:r w:rsidR="00E32CFE" w:rsidRPr="00C73365">
        <w:rPr>
          <w:rFonts w:asciiTheme="minorHAnsi" w:hAnsiTheme="minorHAnsi" w:cstheme="minorHAnsi"/>
          <w:b/>
          <w:color w:val="7030A0"/>
          <w:lang w:val="fr-FR"/>
        </w:rPr>
        <w:t>ABX464</w:t>
      </w:r>
      <w:r w:rsidRPr="00C73365">
        <w:rPr>
          <w:rFonts w:asciiTheme="minorHAnsi" w:hAnsiTheme="minorHAnsi" w:cstheme="minorHAnsi"/>
          <w:b/>
          <w:color w:val="7030A0"/>
          <w:lang w:val="fr-FR"/>
        </w:rPr>
        <w:t>)</w:t>
      </w:r>
    </w:p>
    <w:p w:rsidR="00F46C7B" w:rsidRPr="00C73365" w:rsidRDefault="00F46C7B" w:rsidP="004572A0">
      <w:pPr>
        <w:pStyle w:val="BodyTextIndent"/>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708"/>
          <w:docGrid w:linePitch="360"/>
        </w:sect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Dans le cadre du développement de solutions thérapeutiques et diagnostiques ciblant l’épissage alternatif et l’ARN interférence dans le domaine de la virologie (VIH-Sida, HTLV-1) et du métabolisme (obésité), SPLICOS (absorbée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le 31 octobre 2014) a conclu avec </w:t>
      </w:r>
      <w:r w:rsidR="001479F8">
        <w:rPr>
          <w:rFonts w:asciiTheme="minorHAnsi" w:hAnsiTheme="minorHAnsi" w:cstheme="minorHAnsi"/>
          <w:lang w:val="fr-FR"/>
        </w:rPr>
        <w:t>Bpifrance</w:t>
      </w:r>
      <w:r w:rsidRPr="00C73365">
        <w:rPr>
          <w:rFonts w:asciiTheme="minorHAnsi" w:hAnsiTheme="minorHAnsi" w:cstheme="minorHAnsi"/>
          <w:lang w:val="fr-FR"/>
        </w:rPr>
        <w:t xml:space="preserve"> un contrat cadre d’aide ainsi qu’un contrat bénéficiaire d’avance remboursable au projet d’Innovation Stratégique Industrielle « CaReNA » en date du 16 décembre 2013.</w:t>
      </w:r>
    </w:p>
    <w:p w:rsidR="00F46C7B"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agissant en qualité de chef de file du projet CaReNA, est associée dans le cadre d’un contrat de consortium à THERADIAG, société spécialisée dans le diagnostic in vitro et le développement de tests théranotiques pour le monitoring des biothérapies notamment au travers de la filiale PRESTIZIA développant des tests sur sa plateforme miRNA, ainsi qu’au CNRS et à l’Université de Montpellier 2.</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Le projet CaReNA vise ainsi à développer le programme thérapeutique anti VIH-Sida avec le composé ABX464 jusqu’en étude de phase IIb (se référer au paragraphe 6.2.2 du présent document de référence), ainsi qu’un test compagnon mis en place par THERADIAG parallèlement au développement clinique, plus précisément THERADIAG développera et validera un test de quantification-détection de miR-124 ainsi que d’autres tests pronostiques relatifs à l’émergence d’éventuelles résistances.</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Au-delà du programme anti VIH-Sida, le projet CaReNA étendra ses investigations pharmacologiques à un autre rétrovirus susceptible d’être efficacement combattu par la même approche : HTLV-1.</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programme initial prévoyait également de développer un programme thérapeutique anti-obésité visant à identifier et développer jusqu’en étude clinique de phase IIa une molécule originale qui cible l’épissage alternatif du gène de la lamine A/C LMMA et réduit l’obésité ainsi que des tests de détection-quantification d’un ou plusieurs miARN cibles par </w:t>
      </w:r>
      <w:r w:rsidRPr="00C73365">
        <w:rPr>
          <w:rFonts w:asciiTheme="minorHAnsi" w:hAnsiTheme="minorHAnsi" w:cstheme="minorHAnsi"/>
          <w:lang w:val="fr-FR"/>
        </w:rPr>
        <w:lastRenderedPageBreak/>
        <w:t xml:space="preserve">THERADIAG. En date du 18 février 2015, </w:t>
      </w:r>
      <w:r w:rsidR="001479F8">
        <w:rPr>
          <w:rFonts w:asciiTheme="minorHAnsi" w:hAnsiTheme="minorHAnsi" w:cstheme="minorHAnsi"/>
          <w:lang w:val="fr-FR"/>
        </w:rPr>
        <w:t>Bpifrance</w:t>
      </w:r>
      <w:r w:rsidRPr="00C73365">
        <w:rPr>
          <w:rFonts w:asciiTheme="minorHAnsi" w:hAnsiTheme="minorHAnsi" w:cstheme="minorHAnsi"/>
          <w:lang w:val="fr-FR"/>
        </w:rPr>
        <w:t xml:space="preserve"> a accepté le réaménagement du projet « CaReNA » proposé par la Société </w:t>
      </w:r>
      <w:r w:rsidR="005C36A7" w:rsidRPr="00C73365">
        <w:rPr>
          <w:rFonts w:asciiTheme="minorHAnsi" w:hAnsiTheme="minorHAnsi" w:cstheme="minorHAnsi"/>
          <w:lang w:val="fr-FR"/>
        </w:rPr>
        <w:t>à la suite de</w:t>
      </w:r>
      <w:r w:rsidRPr="00C73365">
        <w:rPr>
          <w:rFonts w:asciiTheme="minorHAnsi" w:hAnsiTheme="minorHAnsi" w:cstheme="minorHAnsi"/>
          <w:lang w:val="fr-FR"/>
        </w:rPr>
        <w:t xml:space="preserve"> l’abandon du projet sur l’obésité.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fonction de la réalisation de certaines phases et étapes clés, le contrat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aide </w:t>
      </w:r>
      <w:r w:rsidR="001479F8">
        <w:rPr>
          <w:rFonts w:asciiTheme="minorHAnsi" w:hAnsiTheme="minorHAnsi" w:cstheme="minorHAnsi"/>
          <w:lang w:val="fr-FR"/>
        </w:rPr>
        <w:t>Bpifrance</w:t>
      </w:r>
      <w:r w:rsidRPr="00C73365">
        <w:rPr>
          <w:rFonts w:asciiTheme="minorHAnsi" w:hAnsiTheme="minorHAnsi" w:cstheme="minorHAnsi"/>
          <w:lang w:val="fr-FR"/>
        </w:rPr>
        <w:t xml:space="preserve"> au projet CaReNA se décompose entre :</w:t>
      </w:r>
    </w:p>
    <w:p w:rsidR="00F46C7B" w:rsidRPr="00C73365" w:rsidRDefault="00F46C7B" w:rsidP="00B170BA">
      <w:pPr>
        <w:pStyle w:val="ListParagraph"/>
        <w:numPr>
          <w:ilvl w:val="0"/>
          <w:numId w:val="40"/>
        </w:numPr>
        <w:spacing w:after="0"/>
        <w:rPr>
          <w:rFonts w:asciiTheme="minorHAnsi" w:hAnsiTheme="minorHAnsi" w:cstheme="minorHAnsi"/>
          <w:lang w:val="fr-FR"/>
        </w:rPr>
      </w:pPr>
      <w:r w:rsidRPr="00C73365">
        <w:rPr>
          <w:rFonts w:asciiTheme="minorHAnsi" w:hAnsiTheme="minorHAnsi" w:cstheme="minorHAnsi"/>
          <w:lang w:val="fr-FR"/>
        </w:rPr>
        <w:t>des subventions pour un montant global maximum de 2 506 701 euros dont 1 396 524 euros</w:t>
      </w:r>
      <w:r w:rsidRPr="00C73365">
        <w:rPr>
          <w:rStyle w:val="FootnoteReference"/>
          <w:rFonts w:asciiTheme="minorHAnsi" w:hAnsiTheme="minorHAnsi" w:cstheme="minorHAnsi"/>
          <w:lang w:val="fr-FR"/>
        </w:rPr>
        <w:footnoteReference w:customMarkFollows="1" w:id="25"/>
        <w:t>34</w:t>
      </w:r>
      <w:r w:rsidRPr="00C73365">
        <w:rPr>
          <w:rFonts w:asciiTheme="minorHAnsi" w:hAnsiTheme="minorHAnsi" w:cstheme="minorHAnsi"/>
          <w:lang w:val="fr-FR"/>
        </w:rPr>
        <w:t xml:space="preserve"> pour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(soit un taux de subvention de 45% des dépenses programmées) ; et</w:t>
      </w:r>
    </w:p>
    <w:p w:rsidR="00F46C7B" w:rsidRPr="00C73365" w:rsidRDefault="00F46C7B" w:rsidP="00B170BA">
      <w:pPr>
        <w:pStyle w:val="ListParagraph"/>
        <w:numPr>
          <w:ilvl w:val="0"/>
          <w:numId w:val="40"/>
        </w:numPr>
        <w:spacing w:after="0"/>
        <w:rPr>
          <w:rFonts w:asciiTheme="minorHAnsi" w:hAnsiTheme="minorHAnsi" w:cstheme="minorHAnsi"/>
          <w:lang w:val="fr-FR"/>
        </w:rPr>
      </w:pPr>
      <w:r w:rsidRPr="00C73365">
        <w:rPr>
          <w:rFonts w:asciiTheme="minorHAnsi" w:hAnsiTheme="minorHAnsi" w:cstheme="minorHAnsi"/>
          <w:lang w:val="fr-FR"/>
        </w:rPr>
        <w:t>des avances remboursables d</w:t>
      </w:r>
      <w:r w:rsidR="004572A0" w:rsidRPr="00C73365">
        <w:rPr>
          <w:rFonts w:asciiTheme="minorHAnsi" w:hAnsiTheme="minorHAnsi" w:cstheme="minorHAnsi"/>
          <w:lang w:val="fr-FR"/>
        </w:rPr>
        <w:t>’</w:t>
      </w:r>
      <w:r w:rsidRPr="00C73365">
        <w:rPr>
          <w:rFonts w:asciiTheme="minorHAnsi" w:hAnsiTheme="minorHAnsi" w:cstheme="minorHAnsi"/>
          <w:lang w:val="fr-FR"/>
        </w:rPr>
        <w:t>un montant global maximum de 4 758 247 euros dont 3 829 682 euros</w:t>
      </w:r>
      <w:r w:rsidRPr="00C73365">
        <w:rPr>
          <w:rStyle w:val="FootnoteReference"/>
          <w:rFonts w:asciiTheme="minorHAnsi" w:hAnsiTheme="minorHAnsi" w:cstheme="minorHAnsi"/>
          <w:lang w:val="fr-FR"/>
        </w:rPr>
        <w:footnoteReference w:customMarkFollows="1" w:id="26"/>
        <w:t>35</w:t>
      </w:r>
      <w:r w:rsidRPr="00C73365">
        <w:rPr>
          <w:rFonts w:asciiTheme="minorHAnsi" w:hAnsiTheme="minorHAnsi" w:cstheme="minorHAnsi"/>
          <w:lang w:val="fr-FR"/>
        </w:rPr>
        <w:t xml:space="preserve"> pour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(soit un taux d’avance remboursable de 50% des dépenses programmées).</w:t>
      </w:r>
    </w:p>
    <w:p w:rsidR="00F46C7B" w:rsidRPr="00C73365" w:rsidRDefault="00F46C7B" w:rsidP="00A96CCA">
      <w:pPr>
        <w:spacing w:after="0"/>
        <w:rPr>
          <w:rFonts w:asciiTheme="minorHAnsi" w:hAnsiTheme="minorHAnsi" w:cstheme="minorHAnsi"/>
          <w:lang w:val="fr-FR"/>
        </w:r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Il est précisé qu’à la date d’enregistrement du présent document de référence, l’Etape-Clé EC1 ainsi que l’Etape-Clé EC2 ont été franchies par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et ses partenaires dans le cadre du projet CaReNA.</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 xml:space="preserve">Echéancier des versements réalisés en EC1 et EC2 et des versements maximaux des </w:t>
      </w:r>
      <w:r w:rsidR="009538A0" w:rsidRPr="00C73365">
        <w:rPr>
          <w:rFonts w:asciiTheme="minorHAnsi" w:hAnsiTheme="minorHAnsi" w:cstheme="minorHAnsi"/>
          <w:b/>
          <w:lang w:val="fr-FR"/>
        </w:rPr>
        <w:t>subventions restant</w:t>
      </w:r>
      <w:r w:rsidRPr="00C73365">
        <w:rPr>
          <w:rFonts w:asciiTheme="minorHAnsi" w:hAnsiTheme="minorHAnsi" w:cstheme="minorHAnsi"/>
          <w:b/>
          <w:lang w:val="fr-FR"/>
        </w:rPr>
        <w:t xml:space="preserve"> à percevoir (en euros) :</w:t>
      </w:r>
    </w:p>
    <w:p w:rsidR="00F46C7B" w:rsidRPr="00C73365" w:rsidRDefault="00F46C7B" w:rsidP="004572A0">
      <w:pPr>
        <w:pStyle w:val="BodyTextFirstIndent2"/>
        <w:rPr>
          <w:rFonts w:asciiTheme="minorHAnsi" w:hAnsiTheme="minorHAnsi" w:cstheme="minorHAnsi"/>
          <w:b/>
          <w:lang w:val="fr-FR" w:eastAsia="fr-FR"/>
        </w:rPr>
      </w:pPr>
      <w:r w:rsidRPr="00C73365">
        <w:rPr>
          <w:rFonts w:asciiTheme="minorHAnsi" w:hAnsiTheme="minorHAnsi" w:cstheme="minorHAnsi"/>
          <w:b/>
          <w:lang w:val="fr-FR" w:eastAsia="fr-FR"/>
        </w:rPr>
        <w:t>Versement en subventions par étape clé</w:t>
      </w:r>
      <w:r w:rsidRPr="00C73365">
        <w:rPr>
          <w:rFonts w:asciiTheme="minorHAnsi" w:hAnsiTheme="minorHAnsi" w:cstheme="minorHAnsi"/>
          <w:b/>
          <w:color w:val="7030A0"/>
          <w:lang w:val="fr-FR" w:eastAsia="fr-FR"/>
        </w:rPr>
        <w:t>*</w:t>
      </w:r>
    </w:p>
    <w:tbl>
      <w:tblPr>
        <w:tblW w:w="9556" w:type="dxa"/>
        <w:tblCellMar>
          <w:left w:w="70" w:type="dxa"/>
          <w:right w:w="70" w:type="dxa"/>
        </w:tblCellMar>
        <w:tblLook w:val="04A0" w:firstRow="1" w:lastRow="0" w:firstColumn="1" w:lastColumn="0" w:noHBand="0" w:noVBand="1"/>
      </w:tblPr>
      <w:tblGrid>
        <w:gridCol w:w="1304"/>
        <w:gridCol w:w="157"/>
        <w:gridCol w:w="1475"/>
        <w:gridCol w:w="157"/>
        <w:gridCol w:w="1049"/>
        <w:gridCol w:w="201"/>
        <w:gridCol w:w="1049"/>
        <w:gridCol w:w="201"/>
        <w:gridCol w:w="1049"/>
        <w:gridCol w:w="201"/>
        <w:gridCol w:w="1081"/>
        <w:gridCol w:w="157"/>
        <w:gridCol w:w="1475"/>
      </w:tblGrid>
      <w:tr w:rsidR="00F46C7B" w:rsidRPr="008C1A4A" w:rsidTr="007C607C">
        <w:trPr>
          <w:trHeight w:val="786"/>
        </w:trPr>
        <w:tc>
          <w:tcPr>
            <w:tcW w:w="1304"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Bénéficiaires</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475"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subventions</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p>
        </w:tc>
        <w:tc>
          <w:tcPr>
            <w:tcW w:w="1049"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EC1</w:t>
            </w:r>
          </w:p>
        </w:tc>
        <w:tc>
          <w:tcPr>
            <w:tcW w:w="201"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049"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EC2</w:t>
            </w:r>
          </w:p>
        </w:tc>
        <w:tc>
          <w:tcPr>
            <w:tcW w:w="201"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049"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EC3</w:t>
            </w:r>
            <w:r w:rsidR="0017787F" w:rsidRPr="00C73365">
              <w:rPr>
                <w:rFonts w:asciiTheme="minorHAnsi" w:hAnsiTheme="minorHAnsi" w:cstheme="minorHAnsi"/>
                <w:b/>
                <w:bCs/>
                <w:color w:val="000000"/>
                <w:szCs w:val="20"/>
                <w:lang w:val="fr-FR" w:eastAsia="fr-FR"/>
              </w:rPr>
              <w:t>**</w:t>
            </w:r>
          </w:p>
        </w:tc>
        <w:tc>
          <w:tcPr>
            <w:tcW w:w="201"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081"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EC4</w:t>
            </w:r>
            <w:r w:rsidRPr="00C73365">
              <w:rPr>
                <w:rFonts w:asciiTheme="minorHAnsi" w:hAnsiTheme="minorHAnsi" w:cstheme="minorHAnsi"/>
                <w:b/>
                <w:bCs/>
                <w:color w:val="7030A0"/>
                <w:szCs w:val="20"/>
                <w:lang w:val="fr-FR" w:eastAsia="fr-FR"/>
              </w:rPr>
              <w:t>**</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p>
        </w:tc>
        <w:tc>
          <w:tcPr>
            <w:tcW w:w="1475"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 des versements en subventions</w:t>
            </w:r>
          </w:p>
        </w:tc>
      </w:tr>
      <w:tr w:rsidR="00F46C7B" w:rsidRPr="00C73365" w:rsidTr="007C607C">
        <w:trPr>
          <w:trHeight w:val="219"/>
        </w:trPr>
        <w:tc>
          <w:tcPr>
            <w:tcW w:w="1304" w:type="dxa"/>
            <w:tcBorders>
              <w:top w:val="nil"/>
              <w:left w:val="nil"/>
              <w:bottom w:val="nil"/>
              <w:right w:val="nil"/>
            </w:tcBorders>
            <w:shd w:val="clear" w:color="auto" w:fill="auto"/>
            <w:vAlign w:val="center"/>
            <w:hideMark/>
          </w:tcPr>
          <w:p w:rsidR="00F46C7B" w:rsidRPr="00C73365" w:rsidRDefault="00EF089C"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475"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634 000</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410 139</w:t>
            </w:r>
          </w:p>
        </w:tc>
        <w:tc>
          <w:tcPr>
            <w:tcW w:w="20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142 861</w:t>
            </w:r>
          </w:p>
        </w:tc>
        <w:tc>
          <w:tcPr>
            <w:tcW w:w="20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szCs w:val="20"/>
                <w:lang w:val="fr-FR" w:eastAsia="fr-FR"/>
              </w:rPr>
            </w:pPr>
          </w:p>
        </w:tc>
        <w:tc>
          <w:tcPr>
            <w:tcW w:w="20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szCs w:val="20"/>
                <w:lang w:val="fr-FR" w:eastAsia="fr-FR"/>
              </w:rPr>
            </w:pPr>
          </w:p>
        </w:tc>
        <w:tc>
          <w:tcPr>
            <w:tcW w:w="108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209 524</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475"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1 396 524</w:t>
            </w:r>
          </w:p>
        </w:tc>
      </w:tr>
      <w:tr w:rsidR="00F46C7B" w:rsidRPr="00C73365" w:rsidTr="007C607C">
        <w:trPr>
          <w:trHeight w:val="219"/>
        </w:trPr>
        <w:tc>
          <w:tcPr>
            <w:tcW w:w="1304"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THERADIAG</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475"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97 000  </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50 005  </w:t>
            </w:r>
          </w:p>
        </w:tc>
        <w:tc>
          <w:tcPr>
            <w:tcW w:w="20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w:t>
            </w:r>
          </w:p>
        </w:tc>
        <w:tc>
          <w:tcPr>
            <w:tcW w:w="20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szCs w:val="20"/>
                <w:lang w:val="fr-FR" w:eastAsia="fr-FR"/>
              </w:rPr>
            </w:pPr>
          </w:p>
        </w:tc>
        <w:tc>
          <w:tcPr>
            <w:tcW w:w="20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szCs w:val="20"/>
                <w:lang w:val="fr-FR" w:eastAsia="fr-FR"/>
              </w:rPr>
            </w:pPr>
          </w:p>
        </w:tc>
        <w:tc>
          <w:tcPr>
            <w:tcW w:w="1081"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105 464  </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475"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252 469  </w:t>
            </w:r>
          </w:p>
        </w:tc>
      </w:tr>
      <w:tr w:rsidR="00F46C7B" w:rsidRPr="00C73365" w:rsidTr="007C607C">
        <w:trPr>
          <w:trHeight w:val="228"/>
        </w:trPr>
        <w:tc>
          <w:tcPr>
            <w:tcW w:w="1304"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CNRS</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475"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312 000</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250 140</w:t>
            </w:r>
          </w:p>
        </w:tc>
        <w:tc>
          <w:tcPr>
            <w:tcW w:w="2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96 486  </w:t>
            </w:r>
          </w:p>
        </w:tc>
        <w:tc>
          <w:tcPr>
            <w:tcW w:w="2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2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08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199 082</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475"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857 708</w:t>
            </w:r>
          </w:p>
        </w:tc>
      </w:tr>
      <w:tr w:rsidR="00F46C7B" w:rsidRPr="00C73365" w:rsidTr="007C607C">
        <w:trPr>
          <w:trHeight w:val="397"/>
        </w:trPr>
        <w:tc>
          <w:tcPr>
            <w:tcW w:w="1304"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b/>
                <w:bCs/>
                <w:color w:val="7030A0"/>
                <w:szCs w:val="20"/>
                <w:lang w:val="fr-FR" w:eastAsia="fr-FR"/>
              </w:rPr>
            </w:pPr>
          </w:p>
        </w:tc>
        <w:tc>
          <w:tcPr>
            <w:tcW w:w="1475"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1 043 000</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710 284  </w:t>
            </w:r>
          </w:p>
        </w:tc>
        <w:tc>
          <w:tcPr>
            <w:tcW w:w="2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239 347  </w:t>
            </w:r>
          </w:p>
        </w:tc>
        <w:tc>
          <w:tcPr>
            <w:tcW w:w="2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20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108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514 070  </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p>
        </w:tc>
        <w:tc>
          <w:tcPr>
            <w:tcW w:w="1475"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2 506 701  </w:t>
            </w:r>
          </w:p>
        </w:tc>
      </w:tr>
    </w:tbl>
    <w:p w:rsidR="00F46C7B" w:rsidRPr="00C73365" w:rsidRDefault="00F46C7B" w:rsidP="004572A0">
      <w:pPr>
        <w:pStyle w:val="Caption"/>
        <w:rPr>
          <w:rFonts w:asciiTheme="minorHAnsi" w:hAnsiTheme="minorHAnsi" w:cstheme="minorHAnsi"/>
          <w:lang w:val="fr-FR"/>
        </w:rPr>
      </w:pPr>
      <w:r w:rsidRPr="00C73365">
        <w:rPr>
          <w:rFonts w:asciiTheme="minorHAnsi" w:hAnsiTheme="minorHAnsi" w:cstheme="minorHAnsi"/>
          <w:lang w:val="fr-FR"/>
        </w:rPr>
        <w:t>* Montant maximal versé au titre de la prochaine étape clé</w:t>
      </w:r>
    </w:p>
    <w:p w:rsidR="00F46C7B" w:rsidRPr="00C73365" w:rsidRDefault="00F46C7B" w:rsidP="004572A0">
      <w:pPr>
        <w:pStyle w:val="BodyText"/>
        <w:rPr>
          <w:rFonts w:asciiTheme="minorHAnsi" w:hAnsiTheme="minorHAnsi" w:cstheme="minorHAnsi"/>
          <w:i/>
          <w:lang w:val="fr-FR"/>
        </w:rPr>
      </w:pPr>
      <w:r w:rsidRPr="00C73365">
        <w:rPr>
          <w:rFonts w:asciiTheme="minorHAnsi" w:hAnsiTheme="minorHAnsi" w:cstheme="minorHAnsi"/>
          <w:i/>
          <w:lang w:val="fr-FR"/>
        </w:rPr>
        <w:t>** Solde (15% minimum)</w:t>
      </w: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Echéancier des versements réalisés en EC1 et EC2 et des versements maximaux des avances remboursables restant à percevoir (en euros) :</w:t>
      </w:r>
    </w:p>
    <w:p w:rsidR="00F46C7B" w:rsidRPr="00C73365" w:rsidRDefault="00F46C7B" w:rsidP="00A96CCA">
      <w:pPr>
        <w:pStyle w:val="ListParagraph"/>
        <w:spacing w:after="0"/>
        <w:ind w:left="720"/>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Versement en avances remboursables par étape clé</w:t>
      </w:r>
      <w:r w:rsidRPr="00C73365">
        <w:rPr>
          <w:rFonts w:asciiTheme="minorHAnsi" w:hAnsiTheme="minorHAnsi" w:cstheme="minorHAnsi"/>
          <w:b/>
          <w:bCs/>
          <w:color w:val="7030A0"/>
          <w:szCs w:val="20"/>
          <w:lang w:val="fr-FR" w:eastAsia="fr-FR"/>
        </w:rPr>
        <w:t>*</w:t>
      </w:r>
    </w:p>
    <w:tbl>
      <w:tblPr>
        <w:tblW w:w="9781" w:type="dxa"/>
        <w:tblCellMar>
          <w:left w:w="70" w:type="dxa"/>
          <w:right w:w="70" w:type="dxa"/>
        </w:tblCellMar>
        <w:tblLook w:val="04A0" w:firstRow="1" w:lastRow="0" w:firstColumn="1" w:lastColumn="0" w:noHBand="0" w:noVBand="1"/>
      </w:tblPr>
      <w:tblGrid>
        <w:gridCol w:w="1302"/>
        <w:gridCol w:w="157"/>
        <w:gridCol w:w="1494"/>
        <w:gridCol w:w="157"/>
        <w:gridCol w:w="1037"/>
        <w:gridCol w:w="200"/>
        <w:gridCol w:w="1037"/>
        <w:gridCol w:w="200"/>
        <w:gridCol w:w="1068"/>
        <w:gridCol w:w="200"/>
        <w:gridCol w:w="1063"/>
        <w:gridCol w:w="157"/>
        <w:gridCol w:w="1709"/>
      </w:tblGrid>
      <w:tr w:rsidR="00F46C7B" w:rsidRPr="008C1A4A" w:rsidTr="00881350">
        <w:trPr>
          <w:trHeight w:val="839"/>
        </w:trPr>
        <w:tc>
          <w:tcPr>
            <w:tcW w:w="1302"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Bénéficiaires</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494" w:type="dxa"/>
            <w:tcBorders>
              <w:top w:val="single" w:sz="12" w:space="0" w:color="7030A0"/>
              <w:left w:val="nil"/>
              <w:bottom w:val="single" w:sz="8" w:space="0" w:color="7030A0"/>
              <w:right w:val="nil"/>
            </w:tcBorders>
            <w:shd w:val="clear" w:color="auto" w:fill="auto"/>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avances remboursables</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p>
        </w:tc>
        <w:tc>
          <w:tcPr>
            <w:tcW w:w="1037"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EC1</w:t>
            </w:r>
          </w:p>
        </w:tc>
        <w:tc>
          <w:tcPr>
            <w:tcW w:w="200"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037"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EC2</w:t>
            </w:r>
          </w:p>
        </w:tc>
        <w:tc>
          <w:tcPr>
            <w:tcW w:w="200"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068"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EC3</w:t>
            </w:r>
            <w:r w:rsidR="0017787F" w:rsidRPr="00C73365">
              <w:rPr>
                <w:rFonts w:asciiTheme="minorHAnsi" w:hAnsiTheme="minorHAnsi" w:cstheme="minorHAnsi"/>
                <w:b/>
                <w:bCs/>
                <w:color w:val="000000"/>
                <w:szCs w:val="20"/>
                <w:lang w:val="fr-FR" w:eastAsia="fr-FR"/>
              </w:rPr>
              <w:t>**</w:t>
            </w:r>
          </w:p>
        </w:tc>
        <w:tc>
          <w:tcPr>
            <w:tcW w:w="200"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w:t>
            </w:r>
          </w:p>
        </w:tc>
        <w:tc>
          <w:tcPr>
            <w:tcW w:w="1063"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EC4</w:t>
            </w:r>
            <w:r w:rsidRPr="00C73365">
              <w:rPr>
                <w:rFonts w:asciiTheme="minorHAnsi" w:hAnsiTheme="minorHAnsi" w:cstheme="minorHAnsi"/>
                <w:b/>
                <w:bCs/>
                <w:color w:val="7030A0"/>
                <w:szCs w:val="20"/>
                <w:lang w:val="fr-FR" w:eastAsia="fr-FR"/>
              </w:rPr>
              <w:t>**</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p>
        </w:tc>
        <w:tc>
          <w:tcPr>
            <w:tcW w:w="1709" w:type="dxa"/>
            <w:tcBorders>
              <w:top w:val="single" w:sz="12" w:space="0" w:color="7030A0"/>
              <w:left w:val="nil"/>
              <w:bottom w:val="single" w:sz="8" w:space="0" w:color="7030A0"/>
              <w:right w:val="nil"/>
            </w:tcBorders>
            <w:shd w:val="clear" w:color="auto" w:fill="auto"/>
            <w:hideMark/>
          </w:tcPr>
          <w:p w:rsidR="00F46C7B" w:rsidRPr="00C73365" w:rsidRDefault="00F46C7B" w:rsidP="00A96CCA">
            <w:pPr>
              <w:spacing w:after="0"/>
              <w:jc w:val="right"/>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 des versements en avances remboursables</w:t>
            </w:r>
          </w:p>
        </w:tc>
      </w:tr>
      <w:tr w:rsidR="00F46C7B" w:rsidRPr="00C73365" w:rsidTr="00881350">
        <w:trPr>
          <w:trHeight w:val="216"/>
        </w:trPr>
        <w:tc>
          <w:tcPr>
            <w:tcW w:w="1302" w:type="dxa"/>
            <w:tcBorders>
              <w:top w:val="nil"/>
              <w:left w:val="nil"/>
              <w:bottom w:val="nil"/>
              <w:right w:val="nil"/>
            </w:tcBorders>
            <w:shd w:val="clear" w:color="auto" w:fill="auto"/>
            <w:vAlign w:val="center"/>
            <w:hideMark/>
          </w:tcPr>
          <w:p w:rsidR="00F46C7B" w:rsidRPr="00C73365" w:rsidRDefault="00EF089C"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494"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1 150 000</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3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1 008 340</w:t>
            </w:r>
          </w:p>
        </w:tc>
        <w:tc>
          <w:tcPr>
            <w:tcW w:w="200"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3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28 735</w:t>
            </w:r>
          </w:p>
        </w:tc>
        <w:tc>
          <w:tcPr>
            <w:tcW w:w="200"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68" w:type="dxa"/>
            <w:tcBorders>
              <w:top w:val="nil"/>
              <w:left w:val="nil"/>
              <w:bottom w:val="nil"/>
              <w:right w:val="nil"/>
            </w:tcBorders>
            <w:shd w:val="clear" w:color="auto" w:fill="auto"/>
            <w:vAlign w:val="center"/>
            <w:hideMark/>
          </w:tcPr>
          <w:p w:rsidR="00F46C7B" w:rsidRPr="00C73365" w:rsidRDefault="00881350" w:rsidP="00A96CCA">
            <w:pPr>
              <w:spacing w:after="0"/>
              <w:jc w:val="right"/>
              <w:rPr>
                <w:rFonts w:asciiTheme="minorHAnsi" w:hAnsiTheme="minorHAnsi" w:cstheme="minorHAnsi"/>
                <w:color w:val="000000"/>
                <w:szCs w:val="20"/>
                <w:highlight w:val="yellow"/>
                <w:lang w:val="fr-FR" w:eastAsia="fr-FR"/>
              </w:rPr>
            </w:pPr>
            <w:r w:rsidRPr="00C73365">
              <w:rPr>
                <w:rFonts w:asciiTheme="minorHAnsi" w:hAnsiTheme="minorHAnsi" w:cstheme="minorHAnsi"/>
                <w:color w:val="000000"/>
                <w:szCs w:val="20"/>
                <w:lang w:val="fr-FR" w:eastAsia="fr-FR"/>
              </w:rPr>
              <w:t>1 067 925</w:t>
            </w:r>
          </w:p>
        </w:tc>
        <w:tc>
          <w:tcPr>
            <w:tcW w:w="200"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63"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574 682</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709" w:type="dxa"/>
            <w:tcBorders>
              <w:top w:val="nil"/>
              <w:left w:val="nil"/>
              <w:bottom w:val="nil"/>
              <w:right w:val="nil"/>
            </w:tcBorders>
            <w:shd w:val="clear" w:color="auto" w:fill="auto"/>
            <w:vAlign w:val="center"/>
            <w:hideMark/>
          </w:tcPr>
          <w:p w:rsidR="00F46C7B" w:rsidRPr="00C73365" w:rsidRDefault="00881350"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3 829 682</w:t>
            </w:r>
          </w:p>
        </w:tc>
      </w:tr>
      <w:tr w:rsidR="00F46C7B" w:rsidRPr="00C73365" w:rsidTr="00881350">
        <w:trPr>
          <w:trHeight w:val="216"/>
        </w:trPr>
        <w:tc>
          <w:tcPr>
            <w:tcW w:w="1302"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THERADIAG</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494"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176 000  </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3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w:t>
            </w:r>
          </w:p>
        </w:tc>
        <w:tc>
          <w:tcPr>
            <w:tcW w:w="200"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3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227 426  </w:t>
            </w:r>
          </w:p>
        </w:tc>
        <w:tc>
          <w:tcPr>
            <w:tcW w:w="200"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68" w:type="dxa"/>
            <w:tcBorders>
              <w:top w:val="nil"/>
              <w:left w:val="nil"/>
              <w:bottom w:val="nil"/>
              <w:right w:val="nil"/>
            </w:tcBorders>
            <w:shd w:val="clear" w:color="auto" w:fill="auto"/>
            <w:vAlign w:val="center"/>
            <w:hideMark/>
          </w:tcPr>
          <w:p w:rsidR="00F46C7B" w:rsidRPr="00C73365" w:rsidRDefault="00881350" w:rsidP="00A96CCA">
            <w:pPr>
              <w:spacing w:after="0"/>
              <w:jc w:val="right"/>
              <w:rPr>
                <w:rFonts w:asciiTheme="minorHAnsi" w:hAnsiTheme="minorHAnsi" w:cstheme="minorHAnsi"/>
                <w:color w:val="000000"/>
                <w:szCs w:val="20"/>
                <w:highlight w:val="yellow"/>
                <w:lang w:val="fr-FR" w:eastAsia="fr-FR"/>
              </w:rPr>
            </w:pPr>
            <w:r w:rsidRPr="00C73365">
              <w:rPr>
                <w:rFonts w:asciiTheme="minorHAnsi" w:hAnsiTheme="minorHAnsi" w:cstheme="minorHAnsi"/>
                <w:color w:val="000000"/>
                <w:szCs w:val="20"/>
                <w:lang w:val="fr-FR" w:eastAsia="fr-FR"/>
              </w:rPr>
              <w:t>385 574</w:t>
            </w:r>
          </w:p>
        </w:tc>
        <w:tc>
          <w:tcPr>
            <w:tcW w:w="200"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63"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139 555  </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709" w:type="dxa"/>
            <w:tcBorders>
              <w:top w:val="nil"/>
              <w:left w:val="nil"/>
              <w:bottom w:val="nil"/>
              <w:right w:val="nil"/>
            </w:tcBorders>
            <w:shd w:val="clear" w:color="auto" w:fill="auto"/>
            <w:vAlign w:val="center"/>
            <w:hideMark/>
          </w:tcPr>
          <w:p w:rsidR="00F46C7B" w:rsidRPr="00C73365" w:rsidRDefault="00881350"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928 555</w:t>
            </w:r>
          </w:p>
        </w:tc>
      </w:tr>
      <w:tr w:rsidR="00F46C7B" w:rsidRPr="00C73365" w:rsidTr="00881350">
        <w:trPr>
          <w:trHeight w:val="224"/>
        </w:trPr>
        <w:tc>
          <w:tcPr>
            <w:tcW w:w="130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CNRS</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494"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037"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20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037"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20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06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20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06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jc w:val="right"/>
              <w:rPr>
                <w:rFonts w:asciiTheme="minorHAnsi" w:hAnsiTheme="minorHAnsi" w:cstheme="minorHAnsi"/>
                <w:color w:val="000000"/>
                <w:szCs w:val="20"/>
                <w:lang w:val="fr-FR" w:eastAsia="fr-FR"/>
              </w:rPr>
            </w:pPr>
          </w:p>
        </w:tc>
        <w:tc>
          <w:tcPr>
            <w:tcW w:w="170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w:t>
            </w:r>
          </w:p>
        </w:tc>
      </w:tr>
      <w:tr w:rsidR="00F46C7B" w:rsidRPr="00C73365" w:rsidTr="00881350">
        <w:trPr>
          <w:trHeight w:val="341"/>
        </w:trPr>
        <w:tc>
          <w:tcPr>
            <w:tcW w:w="130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57"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b/>
                <w:bCs/>
                <w:color w:val="7030A0"/>
                <w:szCs w:val="20"/>
                <w:lang w:val="fr-FR" w:eastAsia="fr-FR"/>
              </w:rPr>
            </w:pPr>
          </w:p>
        </w:tc>
        <w:tc>
          <w:tcPr>
            <w:tcW w:w="1494"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1 326 000  </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p>
        </w:tc>
        <w:tc>
          <w:tcPr>
            <w:tcW w:w="1037"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1 008 340  </w:t>
            </w:r>
          </w:p>
        </w:tc>
        <w:tc>
          <w:tcPr>
            <w:tcW w:w="20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1037"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256 161  </w:t>
            </w:r>
          </w:p>
        </w:tc>
        <w:tc>
          <w:tcPr>
            <w:tcW w:w="20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1068" w:type="dxa"/>
            <w:tcBorders>
              <w:top w:val="nil"/>
              <w:left w:val="nil"/>
              <w:bottom w:val="single" w:sz="8" w:space="0" w:color="7030A0"/>
              <w:right w:val="nil"/>
            </w:tcBorders>
            <w:shd w:val="clear" w:color="auto" w:fill="auto"/>
            <w:vAlign w:val="center"/>
            <w:hideMark/>
          </w:tcPr>
          <w:p w:rsidR="00F46C7B" w:rsidRPr="00C73365" w:rsidRDefault="00881350" w:rsidP="00A96CCA">
            <w:pPr>
              <w:spacing w:after="0"/>
              <w:jc w:val="right"/>
              <w:rPr>
                <w:rFonts w:asciiTheme="minorHAnsi" w:hAnsiTheme="minorHAnsi" w:cstheme="minorHAnsi"/>
                <w:b/>
                <w:bCs/>
                <w:color w:val="7030A0"/>
                <w:szCs w:val="20"/>
                <w:highlight w:val="yellow"/>
                <w:lang w:val="fr-FR" w:eastAsia="fr-FR"/>
              </w:rPr>
            </w:pPr>
            <w:r w:rsidRPr="00C73365">
              <w:rPr>
                <w:rFonts w:asciiTheme="minorHAnsi" w:hAnsiTheme="minorHAnsi" w:cstheme="minorHAnsi"/>
                <w:b/>
                <w:bCs/>
                <w:color w:val="7030A0"/>
                <w:szCs w:val="20"/>
                <w:lang w:val="fr-FR" w:eastAsia="fr-FR"/>
              </w:rPr>
              <w:t>1 453 499</w:t>
            </w:r>
          </w:p>
        </w:tc>
        <w:tc>
          <w:tcPr>
            <w:tcW w:w="20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w:t>
            </w:r>
          </w:p>
        </w:tc>
        <w:tc>
          <w:tcPr>
            <w:tcW w:w="1063"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714 237  </w:t>
            </w:r>
          </w:p>
        </w:tc>
        <w:tc>
          <w:tcPr>
            <w:tcW w:w="157" w:type="dxa"/>
            <w:tcBorders>
              <w:top w:val="nil"/>
              <w:left w:val="nil"/>
              <w:bottom w:val="nil"/>
              <w:right w:val="nil"/>
            </w:tcBorders>
            <w:shd w:val="clear" w:color="auto" w:fill="auto"/>
            <w:vAlign w:val="center"/>
            <w:hideMark/>
          </w:tcPr>
          <w:p w:rsidR="00F46C7B" w:rsidRPr="00C73365" w:rsidRDefault="00F46C7B" w:rsidP="00A96CCA">
            <w:pPr>
              <w:spacing w:after="0"/>
              <w:jc w:val="right"/>
              <w:rPr>
                <w:rFonts w:asciiTheme="minorHAnsi" w:hAnsiTheme="minorHAnsi" w:cstheme="minorHAnsi"/>
                <w:b/>
                <w:bCs/>
                <w:color w:val="7030A0"/>
                <w:szCs w:val="20"/>
                <w:lang w:val="fr-FR" w:eastAsia="fr-FR"/>
              </w:rPr>
            </w:pPr>
          </w:p>
        </w:tc>
        <w:tc>
          <w:tcPr>
            <w:tcW w:w="1709" w:type="dxa"/>
            <w:tcBorders>
              <w:top w:val="nil"/>
              <w:left w:val="nil"/>
              <w:bottom w:val="single" w:sz="8" w:space="0" w:color="7030A0"/>
              <w:right w:val="nil"/>
            </w:tcBorders>
            <w:shd w:val="clear" w:color="auto" w:fill="auto"/>
            <w:vAlign w:val="center"/>
            <w:hideMark/>
          </w:tcPr>
          <w:p w:rsidR="00F46C7B" w:rsidRPr="00C73365" w:rsidRDefault="00881350" w:rsidP="00A96CCA">
            <w:pPr>
              <w:spacing w:after="0"/>
              <w:jc w:val="right"/>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4 758 237</w:t>
            </w:r>
            <w:r w:rsidR="002F7301" w:rsidRPr="00C73365">
              <w:rPr>
                <w:rFonts w:asciiTheme="minorHAnsi" w:hAnsiTheme="minorHAnsi" w:cstheme="minorHAnsi"/>
                <w:b/>
                <w:bCs/>
                <w:color w:val="7030A0"/>
                <w:szCs w:val="20"/>
                <w:lang w:val="fr-FR" w:eastAsia="fr-FR"/>
              </w:rPr>
              <w:t xml:space="preserve">  </w:t>
            </w:r>
          </w:p>
        </w:tc>
      </w:tr>
    </w:tbl>
    <w:p w:rsidR="00F46C7B" w:rsidRPr="00C73365" w:rsidRDefault="00F46C7B" w:rsidP="004572A0">
      <w:pPr>
        <w:pStyle w:val="Caption"/>
        <w:rPr>
          <w:rFonts w:asciiTheme="minorHAnsi" w:hAnsiTheme="minorHAnsi" w:cstheme="minorHAnsi"/>
          <w:lang w:val="fr-FR"/>
        </w:rPr>
      </w:pPr>
      <w:r w:rsidRPr="00C73365">
        <w:rPr>
          <w:rFonts w:asciiTheme="minorHAnsi" w:hAnsiTheme="minorHAnsi" w:cstheme="minorHAnsi"/>
          <w:lang w:val="fr-FR"/>
        </w:rPr>
        <w:t>* Montant maximal versé au titre de la prochaine étape clé</w:t>
      </w:r>
    </w:p>
    <w:p w:rsidR="00F46C7B" w:rsidRPr="00C73365" w:rsidRDefault="00F46C7B" w:rsidP="004572A0">
      <w:pPr>
        <w:pStyle w:val="BodyText"/>
        <w:rPr>
          <w:rFonts w:asciiTheme="minorHAnsi" w:hAnsiTheme="minorHAnsi" w:cstheme="minorHAnsi"/>
          <w:i/>
          <w:lang w:val="fr-FR"/>
        </w:rPr>
      </w:pPr>
      <w:r w:rsidRPr="00C73365">
        <w:rPr>
          <w:rFonts w:asciiTheme="minorHAnsi" w:hAnsiTheme="minorHAnsi" w:cstheme="minorHAnsi"/>
          <w:i/>
          <w:lang w:val="fr-FR"/>
        </w:rPr>
        <w:t>** Solde (15% minimum)</w:t>
      </w:r>
    </w:p>
    <w:p w:rsidR="000E3F43" w:rsidRPr="00C73365" w:rsidRDefault="000E3F43" w:rsidP="00A96CCA">
      <w:pPr>
        <w:spacing w:after="0"/>
        <w:rPr>
          <w:rFonts w:asciiTheme="minorHAnsi" w:hAnsiTheme="minorHAnsi" w:cstheme="minorHAnsi"/>
          <w:sz w:val="8"/>
          <w:szCs w:val="8"/>
          <w:lang w:val="fr-FR"/>
        </w:rPr>
      </w:pPr>
    </w:p>
    <w:p w:rsidR="000E3F43" w:rsidRPr="00C73365" w:rsidRDefault="000E3F43" w:rsidP="00A96CCA">
      <w:pPr>
        <w:spacing w:after="0"/>
        <w:rPr>
          <w:rFonts w:asciiTheme="minorHAnsi" w:hAnsiTheme="minorHAnsi" w:cstheme="minorHAnsi"/>
          <w:sz w:val="8"/>
          <w:szCs w:val="8"/>
          <w:lang w:val="fr-FR"/>
        </w:r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lastRenderedPageBreak/>
        <w:t xml:space="preserve">Les retours financiers dus à </w:t>
      </w:r>
      <w:r w:rsidR="001479F8">
        <w:rPr>
          <w:rFonts w:asciiTheme="minorHAnsi" w:hAnsiTheme="minorHAnsi" w:cstheme="minorHAnsi"/>
          <w:lang w:val="fr-FR"/>
        </w:rPr>
        <w:t>Bpifrance</w:t>
      </w:r>
      <w:r w:rsidRPr="00C73365">
        <w:rPr>
          <w:rFonts w:asciiTheme="minorHAnsi" w:hAnsiTheme="minorHAnsi" w:cstheme="minorHAnsi"/>
          <w:lang w:val="fr-FR"/>
        </w:rPr>
        <w:t xml:space="preserve"> au titre des avances remboursables du projet CaReNA comprennent, d’une part le remboursement du nominal des avances remboursables actualisé au taux communautaire en vigueur à la date de décision d’octroi de l’aide par </w:t>
      </w:r>
      <w:r w:rsidR="001479F8">
        <w:rPr>
          <w:rFonts w:asciiTheme="minorHAnsi" w:hAnsiTheme="minorHAnsi" w:cstheme="minorHAnsi"/>
          <w:lang w:val="fr-FR"/>
        </w:rPr>
        <w:t>Bpifrance</w:t>
      </w:r>
      <w:r w:rsidRPr="00C73365">
        <w:rPr>
          <w:rFonts w:asciiTheme="minorHAnsi" w:hAnsiTheme="minorHAnsi" w:cstheme="minorHAnsi"/>
          <w:lang w:val="fr-FR"/>
        </w:rPr>
        <w:t xml:space="preserve"> majoré de 100 points de base, d’autre part des versements complémentaires</w:t>
      </w:r>
      <w:r w:rsidR="008B3EAD"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Dans le cadre du contrat bénéficiaire d’avance remboursable, la Société s’est engagée à rembourser un montant total de 4 397 000 euros selon l’échéancier forfaitaire prévisionnel suivant :</w:t>
      </w:r>
    </w:p>
    <w:tbl>
      <w:tblPr>
        <w:tblpPr w:leftFromText="141" w:rightFromText="141" w:vertAnchor="text" w:horzAnchor="page" w:tblpX="4376" w:tblpY="122"/>
        <w:tblW w:w="3946" w:type="dxa"/>
        <w:tblCellMar>
          <w:left w:w="70" w:type="dxa"/>
          <w:right w:w="70" w:type="dxa"/>
        </w:tblCellMar>
        <w:tblLook w:val="04A0" w:firstRow="1" w:lastRow="0" w:firstColumn="1" w:lastColumn="0" w:noHBand="0" w:noVBand="1"/>
      </w:tblPr>
      <w:tblGrid>
        <w:gridCol w:w="2500"/>
        <w:gridCol w:w="146"/>
        <w:gridCol w:w="1300"/>
      </w:tblGrid>
      <w:tr w:rsidR="00F46C7B" w:rsidRPr="00C73365" w:rsidTr="009538A0">
        <w:trPr>
          <w:trHeight w:val="288"/>
        </w:trPr>
        <w:tc>
          <w:tcPr>
            <w:tcW w:w="2500" w:type="dxa"/>
            <w:tcBorders>
              <w:top w:val="single" w:sz="4" w:space="0" w:color="7030A0"/>
              <w:left w:val="nil"/>
              <w:bottom w:val="single" w:sz="4" w:space="0" w:color="7030A0"/>
              <w:right w:val="nil"/>
            </w:tcBorders>
            <w:shd w:val="clear" w:color="auto" w:fill="auto"/>
            <w:noWrap/>
            <w:vAlign w:val="center"/>
            <w:hideMark/>
          </w:tcPr>
          <w:p w:rsidR="00F46C7B" w:rsidRPr="00C73365" w:rsidRDefault="00F46C7B" w:rsidP="009538A0">
            <w:pPr>
              <w:spacing w:after="0"/>
              <w:rPr>
                <w:rFonts w:asciiTheme="minorHAnsi" w:hAnsiTheme="minorHAnsi" w:cstheme="minorHAnsi"/>
                <w:lang w:val="fr-FR"/>
              </w:rPr>
            </w:pPr>
            <w:r w:rsidRPr="00C73365">
              <w:rPr>
                <w:rFonts w:asciiTheme="minorHAnsi" w:hAnsiTheme="minorHAnsi" w:cstheme="minorHAnsi"/>
                <w:lang w:val="fr-FR"/>
              </w:rPr>
              <w:t>Au plus tard le 30 juin 2020</w:t>
            </w:r>
          </w:p>
        </w:tc>
        <w:tc>
          <w:tcPr>
            <w:tcW w:w="146" w:type="dxa"/>
            <w:tcBorders>
              <w:top w:val="single" w:sz="4" w:space="0" w:color="7030A0"/>
              <w:left w:val="nil"/>
              <w:bottom w:val="single" w:sz="4" w:space="0" w:color="7030A0"/>
              <w:right w:val="nil"/>
            </w:tcBorders>
            <w:shd w:val="clear" w:color="auto" w:fill="auto"/>
            <w:noWrap/>
            <w:vAlign w:val="bottom"/>
            <w:hideMark/>
          </w:tcPr>
          <w:p w:rsidR="00F46C7B" w:rsidRPr="00C73365" w:rsidRDefault="00F46C7B" w:rsidP="009538A0">
            <w:pPr>
              <w:spacing w:after="0"/>
              <w:rPr>
                <w:rFonts w:asciiTheme="minorHAnsi" w:hAnsiTheme="minorHAnsi" w:cstheme="minorHAnsi"/>
                <w:lang w:val="fr-FR"/>
              </w:rPr>
            </w:pPr>
          </w:p>
        </w:tc>
        <w:tc>
          <w:tcPr>
            <w:tcW w:w="1300" w:type="dxa"/>
            <w:tcBorders>
              <w:top w:val="single" w:sz="4" w:space="0" w:color="7030A0"/>
              <w:left w:val="nil"/>
              <w:bottom w:val="single" w:sz="4" w:space="0" w:color="7030A0"/>
              <w:right w:val="nil"/>
            </w:tcBorders>
            <w:shd w:val="clear" w:color="auto" w:fill="auto"/>
            <w:noWrap/>
            <w:hideMark/>
          </w:tcPr>
          <w:p w:rsidR="00F46C7B" w:rsidRPr="00C73365" w:rsidRDefault="00F46C7B" w:rsidP="009538A0">
            <w:pPr>
              <w:spacing w:after="0"/>
              <w:jc w:val="right"/>
              <w:rPr>
                <w:rFonts w:asciiTheme="minorHAnsi" w:hAnsiTheme="minorHAnsi" w:cstheme="minorHAnsi"/>
                <w:lang w:val="fr-FR"/>
              </w:rPr>
            </w:pPr>
            <w:r w:rsidRPr="00C73365">
              <w:rPr>
                <w:rFonts w:asciiTheme="minorHAnsi" w:hAnsiTheme="minorHAnsi" w:cstheme="minorHAnsi"/>
                <w:lang w:val="fr-FR"/>
              </w:rPr>
              <w:t xml:space="preserve">300 </w:t>
            </w:r>
            <w:r w:rsidR="00EF089C" w:rsidRPr="00C73365">
              <w:rPr>
                <w:rFonts w:asciiTheme="minorHAnsi" w:hAnsiTheme="minorHAnsi" w:cstheme="minorHAnsi"/>
                <w:lang w:val="fr-FR"/>
              </w:rPr>
              <w:t>K€</w:t>
            </w:r>
          </w:p>
        </w:tc>
      </w:tr>
      <w:tr w:rsidR="00F46C7B" w:rsidRPr="00C73365" w:rsidTr="009538A0">
        <w:trPr>
          <w:trHeight w:val="288"/>
        </w:trPr>
        <w:tc>
          <w:tcPr>
            <w:tcW w:w="2500" w:type="dxa"/>
            <w:tcBorders>
              <w:top w:val="single" w:sz="4" w:space="0" w:color="7030A0"/>
              <w:left w:val="nil"/>
              <w:bottom w:val="single" w:sz="4" w:space="0" w:color="7030A0"/>
              <w:right w:val="nil"/>
            </w:tcBorders>
            <w:shd w:val="clear" w:color="auto" w:fill="auto"/>
            <w:noWrap/>
            <w:vAlign w:val="center"/>
          </w:tcPr>
          <w:p w:rsidR="00F46C7B" w:rsidRPr="00C73365" w:rsidRDefault="00F46C7B" w:rsidP="009538A0">
            <w:pPr>
              <w:spacing w:after="0"/>
              <w:rPr>
                <w:rFonts w:asciiTheme="minorHAnsi" w:hAnsiTheme="minorHAnsi" w:cstheme="minorHAnsi"/>
                <w:lang w:val="fr-FR"/>
              </w:rPr>
            </w:pPr>
            <w:r w:rsidRPr="00C73365">
              <w:rPr>
                <w:rFonts w:asciiTheme="minorHAnsi" w:hAnsiTheme="minorHAnsi" w:cstheme="minorHAnsi"/>
                <w:lang w:val="fr-FR"/>
              </w:rPr>
              <w:t>Au plus tard le 30 juin 2021</w:t>
            </w:r>
          </w:p>
        </w:tc>
        <w:tc>
          <w:tcPr>
            <w:tcW w:w="146" w:type="dxa"/>
            <w:tcBorders>
              <w:top w:val="single" w:sz="4" w:space="0" w:color="7030A0"/>
              <w:left w:val="nil"/>
              <w:bottom w:val="single" w:sz="4" w:space="0" w:color="7030A0"/>
              <w:right w:val="nil"/>
            </w:tcBorders>
            <w:shd w:val="clear" w:color="auto" w:fill="auto"/>
            <w:noWrap/>
            <w:vAlign w:val="bottom"/>
          </w:tcPr>
          <w:p w:rsidR="00F46C7B" w:rsidRPr="00C73365" w:rsidRDefault="00F46C7B" w:rsidP="009538A0">
            <w:pPr>
              <w:spacing w:after="0"/>
              <w:rPr>
                <w:rFonts w:asciiTheme="minorHAnsi" w:hAnsiTheme="minorHAnsi" w:cstheme="minorHAnsi"/>
                <w:lang w:val="fr-FR"/>
              </w:rPr>
            </w:pPr>
          </w:p>
        </w:tc>
        <w:tc>
          <w:tcPr>
            <w:tcW w:w="1300" w:type="dxa"/>
            <w:tcBorders>
              <w:top w:val="single" w:sz="4" w:space="0" w:color="7030A0"/>
              <w:left w:val="nil"/>
              <w:bottom w:val="single" w:sz="4" w:space="0" w:color="7030A0"/>
              <w:right w:val="nil"/>
            </w:tcBorders>
            <w:shd w:val="clear" w:color="auto" w:fill="auto"/>
            <w:noWrap/>
          </w:tcPr>
          <w:p w:rsidR="00F46C7B" w:rsidRPr="00C73365" w:rsidRDefault="00F46C7B" w:rsidP="009538A0">
            <w:pPr>
              <w:spacing w:after="0"/>
              <w:jc w:val="right"/>
              <w:rPr>
                <w:rFonts w:asciiTheme="minorHAnsi" w:hAnsiTheme="minorHAnsi" w:cstheme="minorHAnsi"/>
                <w:lang w:val="fr-FR"/>
              </w:rPr>
            </w:pPr>
            <w:r w:rsidRPr="00C73365">
              <w:rPr>
                <w:rFonts w:asciiTheme="minorHAnsi" w:hAnsiTheme="minorHAnsi" w:cstheme="minorHAnsi"/>
                <w:lang w:val="fr-FR"/>
              </w:rPr>
              <w:t xml:space="preserve">500 </w:t>
            </w:r>
            <w:r w:rsidR="00EF089C" w:rsidRPr="00C73365">
              <w:rPr>
                <w:rFonts w:asciiTheme="minorHAnsi" w:hAnsiTheme="minorHAnsi" w:cstheme="minorHAnsi"/>
                <w:lang w:val="fr-FR"/>
              </w:rPr>
              <w:t>K€</w:t>
            </w:r>
          </w:p>
        </w:tc>
      </w:tr>
      <w:tr w:rsidR="00F46C7B" w:rsidRPr="00C73365" w:rsidTr="009538A0">
        <w:trPr>
          <w:trHeight w:val="288"/>
        </w:trPr>
        <w:tc>
          <w:tcPr>
            <w:tcW w:w="2500" w:type="dxa"/>
            <w:tcBorders>
              <w:top w:val="single" w:sz="4" w:space="0" w:color="7030A0"/>
              <w:left w:val="nil"/>
              <w:bottom w:val="single" w:sz="4" w:space="0" w:color="7030A0"/>
              <w:right w:val="nil"/>
            </w:tcBorders>
            <w:shd w:val="clear" w:color="auto" w:fill="auto"/>
            <w:noWrap/>
            <w:vAlign w:val="center"/>
          </w:tcPr>
          <w:p w:rsidR="00F46C7B" w:rsidRPr="00C73365" w:rsidRDefault="00F46C7B" w:rsidP="009538A0">
            <w:pPr>
              <w:spacing w:after="0"/>
              <w:rPr>
                <w:rFonts w:asciiTheme="minorHAnsi" w:hAnsiTheme="minorHAnsi" w:cstheme="minorHAnsi"/>
                <w:lang w:val="fr-FR"/>
              </w:rPr>
            </w:pPr>
            <w:r w:rsidRPr="00C73365">
              <w:rPr>
                <w:rFonts w:asciiTheme="minorHAnsi" w:hAnsiTheme="minorHAnsi" w:cstheme="minorHAnsi"/>
                <w:lang w:val="fr-FR"/>
              </w:rPr>
              <w:t>Au plus tard le 30 juin 2022</w:t>
            </w:r>
          </w:p>
        </w:tc>
        <w:tc>
          <w:tcPr>
            <w:tcW w:w="146" w:type="dxa"/>
            <w:tcBorders>
              <w:top w:val="single" w:sz="4" w:space="0" w:color="7030A0"/>
              <w:left w:val="nil"/>
              <w:bottom w:val="single" w:sz="4" w:space="0" w:color="7030A0"/>
              <w:right w:val="nil"/>
            </w:tcBorders>
            <w:shd w:val="clear" w:color="auto" w:fill="auto"/>
            <w:noWrap/>
            <w:vAlign w:val="bottom"/>
          </w:tcPr>
          <w:p w:rsidR="00F46C7B" w:rsidRPr="00C73365" w:rsidRDefault="00F46C7B" w:rsidP="009538A0">
            <w:pPr>
              <w:spacing w:after="0"/>
              <w:rPr>
                <w:rFonts w:asciiTheme="minorHAnsi" w:hAnsiTheme="minorHAnsi" w:cstheme="minorHAnsi"/>
                <w:lang w:val="fr-FR"/>
              </w:rPr>
            </w:pPr>
          </w:p>
        </w:tc>
        <w:tc>
          <w:tcPr>
            <w:tcW w:w="1300" w:type="dxa"/>
            <w:tcBorders>
              <w:top w:val="single" w:sz="4" w:space="0" w:color="7030A0"/>
              <w:left w:val="nil"/>
              <w:bottom w:val="single" w:sz="4" w:space="0" w:color="7030A0"/>
              <w:right w:val="nil"/>
            </w:tcBorders>
            <w:shd w:val="clear" w:color="auto" w:fill="auto"/>
            <w:noWrap/>
          </w:tcPr>
          <w:p w:rsidR="00F46C7B" w:rsidRPr="00C73365" w:rsidRDefault="00F46C7B" w:rsidP="009538A0">
            <w:pPr>
              <w:spacing w:after="0"/>
              <w:jc w:val="right"/>
              <w:rPr>
                <w:rFonts w:asciiTheme="minorHAnsi" w:hAnsiTheme="minorHAnsi" w:cstheme="minorHAnsi"/>
                <w:lang w:val="fr-FR"/>
              </w:rPr>
            </w:pPr>
            <w:r w:rsidRPr="00C73365">
              <w:rPr>
                <w:rFonts w:asciiTheme="minorHAnsi" w:hAnsiTheme="minorHAnsi" w:cstheme="minorHAnsi"/>
                <w:lang w:val="fr-FR"/>
              </w:rPr>
              <w:t xml:space="preserve">750 </w:t>
            </w:r>
            <w:r w:rsidR="00EF089C" w:rsidRPr="00C73365">
              <w:rPr>
                <w:rFonts w:asciiTheme="minorHAnsi" w:hAnsiTheme="minorHAnsi" w:cstheme="minorHAnsi"/>
                <w:lang w:val="fr-FR"/>
              </w:rPr>
              <w:t>K€</w:t>
            </w:r>
          </w:p>
        </w:tc>
      </w:tr>
      <w:tr w:rsidR="00F46C7B" w:rsidRPr="00C73365" w:rsidTr="009538A0">
        <w:trPr>
          <w:trHeight w:val="288"/>
        </w:trPr>
        <w:tc>
          <w:tcPr>
            <w:tcW w:w="2500" w:type="dxa"/>
            <w:tcBorders>
              <w:top w:val="nil"/>
              <w:left w:val="nil"/>
              <w:bottom w:val="single" w:sz="4" w:space="0" w:color="7030A0"/>
              <w:right w:val="nil"/>
            </w:tcBorders>
            <w:shd w:val="clear" w:color="auto" w:fill="auto"/>
            <w:noWrap/>
            <w:vAlign w:val="center"/>
          </w:tcPr>
          <w:p w:rsidR="00F46C7B" w:rsidRPr="00C73365" w:rsidRDefault="00F46C7B" w:rsidP="009538A0">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t>Au plus tard le 30 juin 2023</w:t>
            </w:r>
          </w:p>
        </w:tc>
        <w:tc>
          <w:tcPr>
            <w:tcW w:w="146" w:type="dxa"/>
            <w:tcBorders>
              <w:top w:val="nil"/>
              <w:left w:val="nil"/>
              <w:bottom w:val="single" w:sz="4" w:space="0" w:color="7030A0"/>
              <w:right w:val="nil"/>
            </w:tcBorders>
            <w:shd w:val="clear" w:color="auto" w:fill="auto"/>
            <w:noWrap/>
            <w:vAlign w:val="bottom"/>
          </w:tcPr>
          <w:p w:rsidR="00F46C7B" w:rsidRPr="00C73365" w:rsidRDefault="00F46C7B" w:rsidP="009538A0">
            <w:pPr>
              <w:spacing w:after="0"/>
              <w:rPr>
                <w:rFonts w:asciiTheme="minorHAnsi" w:hAnsiTheme="minorHAnsi" w:cstheme="minorHAnsi"/>
                <w:color w:val="000000"/>
                <w:szCs w:val="20"/>
                <w:lang w:val="fr-FR" w:eastAsia="fr-FR"/>
              </w:rPr>
            </w:pPr>
          </w:p>
        </w:tc>
        <w:tc>
          <w:tcPr>
            <w:tcW w:w="1300" w:type="dxa"/>
            <w:tcBorders>
              <w:top w:val="nil"/>
              <w:left w:val="nil"/>
              <w:bottom w:val="single" w:sz="4" w:space="0" w:color="7030A0"/>
              <w:right w:val="nil"/>
            </w:tcBorders>
            <w:shd w:val="clear" w:color="auto" w:fill="auto"/>
            <w:noWrap/>
          </w:tcPr>
          <w:p w:rsidR="00F46C7B" w:rsidRPr="00C73365" w:rsidRDefault="00F46C7B" w:rsidP="009538A0">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1 100 </w:t>
            </w:r>
            <w:r w:rsidR="00EF089C" w:rsidRPr="00C73365">
              <w:rPr>
                <w:rFonts w:asciiTheme="minorHAnsi" w:hAnsiTheme="minorHAnsi" w:cstheme="minorHAnsi"/>
                <w:color w:val="000000"/>
                <w:szCs w:val="20"/>
                <w:lang w:val="fr-FR" w:eastAsia="fr-FR"/>
              </w:rPr>
              <w:t>K€</w:t>
            </w:r>
          </w:p>
        </w:tc>
      </w:tr>
      <w:tr w:rsidR="00F46C7B" w:rsidRPr="00C73365" w:rsidTr="009538A0">
        <w:trPr>
          <w:trHeight w:val="288"/>
        </w:trPr>
        <w:tc>
          <w:tcPr>
            <w:tcW w:w="2500" w:type="dxa"/>
            <w:tcBorders>
              <w:top w:val="nil"/>
              <w:left w:val="nil"/>
              <w:bottom w:val="single" w:sz="4" w:space="0" w:color="7030A0"/>
              <w:right w:val="nil"/>
            </w:tcBorders>
            <w:shd w:val="clear" w:color="auto" w:fill="auto"/>
            <w:noWrap/>
            <w:vAlign w:val="center"/>
          </w:tcPr>
          <w:p w:rsidR="00F46C7B" w:rsidRPr="00C73365" w:rsidRDefault="00F46C7B" w:rsidP="009538A0">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t>Au plus tard le 30 juin 2024</w:t>
            </w:r>
          </w:p>
        </w:tc>
        <w:tc>
          <w:tcPr>
            <w:tcW w:w="146" w:type="dxa"/>
            <w:tcBorders>
              <w:top w:val="nil"/>
              <w:left w:val="nil"/>
              <w:bottom w:val="single" w:sz="4" w:space="0" w:color="7030A0"/>
              <w:right w:val="nil"/>
            </w:tcBorders>
            <w:shd w:val="clear" w:color="auto" w:fill="auto"/>
            <w:noWrap/>
            <w:vAlign w:val="bottom"/>
          </w:tcPr>
          <w:p w:rsidR="00F46C7B" w:rsidRPr="00C73365" w:rsidRDefault="00F46C7B" w:rsidP="009538A0">
            <w:pPr>
              <w:spacing w:after="0"/>
              <w:rPr>
                <w:rFonts w:asciiTheme="minorHAnsi" w:hAnsiTheme="minorHAnsi" w:cstheme="minorHAnsi"/>
                <w:color w:val="000000"/>
                <w:szCs w:val="20"/>
                <w:lang w:val="fr-FR" w:eastAsia="fr-FR"/>
              </w:rPr>
            </w:pPr>
          </w:p>
        </w:tc>
        <w:tc>
          <w:tcPr>
            <w:tcW w:w="1300" w:type="dxa"/>
            <w:tcBorders>
              <w:top w:val="nil"/>
              <w:left w:val="nil"/>
              <w:bottom w:val="single" w:sz="4" w:space="0" w:color="7030A0"/>
              <w:right w:val="nil"/>
            </w:tcBorders>
            <w:shd w:val="clear" w:color="auto" w:fill="auto"/>
            <w:noWrap/>
          </w:tcPr>
          <w:p w:rsidR="00F46C7B" w:rsidRPr="00C73365" w:rsidRDefault="00F46C7B" w:rsidP="009538A0">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1 747 </w:t>
            </w:r>
            <w:r w:rsidR="00EF089C" w:rsidRPr="00C73365">
              <w:rPr>
                <w:rFonts w:asciiTheme="minorHAnsi" w:hAnsiTheme="minorHAnsi" w:cstheme="minorHAnsi"/>
                <w:color w:val="000000"/>
                <w:szCs w:val="20"/>
                <w:lang w:val="fr-FR" w:eastAsia="fr-FR"/>
              </w:rPr>
              <w:t>K€</w:t>
            </w:r>
          </w:p>
        </w:tc>
      </w:tr>
      <w:tr w:rsidR="00F46C7B" w:rsidRPr="00C73365" w:rsidTr="009538A0">
        <w:trPr>
          <w:trHeight w:val="454"/>
        </w:trPr>
        <w:tc>
          <w:tcPr>
            <w:tcW w:w="2500" w:type="dxa"/>
            <w:tcBorders>
              <w:top w:val="single" w:sz="4" w:space="0" w:color="7030A0"/>
              <w:left w:val="nil"/>
              <w:bottom w:val="single" w:sz="4" w:space="0" w:color="7030A0"/>
              <w:right w:val="nil"/>
            </w:tcBorders>
            <w:shd w:val="clear" w:color="auto" w:fill="auto"/>
            <w:noWrap/>
            <w:vAlign w:val="center"/>
            <w:hideMark/>
          </w:tcPr>
          <w:p w:rsidR="00F46C7B" w:rsidRPr="00C73365" w:rsidRDefault="00F46C7B" w:rsidP="009538A0">
            <w:pPr>
              <w:spacing w:after="0"/>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TOTAL</w:t>
            </w:r>
          </w:p>
        </w:tc>
        <w:tc>
          <w:tcPr>
            <w:tcW w:w="146" w:type="dxa"/>
            <w:tcBorders>
              <w:top w:val="single" w:sz="4" w:space="0" w:color="7030A0"/>
              <w:left w:val="nil"/>
              <w:bottom w:val="single" w:sz="4" w:space="0" w:color="7030A0"/>
              <w:right w:val="nil"/>
            </w:tcBorders>
            <w:shd w:val="clear" w:color="auto" w:fill="auto"/>
            <w:vAlign w:val="center"/>
            <w:hideMark/>
          </w:tcPr>
          <w:p w:rsidR="00F46C7B" w:rsidRPr="00C73365" w:rsidRDefault="00F46C7B" w:rsidP="009538A0">
            <w:pPr>
              <w:spacing w:after="0"/>
              <w:rPr>
                <w:rFonts w:asciiTheme="minorHAnsi" w:hAnsiTheme="minorHAnsi" w:cstheme="minorHAnsi"/>
                <w:b/>
                <w:color w:val="7030A0"/>
                <w:szCs w:val="20"/>
                <w:lang w:val="fr-FR" w:eastAsia="fr-FR"/>
              </w:rPr>
            </w:pPr>
          </w:p>
        </w:tc>
        <w:tc>
          <w:tcPr>
            <w:tcW w:w="1300" w:type="dxa"/>
            <w:tcBorders>
              <w:top w:val="single" w:sz="4" w:space="0" w:color="7030A0"/>
              <w:left w:val="nil"/>
              <w:bottom w:val="single" w:sz="4" w:space="0" w:color="7030A0"/>
              <w:right w:val="nil"/>
            </w:tcBorders>
            <w:shd w:val="clear" w:color="auto" w:fill="auto"/>
            <w:vAlign w:val="center"/>
            <w:hideMark/>
          </w:tcPr>
          <w:p w:rsidR="00F46C7B" w:rsidRPr="00C73365" w:rsidRDefault="00F46C7B" w:rsidP="009538A0">
            <w:pPr>
              <w:spacing w:after="0"/>
              <w:jc w:val="right"/>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 xml:space="preserve">4 397 </w:t>
            </w:r>
            <w:r w:rsidR="00EF089C" w:rsidRPr="00C73365">
              <w:rPr>
                <w:rFonts w:asciiTheme="minorHAnsi" w:hAnsiTheme="minorHAnsi" w:cstheme="minorHAnsi"/>
                <w:b/>
                <w:color w:val="7030A0"/>
                <w:szCs w:val="20"/>
                <w:lang w:val="fr-FR" w:eastAsia="fr-FR"/>
              </w:rPr>
              <w:t>K€</w:t>
            </w:r>
          </w:p>
        </w:tc>
      </w:tr>
    </w:tbl>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007EC8" w:rsidRPr="00C73365" w:rsidRDefault="00007EC8" w:rsidP="00A96CCA">
      <w:pPr>
        <w:spacing w:after="0"/>
        <w:rPr>
          <w:rFonts w:asciiTheme="minorHAnsi" w:hAnsiTheme="minorHAnsi" w:cstheme="minorHAnsi"/>
          <w:lang w:val="fr-FR"/>
        </w:rPr>
      </w:pPr>
    </w:p>
    <w:p w:rsidR="00007EC8" w:rsidRPr="00C73365" w:rsidRDefault="00007EC8" w:rsidP="00A96CCA">
      <w:pPr>
        <w:spacing w:after="0"/>
        <w:rPr>
          <w:rFonts w:asciiTheme="minorHAnsi" w:hAnsiTheme="minorHAnsi" w:cstheme="minorHAnsi"/>
          <w:lang w:val="fr-FR"/>
        </w:rPr>
      </w:pPr>
    </w:p>
    <w:p w:rsidR="00007EC8" w:rsidRPr="00C73365" w:rsidRDefault="00007EC8" w:rsidP="00A96CCA">
      <w:pPr>
        <w:spacing w:after="0"/>
        <w:rPr>
          <w:rFonts w:asciiTheme="minorHAnsi" w:hAnsiTheme="minorHAnsi" w:cstheme="minorHAnsi"/>
          <w:lang w:val="fr-FR"/>
        </w:rPr>
      </w:pPr>
    </w:p>
    <w:p w:rsidR="00007EC8" w:rsidRPr="00C73365" w:rsidRDefault="00007EC8" w:rsidP="00A96CCA">
      <w:pPr>
        <w:spacing w:after="0"/>
        <w:rPr>
          <w:rFonts w:asciiTheme="minorHAnsi" w:hAnsiTheme="minorHAnsi" w:cstheme="minorHAnsi"/>
          <w:lang w:val="fr-FR"/>
        </w:rPr>
      </w:pPr>
    </w:p>
    <w:p w:rsidR="00332F45" w:rsidRPr="00C73365" w:rsidRDefault="00332F45" w:rsidP="00A96CCA">
      <w:pPr>
        <w:spacing w:after="0"/>
        <w:rPr>
          <w:rFonts w:asciiTheme="minorHAnsi" w:hAnsiTheme="minorHAnsi" w:cstheme="minorHAnsi"/>
          <w:lang w:val="fr-FR"/>
        </w:rPr>
      </w:pPr>
    </w:p>
    <w:p w:rsidR="00332F45" w:rsidRPr="00C73365" w:rsidRDefault="00332F45" w:rsidP="00A96CCA">
      <w:pPr>
        <w:spacing w:after="0"/>
        <w:rPr>
          <w:rFonts w:asciiTheme="minorHAnsi" w:hAnsiTheme="minorHAnsi" w:cstheme="minorHAnsi"/>
          <w:lang w:val="fr-FR"/>
        </w:rPr>
      </w:pPr>
    </w:p>
    <w:p w:rsidR="00820BE1" w:rsidRDefault="00820BE1" w:rsidP="004572A0">
      <w:pPr>
        <w:pStyle w:val="BodyText"/>
        <w:rPr>
          <w:rFonts w:asciiTheme="minorHAnsi" w:hAnsiTheme="minorHAnsi" w:cstheme="minorHAnsi"/>
          <w:lang w:val="fr-FR"/>
        </w:rPr>
      </w:pPr>
      <w:bookmarkStart w:id="1613" w:name="_Hlk510180253"/>
    </w:p>
    <w:p w:rsidR="009E7D93" w:rsidRPr="00C73365" w:rsidRDefault="009E7D93" w:rsidP="004572A0">
      <w:pPr>
        <w:pStyle w:val="BodyText"/>
        <w:rPr>
          <w:rFonts w:asciiTheme="minorHAnsi" w:hAnsiTheme="minorHAnsi" w:cstheme="minorHAnsi"/>
          <w:lang w:val="fr-FR"/>
        </w:rPr>
      </w:pPr>
      <w:r w:rsidRPr="00C73365">
        <w:rPr>
          <w:rFonts w:asciiTheme="minorHAnsi" w:hAnsiTheme="minorHAnsi" w:cstheme="minorHAnsi"/>
          <w:lang w:val="fr-FR"/>
        </w:rPr>
        <w:t xml:space="preserve">Ce montant correspond au montant maximum d’avances remboursables prévus initialement par le contrat. </w:t>
      </w:r>
      <w:r w:rsidR="00F46C7B" w:rsidRPr="00C73365">
        <w:rPr>
          <w:rFonts w:asciiTheme="minorHAnsi" w:hAnsiTheme="minorHAnsi" w:cstheme="minorHAnsi"/>
          <w:lang w:val="fr-FR"/>
        </w:rPr>
        <w:t xml:space="preserve">Dans </w:t>
      </w:r>
      <w:r w:rsidR="003C16D4" w:rsidRPr="00C73365">
        <w:rPr>
          <w:rFonts w:asciiTheme="minorHAnsi" w:hAnsiTheme="minorHAnsi" w:cstheme="minorHAnsi"/>
          <w:lang w:val="fr-FR"/>
        </w:rPr>
        <w:t>le cas</w:t>
      </w:r>
      <w:r w:rsidR="00F46C7B" w:rsidRPr="00C73365">
        <w:rPr>
          <w:rFonts w:asciiTheme="minorHAnsi" w:hAnsiTheme="minorHAnsi" w:cstheme="minorHAnsi"/>
          <w:lang w:val="fr-FR"/>
        </w:rPr>
        <w:t xml:space="preserve"> où le montant total des avances remboursables effectivement versé par </w:t>
      </w:r>
      <w:r w:rsidR="001479F8">
        <w:rPr>
          <w:rFonts w:asciiTheme="minorHAnsi" w:hAnsiTheme="minorHAnsi" w:cstheme="minorHAnsi"/>
          <w:lang w:val="fr-FR"/>
        </w:rPr>
        <w:t>Bpifrance</w:t>
      </w:r>
      <w:r w:rsidR="00F46C7B" w:rsidRPr="00C73365">
        <w:rPr>
          <w:rFonts w:asciiTheme="minorHAnsi" w:hAnsiTheme="minorHAnsi" w:cstheme="minorHAnsi"/>
          <w:lang w:val="fr-FR"/>
        </w:rPr>
        <w:t xml:space="preserve"> serait inférieur </w:t>
      </w:r>
      <w:r w:rsidR="009538A0" w:rsidRPr="00C73365">
        <w:rPr>
          <w:rFonts w:asciiTheme="minorHAnsi" w:hAnsiTheme="minorHAnsi" w:cstheme="minorHAnsi"/>
          <w:lang w:val="fr-FR"/>
        </w:rPr>
        <w:t>à la somme convenue</w:t>
      </w:r>
      <w:r w:rsidR="00F46C7B" w:rsidRPr="00C73365">
        <w:rPr>
          <w:rFonts w:asciiTheme="minorHAnsi" w:hAnsiTheme="minorHAnsi" w:cstheme="minorHAnsi"/>
          <w:lang w:val="fr-FR"/>
        </w:rPr>
        <w:t xml:space="preserve"> initialement (</w:t>
      </w:r>
      <w:r w:rsidR="003F0197" w:rsidRPr="00C73365">
        <w:rPr>
          <w:rFonts w:asciiTheme="minorHAnsi" w:hAnsiTheme="minorHAnsi" w:cstheme="minorHAnsi"/>
          <w:lang w:val="fr-FR"/>
        </w:rPr>
        <w:t>initialement</w:t>
      </w:r>
      <w:r w:rsidR="00F46C7B" w:rsidRPr="00C73365">
        <w:rPr>
          <w:rFonts w:asciiTheme="minorHAnsi" w:hAnsiTheme="minorHAnsi" w:cstheme="minorHAnsi"/>
          <w:lang w:val="fr-FR"/>
        </w:rPr>
        <w:t xml:space="preserve"> 3</w:t>
      </w:r>
      <w:r w:rsidR="00317657" w:rsidRPr="00C73365">
        <w:rPr>
          <w:rFonts w:asciiTheme="minorHAnsi" w:hAnsiTheme="minorHAnsi" w:cstheme="minorHAnsi"/>
          <w:lang w:val="fr-FR"/>
        </w:rPr>
        <w:t> </w:t>
      </w:r>
      <w:r w:rsidR="00F46C7B" w:rsidRPr="00C73365">
        <w:rPr>
          <w:rFonts w:asciiTheme="minorHAnsi" w:hAnsiTheme="minorHAnsi" w:cstheme="minorHAnsi"/>
          <w:lang w:val="fr-FR"/>
        </w:rPr>
        <w:t>8</w:t>
      </w:r>
      <w:r w:rsidR="00317657" w:rsidRPr="00C73365">
        <w:rPr>
          <w:rFonts w:asciiTheme="minorHAnsi" w:hAnsiTheme="minorHAnsi" w:cstheme="minorHAnsi"/>
          <w:lang w:val="fr-FR"/>
        </w:rPr>
        <w:t xml:space="preserve">30 </w:t>
      </w:r>
      <w:r w:rsidR="00EF089C" w:rsidRPr="00C73365">
        <w:rPr>
          <w:rFonts w:asciiTheme="minorHAnsi" w:hAnsiTheme="minorHAnsi" w:cstheme="minorHAnsi"/>
          <w:lang w:val="fr-FR"/>
        </w:rPr>
        <w:t>K€</w:t>
      </w:r>
      <w:r w:rsidR="00F46C7B" w:rsidRPr="00C73365">
        <w:rPr>
          <w:rFonts w:asciiTheme="minorHAnsi" w:hAnsiTheme="minorHAnsi" w:cstheme="minorHAnsi"/>
          <w:lang w:val="fr-FR"/>
        </w:rPr>
        <w:t xml:space="preserve">), les remboursements indiqués ci-dessus seront réduits au prorata des sommes versées.  </w:t>
      </w:r>
    </w:p>
    <w:bookmarkEnd w:id="1613"/>
    <w:p w:rsidR="00C8587A" w:rsidRPr="00C73365" w:rsidRDefault="009E7D93"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cas échéant,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devra verser à </w:t>
      </w:r>
      <w:r w:rsidR="001479F8">
        <w:rPr>
          <w:rFonts w:asciiTheme="minorHAnsi" w:hAnsiTheme="minorHAnsi" w:cstheme="minorHAnsi"/>
          <w:lang w:val="fr-FR"/>
        </w:rPr>
        <w:t>Bpifrance</w:t>
      </w:r>
      <w:r w:rsidRPr="00C73365">
        <w:rPr>
          <w:rFonts w:asciiTheme="minorHAnsi" w:hAnsiTheme="minorHAnsi" w:cstheme="minorHAnsi"/>
          <w:lang w:val="fr-FR"/>
        </w:rPr>
        <w:t xml:space="preserve"> une annuité égale à 50 % du produit généré par la cession des titres de propriété intellectuelle issus du projet, ainsi que la cession des prototypes, préséries et maquettes réalisées dans le cadre du projet. Dans ce cas, les sommes versées seront déduites en priorité et à due concurrence de l’ultime échéance visées ci-dessus et le cas échéant des précédentes. </w:t>
      </w:r>
    </w:p>
    <w:p w:rsidR="008B3EAD" w:rsidRPr="00C73365" w:rsidRDefault="008B3EAD"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Concernant les versements complémentaires, les conditions suivantes seront appliquées. Si le remboursement de l’avance est effectué dans les conditions présentées ci-dessus, la société versera à </w:t>
      </w:r>
      <w:r w:rsidR="001479F8">
        <w:rPr>
          <w:rFonts w:asciiTheme="minorHAnsi" w:eastAsia="MS Mincho" w:hAnsiTheme="minorHAnsi" w:cstheme="minorHAnsi"/>
          <w:lang w:val="fr-FR" w:eastAsia="fr-FR"/>
        </w:rPr>
        <w:t>BPIFRANCE</w:t>
      </w:r>
      <w:r w:rsidRPr="00C73365">
        <w:rPr>
          <w:rFonts w:asciiTheme="minorHAnsi" w:eastAsia="MS Mincho" w:hAnsiTheme="minorHAnsi" w:cstheme="minorHAnsi"/>
          <w:lang w:val="fr-FR" w:eastAsia="fr-FR"/>
        </w:rPr>
        <w:t>, pendant une durée de 5 année consécutive après la date de terminaison de l’échéancier et dès lors qu’elle aura atteint un montant cumulé de chiffre d’affaires hors taxes égal ou supérieur à 50 000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 1.2% du chiffre d’affaires annuel généré par l’exploitation des produits issus du projet.</w:t>
      </w:r>
      <w:r w:rsidR="00234CD1" w:rsidRPr="00C73365">
        <w:rPr>
          <w:rFonts w:asciiTheme="minorHAnsi" w:eastAsia="MS Mincho" w:hAnsiTheme="minorHAnsi" w:cstheme="minorHAnsi"/>
          <w:lang w:val="fr-FR" w:eastAsia="fr-FR"/>
        </w:rPr>
        <w:t xml:space="preserve"> </w:t>
      </w:r>
      <w:r w:rsidRPr="00C73365">
        <w:rPr>
          <w:rFonts w:asciiTheme="minorHAnsi" w:eastAsia="MS Mincho" w:hAnsiTheme="minorHAnsi" w:cstheme="minorHAnsi"/>
          <w:lang w:val="fr-FR" w:eastAsia="fr-FR"/>
        </w:rPr>
        <w:t>Le montant des versements complémentaires est plafonné à la somme de 6 800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r w:rsidR="00234CD1" w:rsidRPr="00C73365">
        <w:rPr>
          <w:rFonts w:asciiTheme="minorHAnsi" w:eastAsia="MS Mincho" w:hAnsiTheme="minorHAnsi" w:cstheme="minorHAnsi"/>
          <w:lang w:val="fr-FR" w:eastAsia="fr-FR"/>
        </w:rPr>
        <w:t xml:space="preserve"> </w:t>
      </w:r>
      <w:r w:rsidRPr="00C73365">
        <w:rPr>
          <w:rFonts w:asciiTheme="minorHAnsi" w:eastAsia="MS Mincho" w:hAnsiTheme="minorHAnsi" w:cstheme="minorHAnsi"/>
          <w:lang w:val="fr-FR" w:eastAsia="fr-FR"/>
        </w:rPr>
        <w:t>La période totale incluant les remboursements forfaitaires et le versement de l’intéressement est limitée à 15 ans.</w:t>
      </w:r>
    </w:p>
    <w:p w:rsidR="00C8587A" w:rsidRPr="00C73365" w:rsidRDefault="00C8587A" w:rsidP="00A96CCA">
      <w:pPr>
        <w:spacing w:after="0"/>
        <w:rPr>
          <w:rFonts w:asciiTheme="minorHAnsi" w:hAnsiTheme="minorHAnsi" w:cstheme="minorHAnsi"/>
          <w:lang w:val="fr-FR"/>
        </w:rPr>
      </w:pPr>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Contrat </w:t>
      </w:r>
      <w:r w:rsidR="001479F8">
        <w:rPr>
          <w:rFonts w:asciiTheme="minorHAnsi" w:hAnsiTheme="minorHAnsi" w:cstheme="minorHAnsi"/>
          <w:b/>
          <w:color w:val="7030A0"/>
          <w:lang w:val="fr-FR"/>
        </w:rPr>
        <w:t>Bpifrance</w:t>
      </w:r>
      <w:r w:rsidRPr="00C73365">
        <w:rPr>
          <w:rFonts w:asciiTheme="minorHAnsi" w:hAnsiTheme="minorHAnsi" w:cstheme="minorHAnsi"/>
          <w:b/>
          <w:color w:val="7030A0"/>
          <w:lang w:val="fr-FR"/>
        </w:rPr>
        <w:t xml:space="preserve"> Projet </w:t>
      </w:r>
      <w:r w:rsidR="000E5435" w:rsidRPr="00C73365">
        <w:rPr>
          <w:rFonts w:asciiTheme="minorHAnsi" w:hAnsiTheme="minorHAnsi" w:cstheme="minorHAnsi"/>
          <w:b/>
          <w:color w:val="7030A0"/>
          <w:lang w:val="fr-FR"/>
        </w:rPr>
        <w:t>PSPC</w:t>
      </w:r>
      <w:r w:rsidR="009414F6" w:rsidRPr="00C73365">
        <w:rPr>
          <w:rFonts w:asciiTheme="minorHAnsi" w:hAnsiTheme="minorHAnsi" w:cstheme="minorHAnsi"/>
          <w:b/>
          <w:color w:val="7030A0"/>
          <w:lang w:val="fr-FR"/>
        </w:rPr>
        <w:t xml:space="preserve"> </w:t>
      </w:r>
      <w:r w:rsidRPr="00C73365">
        <w:rPr>
          <w:rFonts w:asciiTheme="minorHAnsi" w:hAnsiTheme="minorHAnsi" w:cstheme="minorHAnsi"/>
          <w:b/>
          <w:color w:val="7030A0"/>
          <w:lang w:val="fr-FR"/>
        </w:rPr>
        <w:t xml:space="preserve">« RNP VIR » </w:t>
      </w:r>
    </w:p>
    <w:p w:rsidR="00C8587A" w:rsidRPr="00C73365" w:rsidRDefault="00C8587A" w:rsidP="00A96CCA">
      <w:pPr>
        <w:spacing w:after="0"/>
        <w:rPr>
          <w:rFonts w:asciiTheme="minorHAnsi" w:hAnsiTheme="minorHAnsi" w:cstheme="minorHAnsi"/>
          <w:lang w:val="fr-FR"/>
        </w:rPr>
      </w:pP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Dans la continuité du projet CaReNa, focalisé sur le développement clinique d’une molécule et ayant permis de démontrer la validité d’une approche thérapeutique innovante ciblant les RNPs virales,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a conclu avec </w:t>
      </w:r>
      <w:r w:rsidR="001479F8">
        <w:rPr>
          <w:rFonts w:asciiTheme="minorHAnsi" w:hAnsiTheme="minorHAnsi" w:cstheme="minorHAnsi"/>
          <w:lang w:val="fr-FR"/>
        </w:rPr>
        <w:t>Bpifrance</w:t>
      </w:r>
      <w:r w:rsidRPr="00C73365">
        <w:rPr>
          <w:rFonts w:asciiTheme="minorHAnsi" w:hAnsiTheme="minorHAnsi" w:cstheme="minorHAnsi"/>
          <w:lang w:val="fr-FR"/>
        </w:rPr>
        <w:t xml:space="preserve"> un contrat cadre d’aide ainsi qu’un contrat bénéficiaire d’avance remboursable au projet de recherche et développement structurants pour la compétitivité « RNP VIR » en date du 1</w:t>
      </w:r>
      <w:r w:rsidR="00BE2C65" w:rsidRPr="00C73365">
        <w:rPr>
          <w:rFonts w:asciiTheme="minorHAnsi" w:hAnsiTheme="minorHAnsi" w:cstheme="minorHAnsi"/>
          <w:lang w:val="fr-FR"/>
        </w:rPr>
        <w:t>6</w:t>
      </w:r>
      <w:r w:rsidRPr="00C73365">
        <w:rPr>
          <w:rFonts w:asciiTheme="minorHAnsi" w:hAnsiTheme="minorHAnsi" w:cstheme="minorHAnsi"/>
          <w:lang w:val="fr-FR"/>
        </w:rPr>
        <w:t xml:space="preserve"> décembre 2016.</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Le projet RNP-VIR permettra d’approfondir les méthodes de découverte de nouvelles molécules visant au traitement de multiples maladies infectieuses par le développement de la plateforme technologique antivirale. </w:t>
      </w:r>
    </w:p>
    <w:p w:rsidR="00F46C7B" w:rsidRPr="00C73365" w:rsidRDefault="00EF089C" w:rsidP="004572A0">
      <w:pPr>
        <w:pStyle w:val="BodyText"/>
        <w:rPr>
          <w:rFonts w:asciiTheme="minorHAnsi" w:hAnsiTheme="minorHAnsi" w:cstheme="minorHAnsi"/>
          <w:lang w:val="fr-FR"/>
        </w:rPr>
      </w:pPr>
      <w:r w:rsidRPr="00C73365">
        <w:rPr>
          <w:rFonts w:asciiTheme="minorHAnsi" w:hAnsiTheme="minorHAnsi" w:cstheme="minorHAnsi"/>
          <w:lang w:val="fr-FR"/>
        </w:rPr>
        <w:t>ABIVAX</w:t>
      </w:r>
      <w:r w:rsidR="00F46C7B" w:rsidRPr="00C73365">
        <w:rPr>
          <w:rFonts w:asciiTheme="minorHAnsi" w:hAnsiTheme="minorHAnsi" w:cstheme="minorHAnsi"/>
          <w:lang w:val="fr-FR"/>
        </w:rPr>
        <w:t>, agissant en qualité de chef de file du projet RNP VIR, est associée dans le cadre d’un contrat de consortium au CNRS et à l’Institut Curie.</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En fonction de la réalisation de certaines phases et étapes clés, le contrat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aide </w:t>
      </w:r>
      <w:r w:rsidR="001479F8">
        <w:rPr>
          <w:rFonts w:asciiTheme="minorHAnsi" w:hAnsiTheme="minorHAnsi" w:cstheme="minorHAnsi"/>
          <w:lang w:val="fr-FR"/>
        </w:rPr>
        <w:t>Bpifrance</w:t>
      </w:r>
      <w:r w:rsidRPr="00C73365">
        <w:rPr>
          <w:rFonts w:asciiTheme="minorHAnsi" w:hAnsiTheme="minorHAnsi" w:cstheme="minorHAnsi"/>
          <w:lang w:val="fr-FR"/>
        </w:rPr>
        <w:t xml:space="preserve"> au projet RNP Vir se décompose entre :</w:t>
      </w:r>
    </w:p>
    <w:p w:rsidR="00F46C7B" w:rsidRPr="00C73365" w:rsidRDefault="00F46C7B" w:rsidP="00B170BA">
      <w:pPr>
        <w:pStyle w:val="ListParagraph"/>
        <w:numPr>
          <w:ilvl w:val="0"/>
          <w:numId w:val="40"/>
        </w:numPr>
        <w:spacing w:after="0"/>
        <w:rPr>
          <w:rFonts w:asciiTheme="minorHAnsi" w:hAnsiTheme="minorHAnsi" w:cstheme="minorHAnsi"/>
          <w:lang w:val="fr-FR"/>
        </w:rPr>
      </w:pPr>
      <w:r w:rsidRPr="00C73365">
        <w:rPr>
          <w:rFonts w:asciiTheme="minorHAnsi" w:hAnsiTheme="minorHAnsi" w:cstheme="minorHAnsi"/>
          <w:lang w:val="fr-FR"/>
        </w:rPr>
        <w:t xml:space="preserve">des subventions pour un montant global maximum de 4 043 658 euros dont 2 111 734 euros pour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(soit un taux de subvention de 50% des dépenses programmées) ; et</w:t>
      </w:r>
    </w:p>
    <w:p w:rsidR="00F46C7B" w:rsidRPr="00C73365" w:rsidRDefault="00F46C7B" w:rsidP="00B170BA">
      <w:pPr>
        <w:pStyle w:val="ListParagraph"/>
        <w:numPr>
          <w:ilvl w:val="0"/>
          <w:numId w:val="40"/>
        </w:numPr>
        <w:spacing w:after="0"/>
        <w:rPr>
          <w:rFonts w:asciiTheme="minorHAnsi" w:hAnsiTheme="minorHAnsi" w:cstheme="minorHAnsi"/>
          <w:lang w:val="fr-FR"/>
        </w:rPr>
      </w:pPr>
      <w:r w:rsidRPr="00C73365">
        <w:rPr>
          <w:rFonts w:asciiTheme="minorHAnsi" w:hAnsiTheme="minorHAnsi" w:cstheme="minorHAnsi"/>
          <w:lang w:val="fr-FR"/>
        </w:rPr>
        <w:t>des avances remboursables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 montant global maximum de 6 297 925 euros pour </w:t>
      </w:r>
      <w:r w:rsidR="00EF089C" w:rsidRPr="00C73365">
        <w:rPr>
          <w:rFonts w:asciiTheme="minorHAnsi" w:hAnsiTheme="minorHAnsi" w:cstheme="minorHAnsi"/>
          <w:lang w:val="fr-FR"/>
        </w:rPr>
        <w:t>ABIVAX</w:t>
      </w:r>
      <w:r w:rsidRPr="00C73365">
        <w:rPr>
          <w:rFonts w:asciiTheme="minorHAnsi" w:hAnsiTheme="minorHAnsi" w:cstheme="minorHAnsi"/>
          <w:lang w:val="fr-FR"/>
        </w:rPr>
        <w:t xml:space="preserve"> (soit un taux d’avance remboursable de 50% des dépenses programmées).</w:t>
      </w:r>
    </w:p>
    <w:p w:rsidR="00F46C7B" w:rsidRPr="00C73365" w:rsidRDefault="00F46C7B" w:rsidP="00A96CCA">
      <w:pPr>
        <w:spacing w:after="0"/>
        <w:rPr>
          <w:rFonts w:asciiTheme="minorHAnsi" w:hAnsiTheme="minorHAnsi" w:cstheme="minorHAnsi"/>
          <w:lang w:val="fr-FR"/>
        </w:rPr>
      </w:pP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Echéancier versements maximaux des subventions par étape clé (en euros) :</w:t>
      </w:r>
    </w:p>
    <w:tbl>
      <w:tblPr>
        <w:tblW w:w="10209" w:type="dxa"/>
        <w:tblCellMar>
          <w:left w:w="70" w:type="dxa"/>
          <w:right w:w="70" w:type="dxa"/>
        </w:tblCellMar>
        <w:tblLook w:val="04A0" w:firstRow="1" w:lastRow="0" w:firstColumn="1" w:lastColumn="0" w:noHBand="0" w:noVBand="1"/>
      </w:tblPr>
      <w:tblGrid>
        <w:gridCol w:w="1207"/>
        <w:gridCol w:w="146"/>
        <w:gridCol w:w="1151"/>
        <w:gridCol w:w="146"/>
        <w:gridCol w:w="1108"/>
        <w:gridCol w:w="146"/>
        <w:gridCol w:w="1108"/>
        <w:gridCol w:w="146"/>
        <w:gridCol w:w="1108"/>
        <w:gridCol w:w="146"/>
        <w:gridCol w:w="1108"/>
        <w:gridCol w:w="146"/>
        <w:gridCol w:w="1108"/>
        <w:gridCol w:w="146"/>
        <w:gridCol w:w="1289"/>
      </w:tblGrid>
      <w:tr w:rsidR="0093444B" w:rsidRPr="008C1A4A" w:rsidTr="0093444B">
        <w:trPr>
          <w:trHeight w:val="804"/>
        </w:trPr>
        <w:tc>
          <w:tcPr>
            <w:tcW w:w="1207"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lastRenderedPageBreak/>
              <w:t>Bénéficiaires</w:t>
            </w:r>
          </w:p>
        </w:tc>
        <w:tc>
          <w:tcPr>
            <w:tcW w:w="146" w:type="dxa"/>
            <w:tcBorders>
              <w:top w:val="nil"/>
              <w:left w:val="nil"/>
              <w:bottom w:val="nil"/>
              <w:right w:val="nil"/>
            </w:tcBorders>
            <w:shd w:val="clear" w:color="auto" w:fill="auto"/>
            <w:noWrap/>
            <w:vAlign w:val="bottom"/>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151"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subventions</w:t>
            </w:r>
          </w:p>
        </w:tc>
        <w:tc>
          <w:tcPr>
            <w:tcW w:w="146" w:type="dxa"/>
            <w:tcBorders>
              <w:top w:val="nil"/>
              <w:left w:val="nil"/>
              <w:bottom w:val="nil"/>
              <w:right w:val="nil"/>
            </w:tcBorders>
            <w:shd w:val="clear" w:color="auto" w:fill="auto"/>
            <w:noWrap/>
            <w:vAlign w:val="bottom"/>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r w:rsidRPr="00C73365">
              <w:rPr>
                <w:rFonts w:asciiTheme="minorHAnsi" w:hAnsiTheme="minorHAnsi" w:cstheme="minorHAnsi"/>
                <w:b/>
                <w:bCs/>
                <w:color w:val="000000"/>
                <w:szCs w:val="20"/>
                <w:lang w:val="fr-FR" w:eastAsia="fr-FR"/>
              </w:rPr>
              <w:br/>
              <w:t>T0+12M</w:t>
            </w:r>
          </w:p>
        </w:tc>
        <w:tc>
          <w:tcPr>
            <w:tcW w:w="146" w:type="dxa"/>
            <w:tcBorders>
              <w:top w:val="nil"/>
              <w:left w:val="nil"/>
              <w:bottom w:val="nil"/>
              <w:right w:val="nil"/>
            </w:tcBorders>
            <w:shd w:val="clear" w:color="auto" w:fill="auto"/>
            <w:noWrap/>
            <w:vAlign w:val="bottom"/>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2019</w:t>
            </w:r>
            <w:r w:rsidRPr="00C73365">
              <w:rPr>
                <w:rFonts w:asciiTheme="minorHAnsi" w:hAnsiTheme="minorHAnsi" w:cstheme="minorHAnsi"/>
                <w:b/>
                <w:bCs/>
                <w:color w:val="000000"/>
                <w:szCs w:val="20"/>
                <w:lang w:val="fr-FR" w:eastAsia="fr-FR"/>
              </w:rPr>
              <w:br/>
              <w:t>T0+24M</w:t>
            </w:r>
          </w:p>
        </w:tc>
        <w:tc>
          <w:tcPr>
            <w:tcW w:w="146" w:type="dxa"/>
            <w:tcBorders>
              <w:top w:val="nil"/>
              <w:left w:val="nil"/>
              <w:bottom w:val="nil"/>
              <w:right w:val="nil"/>
            </w:tcBorders>
            <w:shd w:val="clear" w:color="auto" w:fill="auto"/>
            <w:noWrap/>
            <w:vAlign w:val="bottom"/>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2020</w:t>
            </w:r>
            <w:r w:rsidRPr="00C73365">
              <w:rPr>
                <w:rFonts w:asciiTheme="minorHAnsi" w:hAnsiTheme="minorHAnsi" w:cstheme="minorHAnsi"/>
                <w:b/>
                <w:bCs/>
                <w:color w:val="000000"/>
                <w:szCs w:val="20"/>
                <w:lang w:val="fr-FR" w:eastAsia="fr-FR"/>
              </w:rPr>
              <w:br/>
              <w:t>T0+36M</w:t>
            </w:r>
          </w:p>
        </w:tc>
        <w:tc>
          <w:tcPr>
            <w:tcW w:w="146" w:type="dxa"/>
            <w:tcBorders>
              <w:top w:val="nil"/>
              <w:left w:val="nil"/>
              <w:bottom w:val="nil"/>
              <w:right w:val="nil"/>
            </w:tcBorders>
            <w:shd w:val="clear" w:color="auto" w:fill="auto"/>
            <w:noWrap/>
            <w:vAlign w:val="bottom"/>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2021</w:t>
            </w:r>
            <w:r w:rsidRPr="00C73365">
              <w:rPr>
                <w:rFonts w:asciiTheme="minorHAnsi" w:hAnsiTheme="minorHAnsi" w:cstheme="minorHAnsi"/>
                <w:b/>
                <w:bCs/>
                <w:color w:val="000000"/>
                <w:szCs w:val="20"/>
                <w:lang w:val="fr-FR" w:eastAsia="fr-FR"/>
              </w:rPr>
              <w:br/>
              <w:t>T0+48M</w:t>
            </w:r>
          </w:p>
        </w:tc>
        <w:tc>
          <w:tcPr>
            <w:tcW w:w="146" w:type="dxa"/>
            <w:tcBorders>
              <w:top w:val="nil"/>
              <w:left w:val="nil"/>
              <w:bottom w:val="nil"/>
              <w:right w:val="nil"/>
            </w:tcBorders>
            <w:shd w:val="clear" w:color="auto" w:fill="auto"/>
            <w:noWrap/>
            <w:vAlign w:val="bottom"/>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2022 </w:t>
            </w:r>
            <w:r w:rsidRPr="00C73365">
              <w:rPr>
                <w:rFonts w:asciiTheme="minorHAnsi" w:hAnsiTheme="minorHAnsi" w:cstheme="minorHAnsi"/>
                <w:b/>
                <w:bCs/>
                <w:color w:val="7030A0"/>
                <w:sz w:val="18"/>
                <w:szCs w:val="18"/>
                <w:lang w:val="fr-FR" w:eastAsia="fr-FR"/>
              </w:rPr>
              <w:t>*</w:t>
            </w:r>
            <w:r w:rsidRPr="00C73365">
              <w:rPr>
                <w:rFonts w:asciiTheme="minorHAnsi" w:hAnsiTheme="minorHAnsi" w:cstheme="minorHAnsi"/>
                <w:b/>
                <w:bCs/>
                <w:color w:val="7030A0"/>
                <w:sz w:val="18"/>
                <w:szCs w:val="18"/>
                <w:lang w:val="fr-FR" w:eastAsia="fr-FR"/>
              </w:rPr>
              <w:br/>
            </w:r>
            <w:r w:rsidRPr="00C73365">
              <w:rPr>
                <w:rFonts w:asciiTheme="minorHAnsi" w:hAnsiTheme="minorHAnsi" w:cstheme="minorHAnsi"/>
                <w:b/>
                <w:bCs/>
                <w:szCs w:val="20"/>
                <w:lang w:val="fr-FR" w:eastAsia="fr-FR"/>
              </w:rPr>
              <w:t>T0+60M</w:t>
            </w:r>
          </w:p>
        </w:tc>
        <w:tc>
          <w:tcPr>
            <w:tcW w:w="146" w:type="dxa"/>
            <w:tcBorders>
              <w:top w:val="nil"/>
              <w:left w:val="nil"/>
              <w:bottom w:val="nil"/>
              <w:right w:val="nil"/>
            </w:tcBorders>
            <w:shd w:val="clear" w:color="auto" w:fill="auto"/>
            <w:noWrap/>
            <w:vAlign w:val="bottom"/>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p>
        </w:tc>
        <w:tc>
          <w:tcPr>
            <w:tcW w:w="1289" w:type="dxa"/>
            <w:tcBorders>
              <w:top w:val="single" w:sz="12" w:space="0" w:color="7030A0"/>
              <w:left w:val="nil"/>
              <w:bottom w:val="single" w:sz="8" w:space="0" w:color="7030A0"/>
              <w:right w:val="nil"/>
            </w:tcBorders>
            <w:shd w:val="clear" w:color="auto" w:fill="auto"/>
            <w:vAlign w:val="center"/>
            <w:hideMark/>
          </w:tcPr>
          <w:p w:rsidR="0093444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 des versements en subventions</w:t>
            </w:r>
          </w:p>
        </w:tc>
      </w:tr>
      <w:tr w:rsidR="00F46C7B" w:rsidRPr="00C73365" w:rsidTr="0093444B">
        <w:trPr>
          <w:trHeight w:val="205"/>
        </w:trPr>
        <w:tc>
          <w:tcPr>
            <w:tcW w:w="1207" w:type="dxa"/>
            <w:tcBorders>
              <w:top w:val="nil"/>
              <w:left w:val="nil"/>
              <w:bottom w:val="nil"/>
              <w:right w:val="nil"/>
            </w:tcBorders>
            <w:shd w:val="clear" w:color="auto" w:fill="auto"/>
            <w:vAlign w:val="center"/>
            <w:hideMark/>
          </w:tcPr>
          <w:p w:rsidR="00F46C7B" w:rsidRPr="00C73365" w:rsidRDefault="00EF089C"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151"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347</w:t>
            </w:r>
            <w:r w:rsidR="00354796"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523 000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414 000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414 000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nil"/>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96 000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nil"/>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317 734 </w:t>
            </w:r>
            <w:r w:rsidRPr="00C73365">
              <w:rPr>
                <w:rFonts w:asciiTheme="minorHAnsi" w:hAnsiTheme="minorHAnsi" w:cstheme="minorHAnsi"/>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289" w:type="dxa"/>
            <w:tcBorders>
              <w:top w:val="nil"/>
              <w:left w:val="nil"/>
              <w:bottom w:val="nil"/>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2 111 734</w:t>
            </w:r>
          </w:p>
        </w:tc>
      </w:tr>
      <w:tr w:rsidR="00F46C7B" w:rsidRPr="00C73365" w:rsidTr="0093444B">
        <w:trPr>
          <w:trHeight w:val="214"/>
        </w:trPr>
        <w:tc>
          <w:tcPr>
            <w:tcW w:w="1207"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CNRS</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15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721 000</w:t>
            </w:r>
            <w:r w:rsidRPr="00C73365">
              <w:rPr>
                <w:rFonts w:asciiTheme="minorHAnsi" w:hAnsiTheme="minorHAnsi" w:cstheme="minorHAnsi"/>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534 000 </w:t>
            </w:r>
            <w:r w:rsidRPr="00C73365">
              <w:rPr>
                <w:rFonts w:asciiTheme="minorHAnsi" w:hAnsiTheme="minorHAnsi" w:cstheme="minorHAnsi"/>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228 000</w:t>
            </w:r>
            <w:r w:rsidRPr="00C73365">
              <w:rPr>
                <w:rFonts w:asciiTheme="minorHAnsi" w:hAnsiTheme="minorHAnsi" w:cstheme="minorHAnsi"/>
                <w:color w:val="7030A0"/>
                <w:sz w:val="18"/>
                <w:szCs w:val="18"/>
                <w:lang w:val="fr-FR" w:eastAsia="fr-FR"/>
              </w:rPr>
              <w:t xml:space="preserve"> **</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159 000 </w:t>
            </w:r>
            <w:r w:rsidRPr="00C73365">
              <w:rPr>
                <w:rFonts w:asciiTheme="minorHAnsi" w:hAnsiTheme="minorHAnsi" w:cstheme="minorHAnsi"/>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289 924 </w:t>
            </w:r>
            <w:r w:rsidRPr="00C73365">
              <w:rPr>
                <w:rFonts w:asciiTheme="minorHAnsi" w:hAnsiTheme="minorHAnsi" w:cstheme="minorHAnsi"/>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28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1 931 924 </w:t>
            </w:r>
            <w:r w:rsidRPr="00C73365">
              <w:rPr>
                <w:rFonts w:asciiTheme="minorHAnsi" w:hAnsiTheme="minorHAnsi" w:cstheme="minorHAnsi"/>
                <w:color w:val="7030A0"/>
                <w:sz w:val="18"/>
                <w:szCs w:val="18"/>
                <w:lang w:val="fr-FR" w:eastAsia="fr-FR"/>
              </w:rPr>
              <w:t>**</w:t>
            </w:r>
          </w:p>
        </w:tc>
      </w:tr>
      <w:tr w:rsidR="00F46C7B" w:rsidRPr="00C73365" w:rsidTr="0093444B">
        <w:trPr>
          <w:trHeight w:val="214"/>
        </w:trPr>
        <w:tc>
          <w:tcPr>
            <w:tcW w:w="1207"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b/>
                <w:bCs/>
                <w:color w:val="7030A0"/>
                <w:szCs w:val="20"/>
                <w:lang w:val="fr-FR" w:eastAsia="fr-FR"/>
              </w:rPr>
            </w:pPr>
          </w:p>
        </w:tc>
        <w:tc>
          <w:tcPr>
            <w:tcW w:w="1151"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1 068 000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1 057 000  </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642 000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573 000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96 000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10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607 658 </w:t>
            </w:r>
            <w:r w:rsidRPr="00C73365">
              <w:rPr>
                <w:rFonts w:asciiTheme="minorHAnsi" w:hAnsiTheme="minorHAnsi" w:cstheme="minorHAnsi"/>
                <w:b/>
                <w:bCs/>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28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4 043 658</w:t>
            </w:r>
          </w:p>
        </w:tc>
      </w:tr>
    </w:tbl>
    <w:p w:rsidR="00F46C7B" w:rsidRPr="00C73365" w:rsidRDefault="00F46C7B" w:rsidP="004572A0">
      <w:pPr>
        <w:pStyle w:val="Caption"/>
        <w:rPr>
          <w:rFonts w:asciiTheme="minorHAnsi" w:hAnsiTheme="minorHAnsi" w:cstheme="minorHAnsi"/>
          <w:lang w:val="fr-FR"/>
        </w:rPr>
      </w:pPr>
      <w:r w:rsidRPr="00C73365">
        <w:rPr>
          <w:rFonts w:asciiTheme="minorHAnsi" w:hAnsiTheme="minorHAnsi" w:cstheme="minorHAnsi"/>
          <w:lang w:val="fr-FR"/>
        </w:rPr>
        <w:t>T0 = 02/01/2017</w:t>
      </w:r>
    </w:p>
    <w:p w:rsidR="00F46C7B" w:rsidRPr="00C93577" w:rsidRDefault="00F46C7B" w:rsidP="004572A0">
      <w:pPr>
        <w:pStyle w:val="ListBullet"/>
        <w:rPr>
          <w:rFonts w:asciiTheme="minorHAnsi" w:hAnsiTheme="minorHAnsi" w:cstheme="minorHAnsi"/>
          <w:lang w:val="fr-FR"/>
        </w:rPr>
      </w:pPr>
      <w:r w:rsidRPr="00C93577">
        <w:rPr>
          <w:rFonts w:asciiTheme="minorHAnsi" w:hAnsiTheme="minorHAnsi" w:cstheme="minorHAnsi"/>
          <w:lang w:val="fr-FR"/>
        </w:rPr>
        <w:t>15% minimum du montant total des subventions</w:t>
      </w:r>
    </w:p>
    <w:p w:rsidR="00F46C7B" w:rsidRPr="00C73365" w:rsidRDefault="00F46C7B" w:rsidP="004572A0">
      <w:pPr>
        <w:pStyle w:val="BodyText"/>
        <w:rPr>
          <w:rFonts w:asciiTheme="minorHAnsi" w:hAnsiTheme="minorHAnsi" w:cstheme="minorHAnsi"/>
          <w:i/>
          <w:lang w:val="fr-FR"/>
        </w:rPr>
      </w:pPr>
      <w:r w:rsidRPr="00C73365">
        <w:rPr>
          <w:rFonts w:asciiTheme="minorHAnsi" w:hAnsiTheme="minorHAnsi" w:cstheme="minorHAnsi"/>
          <w:i/>
          <w:lang w:val="fr-FR"/>
        </w:rPr>
        <w:t>** Subventions avec Retours à l’Etat</w:t>
      </w:r>
    </w:p>
    <w:p w:rsidR="00D10EEF" w:rsidRPr="00C73365" w:rsidRDefault="00D10EEF" w:rsidP="00A96CCA">
      <w:pPr>
        <w:autoSpaceDE w:val="0"/>
        <w:autoSpaceDN w:val="0"/>
        <w:adjustRightInd w:val="0"/>
        <w:spacing w:after="0"/>
        <w:rPr>
          <w:rFonts w:asciiTheme="minorHAnsi" w:hAnsiTheme="minorHAnsi" w:cstheme="minorHAnsi"/>
          <w:i/>
          <w:color w:val="7030A0"/>
          <w:sz w:val="18"/>
          <w:szCs w:val="20"/>
          <w:lang w:val="fr-FR"/>
        </w:rPr>
      </w:pPr>
    </w:p>
    <w:p w:rsidR="00F46C7B" w:rsidRPr="00C73365" w:rsidRDefault="00F46C7B" w:rsidP="004572A0">
      <w:pPr>
        <w:pStyle w:val="BodyText"/>
        <w:rPr>
          <w:rFonts w:asciiTheme="minorHAnsi" w:hAnsiTheme="minorHAnsi" w:cstheme="minorHAnsi"/>
          <w:b/>
          <w:lang w:val="fr-FR"/>
        </w:rPr>
      </w:pPr>
      <w:r w:rsidRPr="00C73365">
        <w:rPr>
          <w:rFonts w:asciiTheme="minorHAnsi" w:hAnsiTheme="minorHAnsi" w:cstheme="minorHAnsi"/>
          <w:b/>
          <w:lang w:val="fr-FR"/>
        </w:rPr>
        <w:t>Echéancier versements maximaux des avances remboursables par étape clé(en euros) :</w:t>
      </w:r>
    </w:p>
    <w:tbl>
      <w:tblPr>
        <w:tblW w:w="9937" w:type="dxa"/>
        <w:tblCellMar>
          <w:left w:w="70" w:type="dxa"/>
          <w:right w:w="70" w:type="dxa"/>
        </w:tblCellMar>
        <w:tblLook w:val="04A0" w:firstRow="1" w:lastRow="0" w:firstColumn="1" w:lastColumn="0" w:noHBand="0" w:noVBand="1"/>
      </w:tblPr>
      <w:tblGrid>
        <w:gridCol w:w="1206"/>
        <w:gridCol w:w="146"/>
        <w:gridCol w:w="1218"/>
        <w:gridCol w:w="146"/>
        <w:gridCol w:w="1049"/>
        <w:gridCol w:w="146"/>
        <w:gridCol w:w="1050"/>
        <w:gridCol w:w="146"/>
        <w:gridCol w:w="1050"/>
        <w:gridCol w:w="146"/>
        <w:gridCol w:w="1042"/>
        <w:gridCol w:w="146"/>
        <w:gridCol w:w="1042"/>
        <w:gridCol w:w="146"/>
        <w:gridCol w:w="1258"/>
      </w:tblGrid>
      <w:tr w:rsidR="00F46C7B" w:rsidRPr="008C1A4A" w:rsidTr="007C607C">
        <w:trPr>
          <w:trHeight w:val="944"/>
        </w:trPr>
        <w:tc>
          <w:tcPr>
            <w:tcW w:w="1206"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Bénéficiaires</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218"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avances récupérables</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049" w:type="dxa"/>
            <w:tcBorders>
              <w:top w:val="single" w:sz="12" w:space="0" w:color="7030A0"/>
              <w:left w:val="nil"/>
              <w:bottom w:val="single" w:sz="8" w:space="0" w:color="7030A0"/>
              <w:right w:val="nil"/>
            </w:tcBorders>
            <w:shd w:val="clear" w:color="auto" w:fill="auto"/>
            <w:vAlign w:val="center"/>
            <w:hideMark/>
          </w:tcPr>
          <w:p w:rsidR="00F46C7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r w:rsidR="00F46C7B" w:rsidRPr="00C73365">
              <w:rPr>
                <w:rFonts w:asciiTheme="minorHAnsi" w:hAnsiTheme="minorHAnsi" w:cstheme="minorHAnsi"/>
                <w:b/>
                <w:bCs/>
                <w:color w:val="000000"/>
                <w:szCs w:val="20"/>
                <w:lang w:val="fr-FR" w:eastAsia="fr-FR"/>
              </w:rPr>
              <w:br/>
              <w:t>T0+12M</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050" w:type="dxa"/>
            <w:tcBorders>
              <w:top w:val="single" w:sz="12" w:space="0" w:color="7030A0"/>
              <w:left w:val="nil"/>
              <w:bottom w:val="single" w:sz="8" w:space="0" w:color="7030A0"/>
              <w:right w:val="nil"/>
            </w:tcBorders>
            <w:shd w:val="clear" w:color="auto" w:fill="auto"/>
            <w:vAlign w:val="center"/>
            <w:hideMark/>
          </w:tcPr>
          <w:p w:rsidR="00F46C7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2019</w:t>
            </w:r>
            <w:r w:rsidR="00F46C7B" w:rsidRPr="00C73365">
              <w:rPr>
                <w:rFonts w:asciiTheme="minorHAnsi" w:hAnsiTheme="minorHAnsi" w:cstheme="minorHAnsi"/>
                <w:b/>
                <w:bCs/>
                <w:color w:val="000000"/>
                <w:szCs w:val="20"/>
                <w:lang w:val="fr-FR" w:eastAsia="fr-FR"/>
              </w:rPr>
              <w:br/>
              <w:t>T0+24M</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050" w:type="dxa"/>
            <w:tcBorders>
              <w:top w:val="single" w:sz="12" w:space="0" w:color="7030A0"/>
              <w:left w:val="nil"/>
              <w:bottom w:val="single" w:sz="8" w:space="0" w:color="7030A0"/>
              <w:right w:val="nil"/>
            </w:tcBorders>
            <w:shd w:val="clear" w:color="auto" w:fill="auto"/>
            <w:vAlign w:val="center"/>
            <w:hideMark/>
          </w:tcPr>
          <w:p w:rsidR="00F46C7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2020</w:t>
            </w:r>
            <w:r w:rsidR="00F46C7B" w:rsidRPr="00C73365">
              <w:rPr>
                <w:rFonts w:asciiTheme="minorHAnsi" w:hAnsiTheme="minorHAnsi" w:cstheme="minorHAnsi"/>
                <w:b/>
                <w:bCs/>
                <w:color w:val="000000"/>
                <w:szCs w:val="20"/>
                <w:lang w:val="fr-FR" w:eastAsia="fr-FR"/>
              </w:rPr>
              <w:br/>
              <w:t>T0+36M</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042" w:type="dxa"/>
            <w:tcBorders>
              <w:top w:val="single" w:sz="12" w:space="0" w:color="7030A0"/>
              <w:left w:val="nil"/>
              <w:bottom w:val="single" w:sz="8" w:space="0" w:color="7030A0"/>
              <w:right w:val="nil"/>
            </w:tcBorders>
            <w:shd w:val="clear" w:color="auto" w:fill="auto"/>
            <w:vAlign w:val="center"/>
            <w:hideMark/>
          </w:tcPr>
          <w:p w:rsidR="00F46C7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2021</w:t>
            </w:r>
            <w:r w:rsidR="00F46C7B" w:rsidRPr="00C73365">
              <w:rPr>
                <w:rFonts w:asciiTheme="minorHAnsi" w:hAnsiTheme="minorHAnsi" w:cstheme="minorHAnsi"/>
                <w:b/>
                <w:bCs/>
                <w:color w:val="000000"/>
                <w:szCs w:val="20"/>
                <w:lang w:val="fr-FR" w:eastAsia="fr-FR"/>
              </w:rPr>
              <w:br/>
              <w:t>T0+48M</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042" w:type="dxa"/>
            <w:tcBorders>
              <w:top w:val="single" w:sz="12" w:space="0" w:color="7030A0"/>
              <w:left w:val="nil"/>
              <w:bottom w:val="single" w:sz="8" w:space="0" w:color="7030A0"/>
              <w:right w:val="nil"/>
            </w:tcBorders>
            <w:shd w:val="clear" w:color="auto" w:fill="auto"/>
            <w:vAlign w:val="center"/>
            <w:hideMark/>
          </w:tcPr>
          <w:p w:rsidR="00F46C7B" w:rsidRPr="00C73365" w:rsidRDefault="0093444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 xml:space="preserve">2022 </w:t>
            </w:r>
            <w:r w:rsidR="00F46C7B" w:rsidRPr="00C73365">
              <w:rPr>
                <w:rFonts w:asciiTheme="minorHAnsi" w:hAnsiTheme="minorHAnsi" w:cstheme="minorHAnsi"/>
                <w:b/>
                <w:bCs/>
                <w:color w:val="7030A0"/>
                <w:sz w:val="18"/>
                <w:szCs w:val="18"/>
                <w:lang w:val="fr-FR" w:eastAsia="fr-FR"/>
              </w:rPr>
              <w:t>*</w:t>
            </w:r>
            <w:r w:rsidR="00F46C7B" w:rsidRPr="00C73365">
              <w:rPr>
                <w:rFonts w:asciiTheme="minorHAnsi" w:hAnsiTheme="minorHAnsi" w:cstheme="minorHAnsi"/>
                <w:b/>
                <w:bCs/>
                <w:color w:val="7030A0"/>
                <w:sz w:val="18"/>
                <w:szCs w:val="18"/>
                <w:lang w:val="fr-FR" w:eastAsia="fr-FR"/>
              </w:rPr>
              <w:br/>
            </w:r>
            <w:r w:rsidR="00F46C7B" w:rsidRPr="00C73365">
              <w:rPr>
                <w:rFonts w:asciiTheme="minorHAnsi" w:hAnsiTheme="minorHAnsi" w:cstheme="minorHAnsi"/>
                <w:b/>
                <w:bCs/>
                <w:szCs w:val="20"/>
                <w:lang w:val="fr-FR" w:eastAsia="fr-FR"/>
              </w:rPr>
              <w:t>T0+60M</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p>
        </w:tc>
        <w:tc>
          <w:tcPr>
            <w:tcW w:w="1258" w:type="dxa"/>
            <w:tcBorders>
              <w:top w:val="single" w:sz="12" w:space="0" w:color="7030A0"/>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 des versements en avances récupérables</w:t>
            </w:r>
          </w:p>
        </w:tc>
      </w:tr>
      <w:tr w:rsidR="00F46C7B" w:rsidRPr="00C73365" w:rsidTr="007C607C">
        <w:trPr>
          <w:trHeight w:val="251"/>
        </w:trPr>
        <w:tc>
          <w:tcPr>
            <w:tcW w:w="1206" w:type="dxa"/>
            <w:tcBorders>
              <w:top w:val="nil"/>
              <w:left w:val="nil"/>
              <w:bottom w:val="single" w:sz="8" w:space="0" w:color="7030A0"/>
              <w:right w:val="nil"/>
            </w:tcBorders>
            <w:shd w:val="clear" w:color="auto" w:fill="auto"/>
            <w:vAlign w:val="center"/>
            <w:hideMark/>
          </w:tcPr>
          <w:p w:rsidR="00F46C7B" w:rsidRPr="00C73365" w:rsidRDefault="00EF089C"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color w:val="000000"/>
                <w:szCs w:val="20"/>
                <w:lang w:val="fr-FR" w:eastAsia="fr-FR"/>
              </w:rPr>
            </w:pPr>
          </w:p>
        </w:tc>
        <w:tc>
          <w:tcPr>
            <w:tcW w:w="121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00005EAE"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756</w:t>
            </w:r>
            <w:r w:rsidR="00005E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00005EAE"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123</w:t>
            </w:r>
            <w:r w:rsidR="00005E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05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00005EAE"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153</w:t>
            </w:r>
            <w:r w:rsidR="00005E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05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w:t>
            </w:r>
            <w:r w:rsidR="00005EAE"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154</w:t>
            </w:r>
            <w:r w:rsidR="00005E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04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167</w:t>
            </w:r>
            <w:r w:rsidR="00005EAE" w:rsidRPr="00C73365">
              <w:rPr>
                <w:rFonts w:asciiTheme="minorHAnsi" w:hAnsiTheme="minorHAnsi" w:cstheme="minorHAnsi"/>
                <w:color w:val="000000"/>
                <w:szCs w:val="20"/>
                <w:lang w:val="fr-FR" w:eastAsia="fr-FR"/>
              </w:rPr>
              <w:t xml:space="preserve"> </w:t>
            </w:r>
            <w:r w:rsidRPr="00C73365">
              <w:rPr>
                <w:rFonts w:asciiTheme="minorHAnsi" w:hAnsiTheme="minorHAnsi" w:cstheme="minorHAnsi"/>
                <w:color w:val="000000"/>
                <w:szCs w:val="20"/>
                <w:lang w:val="fr-FR" w:eastAsia="fr-FR"/>
              </w:rPr>
              <w:t>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04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944 925 </w:t>
            </w:r>
            <w:r w:rsidRPr="00C73365">
              <w:rPr>
                <w:rFonts w:asciiTheme="minorHAnsi" w:hAnsiTheme="minorHAnsi" w:cstheme="minorHAnsi"/>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color w:val="000000"/>
                <w:szCs w:val="20"/>
                <w:lang w:val="fr-FR" w:eastAsia="fr-FR"/>
              </w:rPr>
            </w:pPr>
          </w:p>
        </w:tc>
        <w:tc>
          <w:tcPr>
            <w:tcW w:w="125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6 297 925</w:t>
            </w:r>
          </w:p>
        </w:tc>
      </w:tr>
      <w:tr w:rsidR="00F46C7B" w:rsidRPr="00C73365" w:rsidTr="007C607C">
        <w:trPr>
          <w:trHeight w:val="397"/>
        </w:trPr>
        <w:tc>
          <w:tcPr>
            <w:tcW w:w="1206"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rPr>
                <w:rFonts w:asciiTheme="minorHAnsi" w:hAnsiTheme="minorHAnsi" w:cstheme="minorHAnsi"/>
                <w:b/>
                <w:bCs/>
                <w:color w:val="7030A0"/>
                <w:szCs w:val="20"/>
                <w:lang w:val="fr-FR" w:eastAsia="fr-FR"/>
              </w:rPr>
            </w:pPr>
          </w:p>
        </w:tc>
        <w:tc>
          <w:tcPr>
            <w:tcW w:w="121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1 756 000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049"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1 123 000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05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1 153 000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050"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1 154 000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04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167 000</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042"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 xml:space="preserve">944 925 </w:t>
            </w:r>
            <w:r w:rsidRPr="00C73365">
              <w:rPr>
                <w:rFonts w:asciiTheme="minorHAnsi" w:hAnsiTheme="minorHAnsi" w:cstheme="minorHAnsi"/>
                <w:b/>
                <w:bCs/>
                <w:color w:val="7030A0"/>
                <w:sz w:val="18"/>
                <w:szCs w:val="18"/>
                <w:lang w:val="fr-FR" w:eastAsia="fr-FR"/>
              </w:rPr>
              <w:t>*</w:t>
            </w:r>
          </w:p>
        </w:tc>
        <w:tc>
          <w:tcPr>
            <w:tcW w:w="146" w:type="dxa"/>
            <w:tcBorders>
              <w:top w:val="nil"/>
              <w:left w:val="nil"/>
              <w:bottom w:val="nil"/>
              <w:right w:val="nil"/>
            </w:tcBorders>
            <w:shd w:val="clear" w:color="auto" w:fill="auto"/>
            <w:noWrap/>
            <w:vAlign w:val="bottom"/>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p>
        </w:tc>
        <w:tc>
          <w:tcPr>
            <w:tcW w:w="1258" w:type="dxa"/>
            <w:tcBorders>
              <w:top w:val="nil"/>
              <w:left w:val="nil"/>
              <w:bottom w:val="single" w:sz="8" w:space="0" w:color="7030A0"/>
              <w:right w:val="nil"/>
            </w:tcBorders>
            <w:shd w:val="clear" w:color="auto" w:fill="auto"/>
            <w:vAlign w:val="center"/>
            <w:hideMark/>
          </w:tcPr>
          <w:p w:rsidR="00F46C7B" w:rsidRPr="00C73365" w:rsidRDefault="00F46C7B"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6 297 925</w:t>
            </w:r>
          </w:p>
        </w:tc>
      </w:tr>
    </w:tbl>
    <w:p w:rsidR="00F46C7B" w:rsidRPr="00C73365" w:rsidRDefault="00F46C7B" w:rsidP="004572A0">
      <w:pPr>
        <w:pStyle w:val="Caption"/>
        <w:rPr>
          <w:rFonts w:asciiTheme="minorHAnsi" w:hAnsiTheme="minorHAnsi" w:cstheme="minorHAnsi"/>
          <w:lang w:val="fr-FR"/>
        </w:rPr>
      </w:pPr>
      <w:r w:rsidRPr="00C73365">
        <w:rPr>
          <w:rFonts w:asciiTheme="minorHAnsi" w:hAnsiTheme="minorHAnsi" w:cstheme="minorHAnsi"/>
          <w:lang w:val="fr-FR"/>
        </w:rPr>
        <w:t>T0 = 02/01/2017</w:t>
      </w:r>
    </w:p>
    <w:p w:rsidR="00F46C7B" w:rsidRPr="00C93577" w:rsidRDefault="00F46C7B" w:rsidP="004572A0">
      <w:pPr>
        <w:pStyle w:val="ListBullet"/>
        <w:rPr>
          <w:rFonts w:asciiTheme="minorHAnsi" w:hAnsiTheme="minorHAnsi" w:cstheme="minorHAnsi"/>
          <w:lang w:val="fr-FR"/>
        </w:rPr>
      </w:pPr>
      <w:r w:rsidRPr="00C93577">
        <w:rPr>
          <w:rFonts w:asciiTheme="minorHAnsi" w:hAnsiTheme="minorHAnsi" w:cstheme="minorHAnsi"/>
          <w:lang w:val="fr-FR"/>
        </w:rPr>
        <w:t>15% minimum du montant total des avances récupérables</w:t>
      </w:r>
    </w:p>
    <w:p w:rsidR="00714A61" w:rsidRPr="00C73365" w:rsidRDefault="00714A61" w:rsidP="00A96CCA">
      <w:pPr>
        <w:autoSpaceDE w:val="0"/>
        <w:autoSpaceDN w:val="0"/>
        <w:adjustRightInd w:val="0"/>
        <w:spacing w:after="0"/>
        <w:rPr>
          <w:rFonts w:asciiTheme="minorHAnsi" w:hAnsiTheme="minorHAnsi" w:cstheme="minorHAnsi"/>
          <w:i/>
          <w:color w:val="7030A0"/>
          <w:sz w:val="18"/>
          <w:szCs w:val="20"/>
          <w:lang w:val="fr-FR"/>
        </w:rPr>
      </w:pPr>
    </w:p>
    <w:p w:rsidR="00714A61" w:rsidRPr="00C73365" w:rsidRDefault="00714A61"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 xml:space="preserve">Les montants reçus en subventions et avances remboursables dépendent des dépenses effectivement engagées pour chaque </w:t>
      </w:r>
      <w:r w:rsidR="0070666C" w:rsidRPr="00C73365">
        <w:rPr>
          <w:rFonts w:asciiTheme="minorHAnsi" w:eastAsia="MS Mincho" w:hAnsiTheme="minorHAnsi" w:cstheme="minorHAnsi"/>
          <w:lang w:val="fr-FR" w:eastAsia="fr-FR"/>
        </w:rPr>
        <w:t>étape</w:t>
      </w:r>
      <w:r w:rsidRPr="00C73365">
        <w:rPr>
          <w:rFonts w:asciiTheme="minorHAnsi" w:eastAsia="MS Mincho" w:hAnsiTheme="minorHAnsi" w:cstheme="minorHAnsi"/>
          <w:lang w:val="fr-FR" w:eastAsia="fr-FR"/>
        </w:rPr>
        <w:t xml:space="preserve">. </w:t>
      </w:r>
      <w:r w:rsidR="0070666C" w:rsidRPr="00C73365">
        <w:rPr>
          <w:rFonts w:asciiTheme="minorHAnsi" w:eastAsia="MS Mincho" w:hAnsiTheme="minorHAnsi" w:cstheme="minorHAnsi"/>
          <w:lang w:val="fr-FR" w:eastAsia="fr-FR"/>
        </w:rPr>
        <w:t>Ils sont</w:t>
      </w:r>
      <w:r w:rsidRPr="00C73365">
        <w:rPr>
          <w:rFonts w:asciiTheme="minorHAnsi" w:eastAsia="MS Mincho" w:hAnsiTheme="minorHAnsi" w:cstheme="minorHAnsi"/>
          <w:lang w:val="fr-FR" w:eastAsia="fr-FR"/>
        </w:rPr>
        <w:t xml:space="preserve"> ainsi susceptibles </w:t>
      </w:r>
      <w:r w:rsidR="0070666C" w:rsidRPr="00C73365">
        <w:rPr>
          <w:rFonts w:asciiTheme="minorHAnsi" w:eastAsia="MS Mincho" w:hAnsiTheme="minorHAnsi" w:cstheme="minorHAnsi"/>
          <w:lang w:val="fr-FR" w:eastAsia="fr-FR"/>
        </w:rPr>
        <w:t>d’évoluer selon les aménagements du projet</w:t>
      </w:r>
      <w:r w:rsidRPr="00C73365">
        <w:rPr>
          <w:rFonts w:asciiTheme="minorHAnsi" w:eastAsia="MS Mincho" w:hAnsiTheme="minorHAnsi" w:cstheme="minorHAnsi"/>
          <w:lang w:val="fr-FR" w:eastAsia="fr-FR"/>
        </w:rPr>
        <w:t xml:space="preserve">. Voici ci-dessous </w:t>
      </w:r>
      <w:r w:rsidR="0070666C" w:rsidRPr="00C73365">
        <w:rPr>
          <w:rFonts w:asciiTheme="minorHAnsi" w:eastAsia="MS Mincho" w:hAnsiTheme="minorHAnsi" w:cstheme="minorHAnsi"/>
          <w:lang w:val="fr-FR" w:eastAsia="fr-FR"/>
        </w:rPr>
        <w:t>les échéanciers</w:t>
      </w:r>
      <w:r w:rsidRPr="00C73365">
        <w:rPr>
          <w:rFonts w:asciiTheme="minorHAnsi" w:eastAsia="MS Mincho" w:hAnsiTheme="minorHAnsi" w:cstheme="minorHAnsi"/>
          <w:lang w:val="fr-FR" w:eastAsia="fr-FR"/>
        </w:rPr>
        <w:t xml:space="preserve"> des versements attendus au 31.03.2018</w:t>
      </w:r>
      <w:r w:rsidR="0070666C" w:rsidRPr="00C73365">
        <w:rPr>
          <w:rFonts w:asciiTheme="minorHAnsi" w:eastAsia="MS Mincho" w:hAnsiTheme="minorHAnsi" w:cstheme="minorHAnsi"/>
          <w:lang w:val="fr-FR" w:eastAsia="fr-FR"/>
        </w:rPr>
        <w:t xml:space="preserve"> selon les évolutions du projet.</w:t>
      </w:r>
    </w:p>
    <w:p w:rsidR="00714A61" w:rsidRPr="00C73365" w:rsidRDefault="00714A61" w:rsidP="004572A0">
      <w:pPr>
        <w:pStyle w:val="BodyText"/>
        <w:rPr>
          <w:rFonts w:asciiTheme="minorHAnsi" w:hAnsiTheme="minorHAnsi" w:cstheme="minorHAnsi"/>
          <w:b/>
          <w:lang w:val="fr-FR"/>
        </w:rPr>
      </w:pPr>
      <w:r w:rsidRPr="00C73365">
        <w:rPr>
          <w:rFonts w:asciiTheme="minorHAnsi" w:hAnsiTheme="minorHAnsi" w:cstheme="minorHAnsi"/>
          <w:b/>
          <w:lang w:val="fr-FR"/>
        </w:rPr>
        <w:t>Echéancier versements</w:t>
      </w:r>
      <w:r w:rsidR="00EC2AFC" w:rsidRPr="00C73365">
        <w:rPr>
          <w:rFonts w:asciiTheme="minorHAnsi" w:hAnsiTheme="minorHAnsi" w:cstheme="minorHAnsi"/>
          <w:b/>
          <w:lang w:val="fr-FR"/>
        </w:rPr>
        <w:t xml:space="preserve"> reçus et</w:t>
      </w:r>
      <w:r w:rsidRPr="00C73365">
        <w:rPr>
          <w:rFonts w:asciiTheme="minorHAnsi" w:hAnsiTheme="minorHAnsi" w:cstheme="minorHAnsi"/>
          <w:b/>
          <w:lang w:val="fr-FR"/>
        </w:rPr>
        <w:t xml:space="preserve"> estimés au 31.03.2018 des subventions par étape clé (en euros) :</w:t>
      </w:r>
    </w:p>
    <w:tbl>
      <w:tblPr>
        <w:tblW w:w="10369" w:type="dxa"/>
        <w:tblCellMar>
          <w:left w:w="70" w:type="dxa"/>
          <w:right w:w="70" w:type="dxa"/>
        </w:tblCellMar>
        <w:tblLook w:val="04A0" w:firstRow="1" w:lastRow="0" w:firstColumn="1" w:lastColumn="0" w:noHBand="0" w:noVBand="1"/>
      </w:tblPr>
      <w:tblGrid>
        <w:gridCol w:w="1207"/>
        <w:gridCol w:w="146"/>
        <w:gridCol w:w="1151"/>
        <w:gridCol w:w="160"/>
        <w:gridCol w:w="146"/>
        <w:gridCol w:w="1108"/>
        <w:gridCol w:w="146"/>
        <w:gridCol w:w="1108"/>
        <w:gridCol w:w="146"/>
        <w:gridCol w:w="1108"/>
        <w:gridCol w:w="146"/>
        <w:gridCol w:w="1108"/>
        <w:gridCol w:w="146"/>
        <w:gridCol w:w="1108"/>
        <w:gridCol w:w="146"/>
        <w:gridCol w:w="1289"/>
      </w:tblGrid>
      <w:tr w:rsidR="00EC2AFC" w:rsidRPr="008C1A4A" w:rsidTr="004849E1">
        <w:trPr>
          <w:trHeight w:val="804"/>
        </w:trPr>
        <w:tc>
          <w:tcPr>
            <w:tcW w:w="1207" w:type="dxa"/>
            <w:tcBorders>
              <w:top w:val="single" w:sz="12" w:space="0" w:color="7030A0"/>
              <w:left w:val="nil"/>
              <w:bottom w:val="single" w:sz="8" w:space="0" w:color="7030A0"/>
              <w:right w:val="nil"/>
            </w:tcBorders>
            <w:shd w:val="clear" w:color="auto" w:fill="auto"/>
            <w:vAlign w:val="center"/>
            <w:hideMark/>
          </w:tcPr>
          <w:p w:rsidR="00714A61" w:rsidRPr="00C73365" w:rsidRDefault="00714A61" w:rsidP="00280009">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Bénéficiaires</w:t>
            </w:r>
          </w:p>
        </w:tc>
        <w:tc>
          <w:tcPr>
            <w:tcW w:w="146" w:type="dxa"/>
            <w:tcBorders>
              <w:top w:val="nil"/>
              <w:left w:val="nil"/>
              <w:bottom w:val="nil"/>
              <w:right w:val="nil"/>
            </w:tcBorders>
            <w:shd w:val="clear" w:color="auto" w:fill="auto"/>
            <w:noWrap/>
            <w:vAlign w:val="bottom"/>
            <w:hideMark/>
          </w:tcPr>
          <w:p w:rsidR="00714A61" w:rsidRPr="00C73365" w:rsidRDefault="00714A61" w:rsidP="00280009">
            <w:pPr>
              <w:spacing w:after="0"/>
              <w:jc w:val="center"/>
              <w:rPr>
                <w:rFonts w:asciiTheme="minorHAnsi" w:hAnsiTheme="minorHAnsi" w:cstheme="minorHAnsi"/>
                <w:b/>
                <w:bCs/>
                <w:color w:val="000000"/>
                <w:szCs w:val="20"/>
                <w:lang w:val="fr-FR" w:eastAsia="fr-FR"/>
              </w:rPr>
            </w:pPr>
          </w:p>
        </w:tc>
        <w:tc>
          <w:tcPr>
            <w:tcW w:w="1151" w:type="dxa"/>
            <w:tcBorders>
              <w:top w:val="single" w:sz="12" w:space="0" w:color="7030A0"/>
              <w:left w:val="nil"/>
              <w:bottom w:val="single" w:sz="8" w:space="0" w:color="7030A0"/>
              <w:right w:val="nil"/>
            </w:tcBorders>
            <w:shd w:val="clear" w:color="auto" w:fill="auto"/>
            <w:vAlign w:val="center"/>
            <w:hideMark/>
          </w:tcPr>
          <w:p w:rsidR="00714A61" w:rsidRPr="00C73365" w:rsidRDefault="00714A61" w:rsidP="00280009">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subventions</w:t>
            </w:r>
            <w:r w:rsidR="00EC2AFC" w:rsidRPr="00C73365">
              <w:rPr>
                <w:rFonts w:asciiTheme="minorHAnsi" w:hAnsiTheme="minorHAnsi" w:cstheme="minorHAnsi"/>
                <w:b/>
                <w:bCs/>
                <w:color w:val="000000"/>
                <w:szCs w:val="20"/>
                <w:lang w:val="fr-FR" w:eastAsia="fr-FR"/>
              </w:rPr>
              <w:t xml:space="preserve"> </w:t>
            </w:r>
          </w:p>
        </w:tc>
        <w:tc>
          <w:tcPr>
            <w:tcW w:w="160" w:type="dxa"/>
            <w:tcBorders>
              <w:top w:val="nil"/>
              <w:left w:val="nil"/>
              <w:bottom w:val="nil"/>
              <w:right w:val="nil"/>
            </w:tcBorders>
          </w:tcPr>
          <w:p w:rsidR="00714A61" w:rsidRPr="00C73365" w:rsidRDefault="00714A61" w:rsidP="00280009">
            <w:pPr>
              <w:spacing w:after="0"/>
              <w:jc w:val="center"/>
              <w:rPr>
                <w:rFonts w:asciiTheme="minorHAnsi" w:hAnsiTheme="minorHAnsi" w:cstheme="minorHAnsi"/>
                <w:b/>
                <w:bCs/>
                <w:color w:val="000000"/>
                <w:szCs w:val="20"/>
                <w:lang w:val="fr-FR" w:eastAsia="fr-FR"/>
              </w:rPr>
            </w:pPr>
          </w:p>
        </w:tc>
        <w:tc>
          <w:tcPr>
            <w:tcW w:w="146" w:type="dxa"/>
            <w:tcBorders>
              <w:top w:val="nil"/>
              <w:left w:val="nil"/>
              <w:bottom w:val="nil"/>
              <w:right w:val="nil"/>
            </w:tcBorders>
            <w:shd w:val="clear" w:color="auto" w:fill="auto"/>
            <w:noWrap/>
            <w:vAlign w:val="bottom"/>
            <w:hideMark/>
          </w:tcPr>
          <w:p w:rsidR="00714A61" w:rsidRPr="00C73365" w:rsidRDefault="00714A61" w:rsidP="00280009">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EC2AFC" w:rsidRPr="00C73365" w:rsidRDefault="00714A61" w:rsidP="00881350">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r w:rsidRPr="00C73365">
              <w:rPr>
                <w:rFonts w:asciiTheme="minorHAnsi" w:hAnsiTheme="minorHAnsi" w:cstheme="minorHAnsi"/>
                <w:b/>
                <w:bCs/>
                <w:color w:val="000000"/>
                <w:szCs w:val="20"/>
                <w:lang w:val="fr-FR" w:eastAsia="fr-FR"/>
              </w:rPr>
              <w:br/>
              <w:t>T0+12M</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EC2AFC" w:rsidRPr="00C73365" w:rsidRDefault="00714A61" w:rsidP="00881350">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2019</w:t>
            </w:r>
            <w:r w:rsidRPr="00C73365">
              <w:rPr>
                <w:rFonts w:asciiTheme="minorHAnsi" w:hAnsiTheme="minorHAnsi" w:cstheme="minorHAnsi"/>
                <w:b/>
                <w:bCs/>
                <w:color w:val="000000"/>
                <w:szCs w:val="20"/>
                <w:lang w:val="fr-FR" w:eastAsia="fr-FR"/>
              </w:rPr>
              <w:br/>
              <w:t>T0+24M</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EC2AFC" w:rsidRPr="00C73365" w:rsidRDefault="00714A61" w:rsidP="00881350">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2020</w:t>
            </w:r>
            <w:r w:rsidRPr="00C73365">
              <w:rPr>
                <w:rFonts w:asciiTheme="minorHAnsi" w:hAnsiTheme="minorHAnsi" w:cstheme="minorHAnsi"/>
                <w:b/>
                <w:bCs/>
                <w:color w:val="000000"/>
                <w:szCs w:val="20"/>
                <w:lang w:val="fr-FR" w:eastAsia="fr-FR"/>
              </w:rPr>
              <w:br/>
              <w:t>T0+36M</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EC2AFC" w:rsidRPr="00C73365" w:rsidRDefault="00714A61" w:rsidP="00881350">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2021</w:t>
            </w:r>
            <w:r w:rsidRPr="00C73365">
              <w:rPr>
                <w:rFonts w:asciiTheme="minorHAnsi" w:hAnsiTheme="minorHAnsi" w:cstheme="minorHAnsi"/>
                <w:b/>
                <w:bCs/>
                <w:color w:val="000000"/>
                <w:szCs w:val="20"/>
                <w:lang w:val="fr-FR" w:eastAsia="fr-FR"/>
              </w:rPr>
              <w:br/>
              <w:t>T0+48M</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b/>
                <w:bCs/>
                <w:color w:val="000000"/>
                <w:szCs w:val="20"/>
                <w:lang w:val="fr-FR" w:eastAsia="fr-FR"/>
              </w:rPr>
            </w:pPr>
          </w:p>
        </w:tc>
        <w:tc>
          <w:tcPr>
            <w:tcW w:w="1108" w:type="dxa"/>
            <w:tcBorders>
              <w:top w:val="single" w:sz="12" w:space="0" w:color="7030A0"/>
              <w:left w:val="nil"/>
              <w:bottom w:val="single" w:sz="8" w:space="0" w:color="7030A0"/>
              <w:right w:val="nil"/>
            </w:tcBorders>
            <w:shd w:val="clear" w:color="auto" w:fill="auto"/>
            <w:vAlign w:val="center"/>
            <w:hideMark/>
          </w:tcPr>
          <w:p w:rsidR="00EC2AFC" w:rsidRPr="00C73365" w:rsidRDefault="00714A61" w:rsidP="00881350">
            <w:pPr>
              <w:spacing w:after="0"/>
              <w:jc w:val="center"/>
              <w:rPr>
                <w:rFonts w:asciiTheme="minorHAnsi" w:hAnsiTheme="minorHAnsi" w:cstheme="minorHAnsi"/>
                <w:b/>
                <w:bCs/>
                <w:szCs w:val="20"/>
                <w:lang w:val="fr-FR" w:eastAsia="fr-FR"/>
              </w:rPr>
            </w:pPr>
            <w:r w:rsidRPr="00C73365">
              <w:rPr>
                <w:rFonts w:asciiTheme="minorHAnsi" w:hAnsiTheme="minorHAnsi" w:cstheme="minorHAnsi"/>
                <w:b/>
                <w:bCs/>
                <w:color w:val="000000"/>
                <w:szCs w:val="20"/>
                <w:lang w:val="fr-FR" w:eastAsia="fr-FR"/>
              </w:rPr>
              <w:t xml:space="preserve">2022 </w:t>
            </w:r>
            <w:r w:rsidRPr="00C73365">
              <w:rPr>
                <w:rFonts w:asciiTheme="minorHAnsi" w:hAnsiTheme="minorHAnsi" w:cstheme="minorHAnsi"/>
                <w:b/>
                <w:bCs/>
                <w:color w:val="7030A0"/>
                <w:sz w:val="18"/>
                <w:szCs w:val="18"/>
                <w:lang w:val="fr-FR" w:eastAsia="fr-FR"/>
              </w:rPr>
              <w:t>*</w:t>
            </w:r>
            <w:r w:rsidRPr="00C73365">
              <w:rPr>
                <w:rFonts w:asciiTheme="minorHAnsi" w:hAnsiTheme="minorHAnsi" w:cstheme="minorHAnsi"/>
                <w:b/>
                <w:bCs/>
                <w:color w:val="7030A0"/>
                <w:sz w:val="18"/>
                <w:szCs w:val="18"/>
                <w:lang w:val="fr-FR" w:eastAsia="fr-FR"/>
              </w:rPr>
              <w:br/>
            </w:r>
            <w:r w:rsidRPr="00C73365">
              <w:rPr>
                <w:rFonts w:asciiTheme="minorHAnsi" w:hAnsiTheme="minorHAnsi" w:cstheme="minorHAnsi"/>
                <w:b/>
                <w:bCs/>
                <w:szCs w:val="20"/>
                <w:lang w:val="fr-FR" w:eastAsia="fr-FR"/>
              </w:rPr>
              <w:t>T0+60M</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b/>
                <w:bCs/>
                <w:color w:val="000000"/>
                <w:szCs w:val="20"/>
                <w:lang w:val="fr-FR" w:eastAsia="fr-FR"/>
              </w:rPr>
            </w:pPr>
          </w:p>
        </w:tc>
        <w:tc>
          <w:tcPr>
            <w:tcW w:w="1289" w:type="dxa"/>
            <w:tcBorders>
              <w:top w:val="single" w:sz="12" w:space="0" w:color="7030A0"/>
              <w:left w:val="nil"/>
              <w:bottom w:val="single" w:sz="8" w:space="0" w:color="7030A0"/>
              <w:right w:val="nil"/>
            </w:tcBorders>
            <w:shd w:val="clear" w:color="auto" w:fill="auto"/>
            <w:vAlign w:val="center"/>
            <w:hideMark/>
          </w:tcPr>
          <w:p w:rsidR="00714A61" w:rsidRPr="00C73365" w:rsidRDefault="00714A61" w:rsidP="00714A61">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 des versements en subventions</w:t>
            </w:r>
          </w:p>
        </w:tc>
      </w:tr>
      <w:tr w:rsidR="00EC2AFC" w:rsidRPr="00C73365" w:rsidTr="004849E1">
        <w:trPr>
          <w:trHeight w:val="205"/>
        </w:trPr>
        <w:tc>
          <w:tcPr>
            <w:tcW w:w="1207" w:type="dxa"/>
            <w:tcBorders>
              <w:top w:val="single" w:sz="8" w:space="0" w:color="7030A0"/>
              <w:left w:val="nil"/>
              <w:bottom w:val="single" w:sz="4" w:space="0" w:color="7030A0"/>
              <w:right w:val="nil"/>
            </w:tcBorders>
            <w:shd w:val="clear" w:color="auto" w:fill="auto"/>
            <w:vAlign w:val="center"/>
            <w:hideMark/>
          </w:tcPr>
          <w:p w:rsidR="00714A61" w:rsidRPr="00C73365" w:rsidRDefault="00EF089C" w:rsidP="00280009">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46" w:type="dxa"/>
            <w:tcBorders>
              <w:top w:val="nil"/>
              <w:left w:val="nil"/>
              <w:bottom w:val="nil"/>
              <w:right w:val="nil"/>
            </w:tcBorders>
            <w:shd w:val="clear" w:color="auto" w:fill="auto"/>
            <w:noWrap/>
            <w:vAlign w:val="bottom"/>
            <w:hideMark/>
          </w:tcPr>
          <w:p w:rsidR="00714A61" w:rsidRPr="00C73365" w:rsidRDefault="00714A61" w:rsidP="00280009">
            <w:pPr>
              <w:spacing w:after="0"/>
              <w:rPr>
                <w:rFonts w:asciiTheme="minorHAnsi" w:hAnsiTheme="minorHAnsi" w:cstheme="minorHAnsi"/>
                <w:color w:val="000000"/>
                <w:szCs w:val="20"/>
                <w:lang w:val="fr-FR" w:eastAsia="fr-FR"/>
              </w:rPr>
            </w:pPr>
          </w:p>
        </w:tc>
        <w:tc>
          <w:tcPr>
            <w:tcW w:w="1151" w:type="dxa"/>
            <w:tcBorders>
              <w:top w:val="single" w:sz="8" w:space="0" w:color="7030A0"/>
              <w:left w:val="nil"/>
              <w:bottom w:val="single" w:sz="4" w:space="0" w:color="7030A0"/>
              <w:right w:val="nil"/>
            </w:tcBorders>
            <w:shd w:val="clear" w:color="auto" w:fill="auto"/>
            <w:vAlign w:val="center"/>
            <w:hideMark/>
          </w:tcPr>
          <w:p w:rsidR="00714A61" w:rsidRPr="00C73365" w:rsidRDefault="00714A61" w:rsidP="00280009">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  347 000</w:t>
            </w:r>
          </w:p>
        </w:tc>
        <w:tc>
          <w:tcPr>
            <w:tcW w:w="160" w:type="dxa"/>
            <w:tcBorders>
              <w:top w:val="nil"/>
              <w:left w:val="nil"/>
              <w:bottom w:val="nil"/>
              <w:right w:val="nil"/>
            </w:tcBorders>
          </w:tcPr>
          <w:p w:rsidR="00714A61" w:rsidRPr="00C73365" w:rsidRDefault="00714A61" w:rsidP="00280009">
            <w:pPr>
              <w:spacing w:after="0"/>
              <w:jc w:val="center"/>
              <w:rPr>
                <w:rFonts w:asciiTheme="minorHAnsi" w:hAnsiTheme="minorHAnsi" w:cstheme="minorHAnsi"/>
                <w:color w:val="000000"/>
                <w:szCs w:val="20"/>
                <w:lang w:val="fr-FR" w:eastAsia="fr-FR"/>
              </w:rPr>
            </w:pPr>
          </w:p>
        </w:tc>
        <w:tc>
          <w:tcPr>
            <w:tcW w:w="146" w:type="dxa"/>
            <w:tcBorders>
              <w:top w:val="nil"/>
              <w:left w:val="nil"/>
              <w:bottom w:val="nil"/>
              <w:right w:val="nil"/>
            </w:tcBorders>
            <w:shd w:val="clear" w:color="auto" w:fill="auto"/>
            <w:noWrap/>
            <w:vAlign w:val="bottom"/>
            <w:hideMark/>
          </w:tcPr>
          <w:p w:rsidR="00714A61" w:rsidRPr="00C73365" w:rsidRDefault="00714A61" w:rsidP="00280009">
            <w:pPr>
              <w:spacing w:after="0"/>
              <w:jc w:val="center"/>
              <w:rPr>
                <w:rFonts w:asciiTheme="minorHAnsi" w:hAnsiTheme="minorHAnsi" w:cstheme="minorHAnsi"/>
                <w:color w:val="000000"/>
                <w:szCs w:val="20"/>
                <w:lang w:val="fr-FR" w:eastAsia="fr-FR"/>
              </w:rPr>
            </w:pPr>
          </w:p>
        </w:tc>
        <w:tc>
          <w:tcPr>
            <w:tcW w:w="1108" w:type="dxa"/>
            <w:tcBorders>
              <w:top w:val="single" w:sz="8" w:space="0" w:color="7030A0"/>
              <w:left w:val="nil"/>
              <w:bottom w:val="single" w:sz="4" w:space="0" w:color="7030A0"/>
              <w:right w:val="nil"/>
            </w:tcBorders>
            <w:shd w:val="clear" w:color="auto" w:fill="auto"/>
            <w:vAlign w:val="center"/>
            <w:hideMark/>
          </w:tcPr>
          <w:p w:rsidR="00714A61" w:rsidRPr="00C73365" w:rsidRDefault="00714A61" w:rsidP="00714A61">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285</w:t>
            </w:r>
            <w:r w:rsidR="00EC2AFC" w:rsidRPr="00C73365">
              <w:rPr>
                <w:rFonts w:asciiTheme="minorHAnsi" w:hAnsiTheme="minorHAnsi" w:cstheme="minorHAnsi"/>
                <w:color w:val="000000"/>
                <w:szCs w:val="20"/>
                <w:lang w:val="fr-FR" w:eastAsia="fr-FR"/>
              </w:rPr>
              <w:t> </w:t>
            </w:r>
            <w:r w:rsidRPr="00C73365">
              <w:rPr>
                <w:rFonts w:asciiTheme="minorHAnsi" w:hAnsiTheme="minorHAnsi" w:cstheme="minorHAnsi"/>
                <w:color w:val="000000"/>
                <w:szCs w:val="20"/>
                <w:lang w:val="fr-FR" w:eastAsia="fr-FR"/>
              </w:rPr>
              <w:t>781</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color w:val="000000"/>
                <w:szCs w:val="20"/>
                <w:lang w:val="fr-FR" w:eastAsia="fr-FR"/>
              </w:rPr>
            </w:pPr>
          </w:p>
        </w:tc>
        <w:tc>
          <w:tcPr>
            <w:tcW w:w="1108" w:type="dxa"/>
            <w:tcBorders>
              <w:top w:val="single" w:sz="8" w:space="0" w:color="7030A0"/>
              <w:left w:val="nil"/>
              <w:bottom w:val="single" w:sz="4" w:space="0" w:color="7030A0"/>
              <w:right w:val="nil"/>
            </w:tcBorders>
            <w:shd w:val="clear" w:color="auto" w:fill="auto"/>
            <w:vAlign w:val="center"/>
            <w:hideMark/>
          </w:tcPr>
          <w:p w:rsidR="00714A61" w:rsidRPr="00C73365" w:rsidRDefault="00881350" w:rsidP="00714A61">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651 219</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color w:val="000000"/>
                <w:szCs w:val="20"/>
                <w:lang w:val="fr-FR" w:eastAsia="fr-FR"/>
              </w:rPr>
            </w:pPr>
          </w:p>
        </w:tc>
        <w:tc>
          <w:tcPr>
            <w:tcW w:w="1108" w:type="dxa"/>
            <w:tcBorders>
              <w:top w:val="single" w:sz="8" w:space="0" w:color="7030A0"/>
              <w:left w:val="nil"/>
              <w:bottom w:val="single" w:sz="4" w:space="0" w:color="7030A0"/>
              <w:right w:val="nil"/>
            </w:tcBorders>
            <w:shd w:val="clear" w:color="auto" w:fill="auto"/>
            <w:vAlign w:val="center"/>
            <w:hideMark/>
          </w:tcPr>
          <w:p w:rsidR="00714A61" w:rsidRPr="00C73365" w:rsidRDefault="00714A61" w:rsidP="00714A61">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414 000</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color w:val="000000"/>
                <w:szCs w:val="20"/>
                <w:lang w:val="fr-FR" w:eastAsia="fr-FR"/>
              </w:rPr>
            </w:pPr>
          </w:p>
        </w:tc>
        <w:tc>
          <w:tcPr>
            <w:tcW w:w="1108" w:type="dxa"/>
            <w:tcBorders>
              <w:top w:val="single" w:sz="8" w:space="0" w:color="7030A0"/>
              <w:left w:val="nil"/>
              <w:bottom w:val="single" w:sz="4" w:space="0" w:color="7030A0"/>
              <w:right w:val="nil"/>
            </w:tcBorders>
            <w:shd w:val="clear" w:color="auto" w:fill="auto"/>
            <w:vAlign w:val="center"/>
            <w:hideMark/>
          </w:tcPr>
          <w:p w:rsidR="00714A61" w:rsidRPr="00C73365" w:rsidRDefault="00714A61" w:rsidP="00714A61">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96 000</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color w:val="000000"/>
                <w:szCs w:val="20"/>
                <w:lang w:val="fr-FR" w:eastAsia="fr-FR"/>
              </w:rPr>
            </w:pPr>
          </w:p>
        </w:tc>
        <w:tc>
          <w:tcPr>
            <w:tcW w:w="1108" w:type="dxa"/>
            <w:tcBorders>
              <w:top w:val="single" w:sz="8" w:space="0" w:color="7030A0"/>
              <w:left w:val="nil"/>
              <w:bottom w:val="single" w:sz="4" w:space="0" w:color="7030A0"/>
              <w:right w:val="nil"/>
            </w:tcBorders>
            <w:shd w:val="clear" w:color="auto" w:fill="auto"/>
            <w:vAlign w:val="center"/>
            <w:hideMark/>
          </w:tcPr>
          <w:p w:rsidR="00714A61" w:rsidRPr="00C73365" w:rsidRDefault="00714A61" w:rsidP="00714A61">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317 734 </w:t>
            </w:r>
            <w:r w:rsidRPr="00C73365">
              <w:rPr>
                <w:rFonts w:asciiTheme="minorHAnsi" w:hAnsiTheme="minorHAnsi" w:cstheme="minorHAnsi"/>
                <w:color w:val="7030A0"/>
                <w:szCs w:val="20"/>
                <w:lang w:val="fr-FR" w:eastAsia="fr-FR"/>
              </w:rPr>
              <w:t>*</w:t>
            </w:r>
          </w:p>
        </w:tc>
        <w:tc>
          <w:tcPr>
            <w:tcW w:w="146" w:type="dxa"/>
            <w:tcBorders>
              <w:top w:val="nil"/>
              <w:left w:val="nil"/>
              <w:bottom w:val="nil"/>
              <w:right w:val="nil"/>
            </w:tcBorders>
            <w:shd w:val="clear" w:color="auto" w:fill="auto"/>
            <w:noWrap/>
            <w:vAlign w:val="bottom"/>
            <w:hideMark/>
          </w:tcPr>
          <w:p w:rsidR="00714A61" w:rsidRPr="00C73365" w:rsidRDefault="00714A61" w:rsidP="00714A61">
            <w:pPr>
              <w:spacing w:after="0"/>
              <w:jc w:val="center"/>
              <w:rPr>
                <w:rFonts w:asciiTheme="minorHAnsi" w:hAnsiTheme="minorHAnsi" w:cstheme="minorHAnsi"/>
                <w:color w:val="000000"/>
                <w:szCs w:val="20"/>
                <w:lang w:val="fr-FR" w:eastAsia="fr-FR"/>
              </w:rPr>
            </w:pPr>
          </w:p>
        </w:tc>
        <w:tc>
          <w:tcPr>
            <w:tcW w:w="1289" w:type="dxa"/>
            <w:tcBorders>
              <w:top w:val="single" w:sz="8" w:space="0" w:color="7030A0"/>
              <w:left w:val="nil"/>
              <w:bottom w:val="single" w:sz="4" w:space="0" w:color="7030A0"/>
              <w:right w:val="nil"/>
            </w:tcBorders>
            <w:shd w:val="clear" w:color="auto" w:fill="auto"/>
            <w:vAlign w:val="center"/>
            <w:hideMark/>
          </w:tcPr>
          <w:p w:rsidR="00714A61" w:rsidRPr="00C73365" w:rsidRDefault="00881350" w:rsidP="00714A61">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2 111 734</w:t>
            </w:r>
          </w:p>
        </w:tc>
      </w:tr>
    </w:tbl>
    <w:p w:rsidR="004849E1" w:rsidRPr="00C73365" w:rsidRDefault="004849E1" w:rsidP="00714A61">
      <w:pPr>
        <w:autoSpaceDE w:val="0"/>
        <w:autoSpaceDN w:val="0"/>
        <w:adjustRightInd w:val="0"/>
        <w:spacing w:after="0"/>
        <w:rPr>
          <w:rFonts w:asciiTheme="minorHAnsi" w:hAnsiTheme="minorHAnsi" w:cstheme="minorHAnsi"/>
          <w:i/>
          <w:color w:val="7030A0"/>
          <w:sz w:val="18"/>
          <w:szCs w:val="20"/>
          <w:lang w:val="fr-FR"/>
        </w:rPr>
      </w:pPr>
    </w:p>
    <w:p w:rsidR="00714A61" w:rsidRPr="00C73365" w:rsidRDefault="00714A61" w:rsidP="004572A0">
      <w:pPr>
        <w:pStyle w:val="BodyText"/>
        <w:rPr>
          <w:rFonts w:asciiTheme="minorHAnsi" w:hAnsiTheme="minorHAnsi" w:cstheme="minorHAnsi"/>
          <w:i/>
          <w:lang w:val="fr-FR"/>
        </w:rPr>
      </w:pPr>
      <w:r w:rsidRPr="00C73365">
        <w:rPr>
          <w:rFonts w:asciiTheme="minorHAnsi" w:hAnsiTheme="minorHAnsi" w:cstheme="minorHAnsi"/>
          <w:i/>
          <w:lang w:val="fr-FR"/>
        </w:rPr>
        <w:t>T0 = 02/01/2017</w:t>
      </w:r>
    </w:p>
    <w:p w:rsidR="00714A61" w:rsidRPr="00C93577" w:rsidRDefault="00714A61" w:rsidP="004572A0">
      <w:pPr>
        <w:pStyle w:val="ListBullet"/>
        <w:rPr>
          <w:rFonts w:asciiTheme="minorHAnsi" w:hAnsiTheme="minorHAnsi" w:cstheme="minorHAnsi"/>
          <w:lang w:val="fr-FR"/>
        </w:rPr>
      </w:pPr>
      <w:r w:rsidRPr="00C93577">
        <w:rPr>
          <w:rFonts w:asciiTheme="minorHAnsi" w:hAnsiTheme="minorHAnsi" w:cstheme="minorHAnsi"/>
          <w:lang w:val="fr-FR"/>
        </w:rPr>
        <w:t>15% minimum du montant total des subventions</w:t>
      </w:r>
    </w:p>
    <w:p w:rsidR="00714A61" w:rsidRPr="00C73365" w:rsidRDefault="00714A61" w:rsidP="004572A0">
      <w:pPr>
        <w:pStyle w:val="BodyText"/>
        <w:rPr>
          <w:rFonts w:asciiTheme="minorHAnsi" w:hAnsiTheme="minorHAnsi" w:cstheme="minorHAnsi"/>
          <w:i/>
          <w:lang w:val="fr-FR"/>
        </w:rPr>
      </w:pPr>
      <w:r w:rsidRPr="00C73365">
        <w:rPr>
          <w:rFonts w:asciiTheme="minorHAnsi" w:hAnsiTheme="minorHAnsi" w:cstheme="minorHAnsi"/>
          <w:i/>
          <w:lang w:val="fr-FR"/>
        </w:rPr>
        <w:t>** Subventions avec Retours à l’Etat</w:t>
      </w:r>
    </w:p>
    <w:p w:rsidR="00EC2AFC" w:rsidRPr="00C73365" w:rsidRDefault="00EC2AFC" w:rsidP="00714A61">
      <w:pPr>
        <w:autoSpaceDE w:val="0"/>
        <w:autoSpaceDN w:val="0"/>
        <w:adjustRightInd w:val="0"/>
        <w:spacing w:after="0"/>
        <w:rPr>
          <w:rFonts w:asciiTheme="minorHAnsi" w:hAnsiTheme="minorHAnsi" w:cstheme="minorHAnsi"/>
          <w:i/>
          <w:color w:val="7030A0"/>
          <w:sz w:val="18"/>
          <w:szCs w:val="20"/>
          <w:lang w:val="fr-FR"/>
        </w:rPr>
      </w:pPr>
    </w:p>
    <w:p w:rsidR="00714A61" w:rsidRPr="00C73365" w:rsidRDefault="00714A61" w:rsidP="004572A0">
      <w:pPr>
        <w:pStyle w:val="BodyText"/>
        <w:rPr>
          <w:rFonts w:asciiTheme="minorHAnsi" w:hAnsiTheme="minorHAnsi" w:cstheme="minorHAnsi"/>
          <w:b/>
          <w:lang w:val="fr-FR"/>
        </w:rPr>
      </w:pPr>
      <w:r w:rsidRPr="00C73365">
        <w:rPr>
          <w:rFonts w:asciiTheme="minorHAnsi" w:hAnsiTheme="minorHAnsi" w:cstheme="minorHAnsi"/>
          <w:b/>
          <w:lang w:val="fr-FR"/>
        </w:rPr>
        <w:t>Echéancier versements estimés au 31.03.2018 des avances remboursables par étape clé(en euros) :</w:t>
      </w:r>
    </w:p>
    <w:tbl>
      <w:tblPr>
        <w:tblW w:w="10447" w:type="dxa"/>
        <w:tblCellMar>
          <w:left w:w="70" w:type="dxa"/>
          <w:right w:w="70" w:type="dxa"/>
        </w:tblCellMar>
        <w:tblLook w:val="04A0" w:firstRow="1" w:lastRow="0" w:firstColumn="1" w:lastColumn="0" w:noHBand="0" w:noVBand="1"/>
      </w:tblPr>
      <w:tblGrid>
        <w:gridCol w:w="1269"/>
        <w:gridCol w:w="153"/>
        <w:gridCol w:w="1282"/>
        <w:gridCol w:w="153"/>
        <w:gridCol w:w="955"/>
        <w:gridCol w:w="153"/>
        <w:gridCol w:w="955"/>
        <w:gridCol w:w="153"/>
        <w:gridCol w:w="955"/>
        <w:gridCol w:w="165"/>
        <w:gridCol w:w="955"/>
        <w:gridCol w:w="153"/>
        <w:gridCol w:w="963"/>
        <w:gridCol w:w="165"/>
        <w:gridCol w:w="2018"/>
      </w:tblGrid>
      <w:tr w:rsidR="00424C2A" w:rsidRPr="008C1A4A" w:rsidTr="00424C2A">
        <w:trPr>
          <w:trHeight w:val="956"/>
        </w:trPr>
        <w:tc>
          <w:tcPr>
            <w:tcW w:w="1269" w:type="dxa"/>
            <w:tcBorders>
              <w:top w:val="single" w:sz="12" w:space="0" w:color="7030A0"/>
              <w:left w:val="nil"/>
              <w:bottom w:val="single" w:sz="8" w:space="0" w:color="7030A0"/>
              <w:right w:val="nil"/>
            </w:tcBorders>
            <w:shd w:val="clear" w:color="auto" w:fill="auto"/>
            <w:vAlign w:val="center"/>
            <w:hideMark/>
          </w:tcPr>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Bénéficiaires</w:t>
            </w:r>
          </w:p>
        </w:tc>
        <w:tc>
          <w:tcPr>
            <w:tcW w:w="153"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1282" w:type="dxa"/>
            <w:tcBorders>
              <w:top w:val="single" w:sz="12" w:space="0" w:color="7030A0"/>
              <w:left w:val="nil"/>
              <w:bottom w:val="single" w:sz="8" w:space="0" w:color="7030A0"/>
              <w:right w:val="nil"/>
            </w:tcBorders>
            <w:shd w:val="clear" w:color="auto" w:fill="auto"/>
            <w:vAlign w:val="center"/>
            <w:hideMark/>
          </w:tcPr>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avances récupérables (reçus)</w:t>
            </w:r>
          </w:p>
        </w:tc>
        <w:tc>
          <w:tcPr>
            <w:tcW w:w="153"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955" w:type="dxa"/>
            <w:tcBorders>
              <w:top w:val="single" w:sz="12" w:space="0" w:color="7030A0"/>
              <w:left w:val="nil"/>
              <w:bottom w:val="single" w:sz="8" w:space="0" w:color="7030A0"/>
              <w:right w:val="nil"/>
            </w:tcBorders>
            <w:shd w:val="clear" w:color="auto" w:fill="auto"/>
            <w:vAlign w:val="center"/>
          </w:tcPr>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r w:rsidRPr="00C73365">
              <w:rPr>
                <w:rFonts w:asciiTheme="minorHAnsi" w:hAnsiTheme="minorHAnsi" w:cstheme="minorHAnsi"/>
                <w:b/>
                <w:bCs/>
                <w:color w:val="000000"/>
                <w:szCs w:val="20"/>
                <w:lang w:val="fr-FR" w:eastAsia="fr-FR"/>
              </w:rPr>
              <w:br/>
              <w:t>T0+12M</w:t>
            </w:r>
          </w:p>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(estimés)</w:t>
            </w:r>
          </w:p>
        </w:tc>
        <w:tc>
          <w:tcPr>
            <w:tcW w:w="153" w:type="dxa"/>
            <w:tcBorders>
              <w:top w:val="nil"/>
              <w:left w:val="nil"/>
              <w:bottom w:val="nil"/>
              <w:right w:val="nil"/>
            </w:tcBorders>
            <w:shd w:val="clear" w:color="auto" w:fill="auto"/>
            <w:noWrap/>
            <w:vAlign w:val="bottom"/>
          </w:tcPr>
          <w:p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955" w:type="dxa"/>
            <w:tcBorders>
              <w:top w:val="single" w:sz="12" w:space="0" w:color="7030A0"/>
              <w:left w:val="nil"/>
              <w:bottom w:val="single" w:sz="8" w:space="0" w:color="7030A0"/>
              <w:right w:val="nil"/>
            </w:tcBorders>
            <w:shd w:val="clear" w:color="auto" w:fill="auto"/>
            <w:vAlign w:val="center"/>
          </w:tcPr>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2019</w:t>
            </w:r>
            <w:r w:rsidRPr="00C73365">
              <w:rPr>
                <w:rFonts w:asciiTheme="minorHAnsi" w:hAnsiTheme="minorHAnsi" w:cstheme="minorHAnsi"/>
                <w:b/>
                <w:bCs/>
                <w:color w:val="000000"/>
                <w:szCs w:val="20"/>
                <w:lang w:val="fr-FR" w:eastAsia="fr-FR"/>
              </w:rPr>
              <w:br/>
              <w:t>T0+24M</w:t>
            </w:r>
          </w:p>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(estimés)</w:t>
            </w:r>
          </w:p>
        </w:tc>
        <w:tc>
          <w:tcPr>
            <w:tcW w:w="153" w:type="dxa"/>
            <w:tcBorders>
              <w:top w:val="nil"/>
              <w:left w:val="nil"/>
              <w:bottom w:val="nil"/>
              <w:right w:val="nil"/>
            </w:tcBorders>
            <w:shd w:val="clear" w:color="auto" w:fill="auto"/>
            <w:noWrap/>
            <w:vAlign w:val="bottom"/>
          </w:tcPr>
          <w:p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955" w:type="dxa"/>
            <w:tcBorders>
              <w:top w:val="single" w:sz="12" w:space="0" w:color="7030A0"/>
              <w:left w:val="nil"/>
              <w:bottom w:val="single" w:sz="8" w:space="0" w:color="7030A0"/>
              <w:right w:val="nil"/>
            </w:tcBorders>
            <w:shd w:val="clear" w:color="auto" w:fill="auto"/>
            <w:vAlign w:val="center"/>
          </w:tcPr>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2020</w:t>
            </w:r>
            <w:r w:rsidRPr="00C73365">
              <w:rPr>
                <w:rFonts w:asciiTheme="minorHAnsi" w:hAnsiTheme="minorHAnsi" w:cstheme="minorHAnsi"/>
                <w:b/>
                <w:bCs/>
                <w:color w:val="000000"/>
                <w:szCs w:val="20"/>
                <w:lang w:val="fr-FR" w:eastAsia="fr-FR"/>
              </w:rPr>
              <w:br/>
              <w:t>T0+36M</w:t>
            </w:r>
          </w:p>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(estimés)</w:t>
            </w:r>
          </w:p>
        </w:tc>
        <w:tc>
          <w:tcPr>
            <w:tcW w:w="165" w:type="dxa"/>
            <w:tcBorders>
              <w:top w:val="nil"/>
              <w:left w:val="nil"/>
              <w:bottom w:val="nil"/>
              <w:right w:val="nil"/>
            </w:tcBorders>
            <w:shd w:val="clear" w:color="auto" w:fill="auto"/>
            <w:noWrap/>
            <w:vAlign w:val="bottom"/>
          </w:tcPr>
          <w:p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955" w:type="dxa"/>
            <w:tcBorders>
              <w:top w:val="single" w:sz="12" w:space="0" w:color="7030A0"/>
              <w:left w:val="nil"/>
              <w:bottom w:val="single" w:sz="8" w:space="0" w:color="7030A0"/>
              <w:right w:val="nil"/>
            </w:tcBorders>
            <w:shd w:val="clear" w:color="auto" w:fill="auto"/>
            <w:vAlign w:val="center"/>
          </w:tcPr>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2021</w:t>
            </w:r>
            <w:r w:rsidRPr="00C73365">
              <w:rPr>
                <w:rFonts w:asciiTheme="minorHAnsi" w:hAnsiTheme="minorHAnsi" w:cstheme="minorHAnsi"/>
                <w:b/>
                <w:bCs/>
                <w:color w:val="000000"/>
                <w:szCs w:val="20"/>
                <w:lang w:val="fr-FR" w:eastAsia="fr-FR"/>
              </w:rPr>
              <w:br/>
              <w:t>T0+48M</w:t>
            </w:r>
          </w:p>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(estimés)</w:t>
            </w:r>
          </w:p>
        </w:tc>
        <w:tc>
          <w:tcPr>
            <w:tcW w:w="153" w:type="dxa"/>
            <w:tcBorders>
              <w:top w:val="nil"/>
              <w:left w:val="nil"/>
              <w:bottom w:val="nil"/>
              <w:right w:val="nil"/>
            </w:tcBorders>
            <w:shd w:val="clear" w:color="auto" w:fill="auto"/>
            <w:noWrap/>
            <w:vAlign w:val="bottom"/>
          </w:tcPr>
          <w:p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963" w:type="dxa"/>
            <w:tcBorders>
              <w:top w:val="single" w:sz="12" w:space="0" w:color="7030A0"/>
              <w:left w:val="nil"/>
              <w:bottom w:val="single" w:sz="8" w:space="0" w:color="7030A0"/>
              <w:right w:val="nil"/>
            </w:tcBorders>
            <w:shd w:val="clear" w:color="auto" w:fill="auto"/>
            <w:vAlign w:val="center"/>
          </w:tcPr>
          <w:p w:rsidR="00EC2AFC" w:rsidRPr="00C73365" w:rsidRDefault="00EC2AFC" w:rsidP="00EC2AFC">
            <w:pPr>
              <w:spacing w:after="0"/>
              <w:jc w:val="center"/>
              <w:rPr>
                <w:rFonts w:asciiTheme="minorHAnsi" w:hAnsiTheme="minorHAnsi" w:cstheme="minorHAnsi"/>
                <w:b/>
                <w:bCs/>
                <w:szCs w:val="20"/>
                <w:lang w:val="fr-FR" w:eastAsia="fr-FR"/>
              </w:rPr>
            </w:pPr>
            <w:r w:rsidRPr="00C73365">
              <w:rPr>
                <w:rFonts w:asciiTheme="minorHAnsi" w:hAnsiTheme="minorHAnsi" w:cstheme="minorHAnsi"/>
                <w:b/>
                <w:bCs/>
                <w:color w:val="000000"/>
                <w:szCs w:val="20"/>
                <w:lang w:val="fr-FR" w:eastAsia="fr-FR"/>
              </w:rPr>
              <w:t xml:space="preserve">2022 </w:t>
            </w:r>
            <w:r w:rsidRPr="00C73365">
              <w:rPr>
                <w:rFonts w:asciiTheme="minorHAnsi" w:hAnsiTheme="minorHAnsi" w:cstheme="minorHAnsi"/>
                <w:b/>
                <w:bCs/>
                <w:color w:val="7030A0"/>
                <w:sz w:val="18"/>
                <w:szCs w:val="18"/>
                <w:lang w:val="fr-FR" w:eastAsia="fr-FR"/>
              </w:rPr>
              <w:t>*</w:t>
            </w:r>
            <w:r w:rsidRPr="00C73365">
              <w:rPr>
                <w:rFonts w:asciiTheme="minorHAnsi" w:hAnsiTheme="minorHAnsi" w:cstheme="minorHAnsi"/>
                <w:b/>
                <w:bCs/>
                <w:color w:val="7030A0"/>
                <w:sz w:val="18"/>
                <w:szCs w:val="18"/>
                <w:lang w:val="fr-FR" w:eastAsia="fr-FR"/>
              </w:rPr>
              <w:br/>
            </w:r>
            <w:r w:rsidRPr="00C73365">
              <w:rPr>
                <w:rFonts w:asciiTheme="minorHAnsi" w:hAnsiTheme="minorHAnsi" w:cstheme="minorHAnsi"/>
                <w:b/>
                <w:bCs/>
                <w:szCs w:val="20"/>
                <w:lang w:val="fr-FR" w:eastAsia="fr-FR"/>
              </w:rPr>
              <w:t>T0+60M</w:t>
            </w:r>
          </w:p>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(estimés)</w:t>
            </w:r>
          </w:p>
        </w:tc>
        <w:tc>
          <w:tcPr>
            <w:tcW w:w="165" w:type="dxa"/>
            <w:tcBorders>
              <w:top w:val="nil"/>
              <w:left w:val="nil"/>
              <w:bottom w:val="nil"/>
              <w:right w:val="nil"/>
            </w:tcBorders>
            <w:shd w:val="clear" w:color="auto" w:fill="auto"/>
            <w:noWrap/>
            <w:vAlign w:val="bottom"/>
          </w:tcPr>
          <w:p w:rsidR="00EC2AFC" w:rsidRPr="00C73365" w:rsidRDefault="00EC2AFC" w:rsidP="00EC2AFC">
            <w:pPr>
              <w:spacing w:after="0"/>
              <w:jc w:val="center"/>
              <w:rPr>
                <w:rFonts w:asciiTheme="minorHAnsi" w:hAnsiTheme="minorHAnsi" w:cstheme="minorHAnsi"/>
                <w:b/>
                <w:bCs/>
                <w:color w:val="000000"/>
                <w:szCs w:val="20"/>
                <w:lang w:val="fr-FR" w:eastAsia="fr-FR"/>
              </w:rPr>
            </w:pPr>
          </w:p>
        </w:tc>
        <w:tc>
          <w:tcPr>
            <w:tcW w:w="2018" w:type="dxa"/>
            <w:tcBorders>
              <w:top w:val="single" w:sz="12" w:space="0" w:color="7030A0"/>
              <w:left w:val="nil"/>
              <w:bottom w:val="single" w:sz="8" w:space="0" w:color="7030A0"/>
              <w:right w:val="nil"/>
            </w:tcBorders>
            <w:shd w:val="clear" w:color="auto" w:fill="auto"/>
            <w:vAlign w:val="center"/>
          </w:tcPr>
          <w:p w:rsidR="00EC2AFC" w:rsidRPr="00C73365" w:rsidRDefault="00EC2AFC" w:rsidP="00EC2AFC">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Total des versements en subventions(estimés)</w:t>
            </w:r>
          </w:p>
        </w:tc>
      </w:tr>
      <w:tr w:rsidR="00424C2A" w:rsidRPr="00C73365" w:rsidTr="00424C2A">
        <w:trPr>
          <w:trHeight w:val="254"/>
        </w:trPr>
        <w:tc>
          <w:tcPr>
            <w:tcW w:w="1269" w:type="dxa"/>
            <w:tcBorders>
              <w:top w:val="nil"/>
              <w:left w:val="nil"/>
              <w:bottom w:val="single" w:sz="8" w:space="0" w:color="7030A0"/>
              <w:right w:val="nil"/>
            </w:tcBorders>
            <w:shd w:val="clear" w:color="auto" w:fill="auto"/>
            <w:vAlign w:val="center"/>
            <w:hideMark/>
          </w:tcPr>
          <w:p w:rsidR="00EC2AFC" w:rsidRPr="00C73365" w:rsidRDefault="00EF089C" w:rsidP="00EC2AFC">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53" w:type="dxa"/>
            <w:tcBorders>
              <w:top w:val="nil"/>
              <w:left w:val="nil"/>
              <w:bottom w:val="nil"/>
              <w:right w:val="nil"/>
            </w:tcBorders>
            <w:shd w:val="clear" w:color="auto" w:fill="auto"/>
            <w:noWrap/>
            <w:vAlign w:val="bottom"/>
            <w:hideMark/>
          </w:tcPr>
          <w:p w:rsidR="00EC2AFC" w:rsidRPr="00C73365" w:rsidRDefault="00EC2AFC" w:rsidP="00EC2AFC">
            <w:pPr>
              <w:spacing w:after="0"/>
              <w:rPr>
                <w:rFonts w:asciiTheme="minorHAnsi" w:hAnsiTheme="minorHAnsi" w:cstheme="minorHAnsi"/>
                <w:color w:val="000000"/>
                <w:szCs w:val="20"/>
                <w:lang w:val="fr-FR" w:eastAsia="fr-FR"/>
              </w:rPr>
            </w:pPr>
          </w:p>
        </w:tc>
        <w:tc>
          <w:tcPr>
            <w:tcW w:w="1282" w:type="dxa"/>
            <w:tcBorders>
              <w:top w:val="nil"/>
              <w:left w:val="nil"/>
              <w:bottom w:val="single" w:sz="8" w:space="0" w:color="7030A0"/>
              <w:right w:val="nil"/>
            </w:tcBorders>
            <w:shd w:val="clear" w:color="auto" w:fill="auto"/>
            <w:vAlign w:val="center"/>
            <w:hideMark/>
          </w:tcPr>
          <w:p w:rsidR="00EC2AFC" w:rsidRPr="00C73365" w:rsidRDefault="00EC2AFC"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1 756 000</w:t>
            </w:r>
          </w:p>
        </w:tc>
        <w:tc>
          <w:tcPr>
            <w:tcW w:w="153"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color w:val="000000"/>
                <w:szCs w:val="20"/>
                <w:lang w:val="fr-FR" w:eastAsia="fr-FR"/>
              </w:rPr>
            </w:pPr>
          </w:p>
        </w:tc>
        <w:tc>
          <w:tcPr>
            <w:tcW w:w="955" w:type="dxa"/>
            <w:tcBorders>
              <w:top w:val="nil"/>
              <w:left w:val="nil"/>
              <w:bottom w:val="single" w:sz="8" w:space="0" w:color="7030A0"/>
              <w:right w:val="nil"/>
            </w:tcBorders>
            <w:shd w:val="clear" w:color="auto" w:fill="auto"/>
            <w:vAlign w:val="center"/>
            <w:hideMark/>
          </w:tcPr>
          <w:p w:rsidR="00EC2AFC" w:rsidRPr="00C73365" w:rsidRDefault="00EC2AFC"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904 849</w:t>
            </w:r>
          </w:p>
        </w:tc>
        <w:tc>
          <w:tcPr>
            <w:tcW w:w="153"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color w:val="000000"/>
                <w:szCs w:val="20"/>
                <w:lang w:val="fr-FR" w:eastAsia="fr-FR"/>
              </w:rPr>
            </w:pPr>
          </w:p>
        </w:tc>
        <w:tc>
          <w:tcPr>
            <w:tcW w:w="955" w:type="dxa"/>
            <w:tcBorders>
              <w:top w:val="nil"/>
              <w:left w:val="nil"/>
              <w:bottom w:val="single" w:sz="8" w:space="0" w:color="7030A0"/>
              <w:right w:val="nil"/>
            </w:tcBorders>
            <w:shd w:val="clear" w:color="auto" w:fill="auto"/>
            <w:vAlign w:val="center"/>
            <w:hideMark/>
          </w:tcPr>
          <w:p w:rsidR="00EC2AFC" w:rsidRPr="00C73365" w:rsidRDefault="00424C2A"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1 371 151</w:t>
            </w:r>
          </w:p>
        </w:tc>
        <w:tc>
          <w:tcPr>
            <w:tcW w:w="153"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color w:val="000000"/>
                <w:szCs w:val="20"/>
                <w:lang w:val="fr-FR" w:eastAsia="fr-FR"/>
              </w:rPr>
            </w:pPr>
          </w:p>
        </w:tc>
        <w:tc>
          <w:tcPr>
            <w:tcW w:w="955" w:type="dxa"/>
            <w:tcBorders>
              <w:top w:val="nil"/>
              <w:left w:val="nil"/>
              <w:bottom w:val="single" w:sz="8" w:space="0" w:color="7030A0"/>
              <w:right w:val="nil"/>
            </w:tcBorders>
            <w:shd w:val="clear" w:color="auto" w:fill="auto"/>
            <w:vAlign w:val="center"/>
            <w:hideMark/>
          </w:tcPr>
          <w:p w:rsidR="00EC2AFC" w:rsidRPr="00C73365" w:rsidRDefault="00EC2AFC"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1 154 000</w:t>
            </w:r>
          </w:p>
        </w:tc>
        <w:tc>
          <w:tcPr>
            <w:tcW w:w="165"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color w:val="000000"/>
                <w:szCs w:val="20"/>
                <w:lang w:val="fr-FR" w:eastAsia="fr-FR"/>
              </w:rPr>
            </w:pPr>
          </w:p>
        </w:tc>
        <w:tc>
          <w:tcPr>
            <w:tcW w:w="955" w:type="dxa"/>
            <w:tcBorders>
              <w:top w:val="nil"/>
              <w:left w:val="nil"/>
              <w:bottom w:val="single" w:sz="8" w:space="0" w:color="7030A0"/>
              <w:right w:val="nil"/>
            </w:tcBorders>
            <w:shd w:val="clear" w:color="auto" w:fill="auto"/>
            <w:vAlign w:val="center"/>
            <w:hideMark/>
          </w:tcPr>
          <w:p w:rsidR="00EC2AFC" w:rsidRPr="00C73365" w:rsidRDefault="00EC2AFC"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167 000</w:t>
            </w:r>
          </w:p>
        </w:tc>
        <w:tc>
          <w:tcPr>
            <w:tcW w:w="153"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color w:val="000000"/>
                <w:szCs w:val="20"/>
                <w:lang w:val="fr-FR" w:eastAsia="fr-FR"/>
              </w:rPr>
            </w:pPr>
          </w:p>
        </w:tc>
        <w:tc>
          <w:tcPr>
            <w:tcW w:w="963" w:type="dxa"/>
            <w:tcBorders>
              <w:top w:val="nil"/>
              <w:left w:val="nil"/>
              <w:bottom w:val="single" w:sz="8" w:space="0" w:color="7030A0"/>
              <w:right w:val="nil"/>
            </w:tcBorders>
            <w:shd w:val="clear" w:color="auto" w:fill="auto"/>
            <w:vAlign w:val="center"/>
            <w:hideMark/>
          </w:tcPr>
          <w:p w:rsidR="00EC2AFC" w:rsidRPr="00C73365" w:rsidRDefault="00EC2AFC"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 xml:space="preserve">944 925 </w:t>
            </w:r>
            <w:r w:rsidRPr="00C73365">
              <w:rPr>
                <w:rFonts w:asciiTheme="minorHAnsi" w:hAnsiTheme="minorHAnsi" w:cstheme="minorHAnsi"/>
                <w:color w:val="7030A0"/>
                <w:szCs w:val="20"/>
                <w:lang w:val="fr-FR" w:eastAsia="fr-FR"/>
              </w:rPr>
              <w:t>*</w:t>
            </w:r>
          </w:p>
        </w:tc>
        <w:tc>
          <w:tcPr>
            <w:tcW w:w="165" w:type="dxa"/>
            <w:tcBorders>
              <w:top w:val="nil"/>
              <w:left w:val="nil"/>
              <w:bottom w:val="nil"/>
              <w:right w:val="nil"/>
            </w:tcBorders>
            <w:shd w:val="clear" w:color="auto" w:fill="auto"/>
            <w:noWrap/>
            <w:vAlign w:val="bottom"/>
            <w:hideMark/>
          </w:tcPr>
          <w:p w:rsidR="00EC2AFC" w:rsidRPr="00C73365" w:rsidRDefault="00EC2AFC" w:rsidP="00EC2AFC">
            <w:pPr>
              <w:spacing w:after="0"/>
              <w:jc w:val="center"/>
              <w:rPr>
                <w:rFonts w:asciiTheme="minorHAnsi" w:hAnsiTheme="minorHAnsi" w:cstheme="minorHAnsi"/>
                <w:color w:val="000000"/>
                <w:szCs w:val="20"/>
                <w:lang w:val="fr-FR" w:eastAsia="fr-FR"/>
              </w:rPr>
            </w:pPr>
          </w:p>
        </w:tc>
        <w:tc>
          <w:tcPr>
            <w:tcW w:w="2018" w:type="dxa"/>
            <w:tcBorders>
              <w:top w:val="nil"/>
              <w:left w:val="nil"/>
              <w:bottom w:val="single" w:sz="8" w:space="0" w:color="7030A0"/>
              <w:right w:val="nil"/>
            </w:tcBorders>
            <w:shd w:val="clear" w:color="auto" w:fill="auto"/>
            <w:vAlign w:val="center"/>
            <w:hideMark/>
          </w:tcPr>
          <w:p w:rsidR="00EC2AFC" w:rsidRPr="00C73365" w:rsidRDefault="00424C2A" w:rsidP="00EC2AFC">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6 297 925</w:t>
            </w:r>
          </w:p>
        </w:tc>
      </w:tr>
    </w:tbl>
    <w:p w:rsidR="00714A61" w:rsidRPr="00C73365" w:rsidRDefault="00714A61" w:rsidP="004572A0">
      <w:pPr>
        <w:pStyle w:val="Caption"/>
        <w:rPr>
          <w:rFonts w:asciiTheme="minorHAnsi" w:hAnsiTheme="minorHAnsi" w:cstheme="minorHAnsi"/>
          <w:lang w:val="fr-FR"/>
        </w:rPr>
      </w:pPr>
      <w:r w:rsidRPr="00C73365">
        <w:rPr>
          <w:rFonts w:asciiTheme="minorHAnsi" w:hAnsiTheme="minorHAnsi" w:cstheme="minorHAnsi"/>
          <w:lang w:val="fr-FR"/>
        </w:rPr>
        <w:t>T0 = 02/01/2017</w:t>
      </w:r>
    </w:p>
    <w:p w:rsidR="00714A61" w:rsidRPr="00C93577" w:rsidRDefault="00714A61" w:rsidP="004572A0">
      <w:pPr>
        <w:pStyle w:val="ListBullet"/>
        <w:rPr>
          <w:rFonts w:asciiTheme="minorHAnsi" w:hAnsiTheme="minorHAnsi" w:cstheme="minorHAnsi"/>
          <w:lang w:val="fr-FR"/>
        </w:rPr>
      </w:pPr>
      <w:r w:rsidRPr="00C93577">
        <w:rPr>
          <w:rFonts w:asciiTheme="minorHAnsi" w:hAnsiTheme="minorHAnsi" w:cstheme="minorHAnsi"/>
          <w:lang w:val="fr-FR"/>
        </w:rPr>
        <w:t>15% minimum du montant total des avances récupérables</w:t>
      </w:r>
    </w:p>
    <w:p w:rsidR="00714A61" w:rsidRPr="00C73365" w:rsidRDefault="00714A61" w:rsidP="00A96CCA">
      <w:pPr>
        <w:widowControl w:val="0"/>
        <w:spacing w:after="0"/>
        <w:rPr>
          <w:rFonts w:asciiTheme="minorHAnsi" w:eastAsia="MS Mincho" w:hAnsiTheme="minorHAnsi" w:cstheme="minorHAnsi"/>
          <w:szCs w:val="20"/>
          <w:lang w:val="fr-FR" w:eastAsia="fr-FR"/>
        </w:rPr>
      </w:pPr>
    </w:p>
    <w:p w:rsidR="00714A61" w:rsidRPr="00C73365" w:rsidRDefault="00714A61" w:rsidP="00A96CCA">
      <w:pPr>
        <w:widowControl w:val="0"/>
        <w:spacing w:after="0"/>
        <w:rPr>
          <w:rFonts w:asciiTheme="minorHAnsi" w:eastAsia="MS Mincho" w:hAnsiTheme="minorHAnsi" w:cstheme="minorHAnsi"/>
          <w:szCs w:val="20"/>
          <w:lang w:val="fr-FR" w:eastAsia="fr-FR"/>
        </w:rPr>
      </w:pPr>
    </w:p>
    <w:p w:rsidR="00BE2C65" w:rsidRPr="00C73365" w:rsidRDefault="00BE2C65"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Les retours financiers s’effectueront au moyen de versements déterminés, en fonction des prévisions de chiffre d’affaires généré par l’exploitation directe ou indirecte, des produits ou services issus du projet.</w:t>
      </w:r>
    </w:p>
    <w:p w:rsidR="00BE2C65" w:rsidRPr="00C73365" w:rsidRDefault="00BE2C65"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montant des échéances de remboursements tient compte d’une actualisation au taux annuel de 0,95% qui sera calculée selon les modalités contractuelles.</w:t>
      </w:r>
    </w:p>
    <w:p w:rsidR="00BE2C65" w:rsidRPr="00C73365" w:rsidRDefault="00BE2C65"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L’échéancier</w:t>
      </w:r>
      <w:r w:rsidR="0070666C" w:rsidRPr="00C73365">
        <w:rPr>
          <w:rFonts w:asciiTheme="minorHAnsi" w:eastAsia="MS Mincho" w:hAnsiTheme="minorHAnsi" w:cstheme="minorHAnsi"/>
          <w:lang w:val="fr-FR" w:eastAsia="fr-FR"/>
        </w:rPr>
        <w:t xml:space="preserve"> initial</w:t>
      </w:r>
      <w:r w:rsidRPr="00C73365">
        <w:rPr>
          <w:rFonts w:asciiTheme="minorHAnsi" w:eastAsia="MS Mincho" w:hAnsiTheme="minorHAnsi" w:cstheme="minorHAnsi"/>
          <w:lang w:val="fr-FR" w:eastAsia="fr-FR"/>
        </w:rPr>
        <w:t xml:space="preserve"> forfaitaire de remboursement</w:t>
      </w:r>
      <w:r w:rsidR="0070666C" w:rsidRPr="00C73365">
        <w:rPr>
          <w:rFonts w:asciiTheme="minorHAnsi" w:eastAsia="MS Mincho" w:hAnsiTheme="minorHAnsi" w:cstheme="minorHAnsi"/>
          <w:lang w:val="fr-FR" w:eastAsia="fr-FR"/>
        </w:rPr>
        <w:t xml:space="preserve"> initial</w:t>
      </w:r>
      <w:r w:rsidRPr="00C73365">
        <w:rPr>
          <w:rFonts w:asciiTheme="minorHAnsi" w:eastAsia="MS Mincho" w:hAnsiTheme="minorHAnsi" w:cstheme="minorHAnsi"/>
          <w:lang w:val="fr-FR" w:eastAsia="fr-FR"/>
        </w:rPr>
        <w:t xml:space="preserve">, lié à la réussite du projet, </w:t>
      </w:r>
      <w:r w:rsidR="00424C2A" w:rsidRPr="00C73365">
        <w:rPr>
          <w:rFonts w:asciiTheme="minorHAnsi" w:eastAsia="MS Mincho" w:hAnsiTheme="minorHAnsi" w:cstheme="minorHAnsi"/>
          <w:lang w:val="fr-FR" w:eastAsia="fr-FR"/>
        </w:rPr>
        <w:t xml:space="preserve">est </w:t>
      </w:r>
      <w:r w:rsidRPr="00C73365">
        <w:rPr>
          <w:rFonts w:asciiTheme="minorHAnsi" w:eastAsia="MS Mincho" w:hAnsiTheme="minorHAnsi" w:cstheme="minorHAnsi"/>
          <w:lang w:val="fr-FR" w:eastAsia="fr-FR"/>
        </w:rPr>
        <w:t xml:space="preserve">le suivant : </w:t>
      </w:r>
    </w:p>
    <w:tbl>
      <w:tblPr>
        <w:tblpPr w:leftFromText="141" w:rightFromText="141" w:vertAnchor="text" w:horzAnchor="margin" w:tblpXSpec="center" w:tblpY="136"/>
        <w:tblW w:w="4238" w:type="dxa"/>
        <w:tblCellMar>
          <w:left w:w="70" w:type="dxa"/>
          <w:right w:w="70" w:type="dxa"/>
        </w:tblCellMar>
        <w:tblLook w:val="04A0" w:firstRow="1" w:lastRow="0" w:firstColumn="1" w:lastColumn="0" w:noHBand="0" w:noVBand="1"/>
      </w:tblPr>
      <w:tblGrid>
        <w:gridCol w:w="2686"/>
        <w:gridCol w:w="156"/>
        <w:gridCol w:w="1396"/>
      </w:tblGrid>
      <w:tr w:rsidR="00F46C7B" w:rsidRPr="00C73365" w:rsidTr="0070666C">
        <w:trPr>
          <w:trHeight w:val="270"/>
        </w:trPr>
        <w:tc>
          <w:tcPr>
            <w:tcW w:w="2686" w:type="dxa"/>
            <w:tcBorders>
              <w:top w:val="single" w:sz="4" w:space="0" w:color="7030A0"/>
              <w:left w:val="nil"/>
              <w:bottom w:val="single" w:sz="4" w:space="0" w:color="7030A0"/>
              <w:right w:val="nil"/>
            </w:tcBorders>
            <w:shd w:val="clear" w:color="auto" w:fill="auto"/>
            <w:noWrap/>
            <w:vAlign w:val="center"/>
            <w:hideMark/>
          </w:tcPr>
          <w:p w:rsidR="00F46C7B" w:rsidRPr="00C73365" w:rsidRDefault="00F46C7B" w:rsidP="0070666C">
            <w:pPr>
              <w:spacing w:after="0"/>
              <w:rPr>
                <w:rFonts w:asciiTheme="minorHAnsi" w:hAnsiTheme="minorHAnsi" w:cstheme="minorHAnsi"/>
                <w:lang w:val="fr-FR"/>
              </w:rPr>
            </w:pPr>
            <w:r w:rsidRPr="00C73365">
              <w:rPr>
                <w:rFonts w:asciiTheme="minorHAnsi" w:hAnsiTheme="minorHAnsi" w:cstheme="minorHAnsi"/>
                <w:lang w:val="fr-FR"/>
              </w:rPr>
              <w:t>Au plus tard le 1</w:t>
            </w:r>
            <w:r w:rsidRPr="00C73365">
              <w:rPr>
                <w:rFonts w:asciiTheme="minorHAnsi" w:hAnsiTheme="minorHAnsi" w:cstheme="minorHAnsi"/>
                <w:vertAlign w:val="superscript"/>
                <w:lang w:val="fr-FR"/>
              </w:rPr>
              <w:t xml:space="preserve">er </w:t>
            </w:r>
            <w:r w:rsidRPr="00C73365">
              <w:rPr>
                <w:rFonts w:asciiTheme="minorHAnsi" w:hAnsiTheme="minorHAnsi" w:cstheme="minorHAnsi"/>
                <w:lang w:val="fr-FR"/>
              </w:rPr>
              <w:t>janvier 2022</w:t>
            </w:r>
          </w:p>
        </w:tc>
        <w:tc>
          <w:tcPr>
            <w:tcW w:w="156" w:type="dxa"/>
            <w:tcBorders>
              <w:top w:val="single" w:sz="4" w:space="0" w:color="7030A0"/>
              <w:left w:val="nil"/>
              <w:bottom w:val="single" w:sz="4" w:space="0" w:color="7030A0"/>
              <w:right w:val="nil"/>
            </w:tcBorders>
            <w:shd w:val="clear" w:color="auto" w:fill="auto"/>
            <w:noWrap/>
            <w:vAlign w:val="bottom"/>
            <w:hideMark/>
          </w:tcPr>
          <w:p w:rsidR="00F46C7B" w:rsidRPr="00C73365" w:rsidRDefault="00F46C7B" w:rsidP="0070666C">
            <w:pPr>
              <w:spacing w:after="0"/>
              <w:rPr>
                <w:rFonts w:asciiTheme="minorHAnsi" w:hAnsiTheme="minorHAnsi" w:cstheme="minorHAnsi"/>
                <w:lang w:val="fr-FR"/>
              </w:rPr>
            </w:pPr>
          </w:p>
        </w:tc>
        <w:tc>
          <w:tcPr>
            <w:tcW w:w="1396" w:type="dxa"/>
            <w:tcBorders>
              <w:top w:val="single" w:sz="4" w:space="0" w:color="7030A0"/>
              <w:left w:val="nil"/>
              <w:bottom w:val="single" w:sz="4" w:space="0" w:color="7030A0"/>
              <w:right w:val="nil"/>
            </w:tcBorders>
            <w:shd w:val="clear" w:color="auto" w:fill="auto"/>
            <w:noWrap/>
            <w:hideMark/>
          </w:tcPr>
          <w:p w:rsidR="00F46C7B" w:rsidRPr="00C73365" w:rsidRDefault="00F46C7B" w:rsidP="0070666C">
            <w:pPr>
              <w:spacing w:after="0"/>
              <w:jc w:val="right"/>
              <w:rPr>
                <w:rFonts w:asciiTheme="minorHAnsi" w:hAnsiTheme="minorHAnsi" w:cstheme="minorHAnsi"/>
                <w:lang w:val="fr-FR"/>
              </w:rPr>
            </w:pPr>
            <w:r w:rsidRPr="00C73365">
              <w:rPr>
                <w:rFonts w:asciiTheme="minorHAnsi" w:hAnsiTheme="minorHAnsi" w:cstheme="minorHAnsi"/>
                <w:lang w:val="fr-FR"/>
              </w:rPr>
              <w:t xml:space="preserve">1 644 </w:t>
            </w:r>
            <w:r w:rsidR="00EF089C" w:rsidRPr="00C73365">
              <w:rPr>
                <w:rFonts w:asciiTheme="minorHAnsi" w:hAnsiTheme="minorHAnsi" w:cstheme="minorHAnsi"/>
                <w:lang w:val="fr-FR"/>
              </w:rPr>
              <w:t>K€</w:t>
            </w:r>
          </w:p>
        </w:tc>
      </w:tr>
      <w:tr w:rsidR="00F46C7B" w:rsidRPr="00C73365" w:rsidTr="0070666C">
        <w:trPr>
          <w:trHeight w:val="270"/>
        </w:trPr>
        <w:tc>
          <w:tcPr>
            <w:tcW w:w="2686" w:type="dxa"/>
            <w:tcBorders>
              <w:top w:val="single" w:sz="4" w:space="0" w:color="7030A0"/>
              <w:left w:val="nil"/>
              <w:bottom w:val="single" w:sz="4" w:space="0" w:color="7030A0"/>
              <w:right w:val="nil"/>
            </w:tcBorders>
            <w:shd w:val="clear" w:color="auto" w:fill="auto"/>
            <w:noWrap/>
          </w:tcPr>
          <w:p w:rsidR="00F46C7B" w:rsidRPr="00C73365" w:rsidRDefault="00F46C7B" w:rsidP="0070666C">
            <w:pPr>
              <w:spacing w:after="0"/>
              <w:rPr>
                <w:rFonts w:asciiTheme="minorHAnsi" w:hAnsiTheme="minorHAnsi" w:cstheme="minorHAnsi"/>
                <w:lang w:val="fr-FR"/>
              </w:rPr>
            </w:pPr>
            <w:r w:rsidRPr="00C73365">
              <w:rPr>
                <w:rFonts w:asciiTheme="minorHAnsi" w:hAnsiTheme="minorHAnsi" w:cstheme="minorHAnsi"/>
                <w:lang w:val="fr-FR"/>
              </w:rPr>
              <w:t>Au plus tard le 1</w:t>
            </w:r>
            <w:r w:rsidRPr="00C73365">
              <w:rPr>
                <w:rFonts w:asciiTheme="minorHAnsi" w:hAnsiTheme="minorHAnsi" w:cstheme="minorHAnsi"/>
                <w:vertAlign w:val="superscript"/>
                <w:lang w:val="fr-FR"/>
              </w:rPr>
              <w:t xml:space="preserve">er </w:t>
            </w:r>
            <w:r w:rsidRPr="00C73365">
              <w:rPr>
                <w:rFonts w:asciiTheme="minorHAnsi" w:hAnsiTheme="minorHAnsi" w:cstheme="minorHAnsi"/>
                <w:lang w:val="fr-FR"/>
              </w:rPr>
              <w:t>janvier 2023</w:t>
            </w:r>
          </w:p>
        </w:tc>
        <w:tc>
          <w:tcPr>
            <w:tcW w:w="156" w:type="dxa"/>
            <w:tcBorders>
              <w:top w:val="single" w:sz="4" w:space="0" w:color="7030A0"/>
              <w:left w:val="nil"/>
              <w:bottom w:val="single" w:sz="4" w:space="0" w:color="7030A0"/>
              <w:right w:val="nil"/>
            </w:tcBorders>
            <w:shd w:val="clear" w:color="auto" w:fill="auto"/>
            <w:noWrap/>
            <w:vAlign w:val="bottom"/>
          </w:tcPr>
          <w:p w:rsidR="00F46C7B" w:rsidRPr="00C73365" w:rsidRDefault="00F46C7B" w:rsidP="0070666C">
            <w:pPr>
              <w:spacing w:after="0"/>
              <w:rPr>
                <w:rFonts w:asciiTheme="minorHAnsi" w:hAnsiTheme="minorHAnsi" w:cstheme="minorHAnsi"/>
                <w:lang w:val="fr-FR"/>
              </w:rPr>
            </w:pPr>
          </w:p>
        </w:tc>
        <w:tc>
          <w:tcPr>
            <w:tcW w:w="1396" w:type="dxa"/>
            <w:tcBorders>
              <w:top w:val="single" w:sz="4" w:space="0" w:color="7030A0"/>
              <w:left w:val="nil"/>
              <w:bottom w:val="single" w:sz="4" w:space="0" w:color="7030A0"/>
              <w:right w:val="nil"/>
            </w:tcBorders>
            <w:shd w:val="clear" w:color="auto" w:fill="auto"/>
            <w:noWrap/>
          </w:tcPr>
          <w:p w:rsidR="00F46C7B" w:rsidRPr="00C73365" w:rsidRDefault="00F46C7B" w:rsidP="0070666C">
            <w:pPr>
              <w:spacing w:after="0"/>
              <w:jc w:val="right"/>
              <w:rPr>
                <w:rFonts w:asciiTheme="minorHAnsi" w:hAnsiTheme="minorHAnsi" w:cstheme="minorHAnsi"/>
                <w:lang w:val="fr-FR"/>
              </w:rPr>
            </w:pPr>
            <w:r w:rsidRPr="00C73365">
              <w:rPr>
                <w:rFonts w:asciiTheme="minorHAnsi" w:hAnsiTheme="minorHAnsi" w:cstheme="minorHAnsi"/>
                <w:lang w:val="fr-FR"/>
              </w:rPr>
              <w:t xml:space="preserve">1 644 </w:t>
            </w:r>
            <w:r w:rsidR="00EF089C" w:rsidRPr="00C73365">
              <w:rPr>
                <w:rFonts w:asciiTheme="minorHAnsi" w:hAnsiTheme="minorHAnsi" w:cstheme="minorHAnsi"/>
                <w:lang w:val="fr-FR"/>
              </w:rPr>
              <w:t>K€</w:t>
            </w:r>
          </w:p>
        </w:tc>
      </w:tr>
      <w:tr w:rsidR="00F46C7B" w:rsidRPr="00C73365" w:rsidTr="0070666C">
        <w:trPr>
          <w:trHeight w:val="270"/>
        </w:trPr>
        <w:tc>
          <w:tcPr>
            <w:tcW w:w="2686" w:type="dxa"/>
            <w:tcBorders>
              <w:top w:val="single" w:sz="4" w:space="0" w:color="7030A0"/>
              <w:left w:val="nil"/>
              <w:bottom w:val="single" w:sz="4" w:space="0" w:color="7030A0"/>
              <w:right w:val="nil"/>
            </w:tcBorders>
            <w:shd w:val="clear" w:color="auto" w:fill="auto"/>
            <w:noWrap/>
          </w:tcPr>
          <w:p w:rsidR="00F46C7B" w:rsidRPr="00C73365" w:rsidRDefault="00F46C7B" w:rsidP="0070666C">
            <w:pPr>
              <w:spacing w:after="0"/>
              <w:rPr>
                <w:rFonts w:asciiTheme="minorHAnsi" w:hAnsiTheme="minorHAnsi" w:cstheme="minorHAnsi"/>
                <w:lang w:val="fr-FR"/>
              </w:rPr>
            </w:pPr>
            <w:r w:rsidRPr="00C73365">
              <w:rPr>
                <w:rFonts w:asciiTheme="minorHAnsi" w:hAnsiTheme="minorHAnsi" w:cstheme="minorHAnsi"/>
                <w:lang w:val="fr-FR"/>
              </w:rPr>
              <w:t>Au plus tard le 1</w:t>
            </w:r>
            <w:r w:rsidRPr="00C73365">
              <w:rPr>
                <w:rFonts w:asciiTheme="minorHAnsi" w:hAnsiTheme="minorHAnsi" w:cstheme="minorHAnsi"/>
                <w:vertAlign w:val="superscript"/>
                <w:lang w:val="fr-FR"/>
              </w:rPr>
              <w:t xml:space="preserve">er </w:t>
            </w:r>
            <w:r w:rsidRPr="00C73365">
              <w:rPr>
                <w:rFonts w:asciiTheme="minorHAnsi" w:hAnsiTheme="minorHAnsi" w:cstheme="minorHAnsi"/>
                <w:lang w:val="fr-FR"/>
              </w:rPr>
              <w:t>janvier 2024</w:t>
            </w:r>
          </w:p>
        </w:tc>
        <w:tc>
          <w:tcPr>
            <w:tcW w:w="156" w:type="dxa"/>
            <w:tcBorders>
              <w:top w:val="single" w:sz="4" w:space="0" w:color="7030A0"/>
              <w:left w:val="nil"/>
              <w:bottom w:val="single" w:sz="4" w:space="0" w:color="7030A0"/>
              <w:right w:val="nil"/>
            </w:tcBorders>
            <w:shd w:val="clear" w:color="auto" w:fill="auto"/>
            <w:noWrap/>
            <w:vAlign w:val="bottom"/>
          </w:tcPr>
          <w:p w:rsidR="00F46C7B" w:rsidRPr="00C73365" w:rsidRDefault="00F46C7B" w:rsidP="0070666C">
            <w:pPr>
              <w:spacing w:after="0"/>
              <w:rPr>
                <w:rFonts w:asciiTheme="minorHAnsi" w:hAnsiTheme="minorHAnsi" w:cstheme="minorHAnsi"/>
                <w:lang w:val="fr-FR"/>
              </w:rPr>
            </w:pPr>
          </w:p>
        </w:tc>
        <w:tc>
          <w:tcPr>
            <w:tcW w:w="1396" w:type="dxa"/>
            <w:tcBorders>
              <w:top w:val="single" w:sz="4" w:space="0" w:color="7030A0"/>
              <w:left w:val="nil"/>
              <w:bottom w:val="single" w:sz="4" w:space="0" w:color="7030A0"/>
              <w:right w:val="nil"/>
            </w:tcBorders>
            <w:shd w:val="clear" w:color="auto" w:fill="auto"/>
            <w:noWrap/>
          </w:tcPr>
          <w:p w:rsidR="00F46C7B" w:rsidRPr="00C73365" w:rsidRDefault="00F46C7B" w:rsidP="0070666C">
            <w:pPr>
              <w:spacing w:after="0"/>
              <w:jc w:val="right"/>
              <w:rPr>
                <w:rFonts w:asciiTheme="minorHAnsi" w:hAnsiTheme="minorHAnsi" w:cstheme="minorHAnsi"/>
                <w:lang w:val="fr-FR"/>
              </w:rPr>
            </w:pPr>
            <w:r w:rsidRPr="00C73365">
              <w:rPr>
                <w:rFonts w:asciiTheme="minorHAnsi" w:hAnsiTheme="minorHAnsi" w:cstheme="minorHAnsi"/>
                <w:lang w:val="fr-FR"/>
              </w:rPr>
              <w:t xml:space="preserve">1 644 </w:t>
            </w:r>
            <w:r w:rsidR="00EF089C" w:rsidRPr="00C73365">
              <w:rPr>
                <w:rFonts w:asciiTheme="minorHAnsi" w:hAnsiTheme="minorHAnsi" w:cstheme="minorHAnsi"/>
                <w:lang w:val="fr-FR"/>
              </w:rPr>
              <w:t>K€</w:t>
            </w:r>
          </w:p>
        </w:tc>
      </w:tr>
      <w:tr w:rsidR="00F46C7B" w:rsidRPr="00C73365" w:rsidTr="0070666C">
        <w:trPr>
          <w:trHeight w:val="270"/>
        </w:trPr>
        <w:tc>
          <w:tcPr>
            <w:tcW w:w="2686" w:type="dxa"/>
            <w:tcBorders>
              <w:top w:val="nil"/>
              <w:left w:val="nil"/>
              <w:bottom w:val="single" w:sz="4" w:space="0" w:color="7030A0"/>
              <w:right w:val="nil"/>
            </w:tcBorders>
            <w:shd w:val="clear" w:color="auto" w:fill="auto"/>
            <w:noWrap/>
          </w:tcPr>
          <w:p w:rsidR="00F46C7B" w:rsidRPr="00C73365" w:rsidRDefault="00F46C7B" w:rsidP="0070666C">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t>Au plus tard le 1</w:t>
            </w:r>
            <w:r w:rsidRPr="00C73365">
              <w:rPr>
                <w:rFonts w:asciiTheme="minorHAnsi" w:hAnsiTheme="minorHAnsi" w:cstheme="minorHAnsi"/>
                <w:vertAlign w:val="superscript"/>
                <w:lang w:val="fr-FR"/>
              </w:rPr>
              <w:t xml:space="preserve">er </w:t>
            </w:r>
            <w:r w:rsidRPr="00C73365">
              <w:rPr>
                <w:rFonts w:asciiTheme="minorHAnsi" w:hAnsiTheme="minorHAnsi" w:cstheme="minorHAnsi"/>
                <w:lang w:val="fr-FR"/>
              </w:rPr>
              <w:t>janvier 2025</w:t>
            </w:r>
          </w:p>
        </w:tc>
        <w:tc>
          <w:tcPr>
            <w:tcW w:w="156" w:type="dxa"/>
            <w:tcBorders>
              <w:top w:val="nil"/>
              <w:left w:val="nil"/>
              <w:bottom w:val="single" w:sz="4" w:space="0" w:color="7030A0"/>
              <w:right w:val="nil"/>
            </w:tcBorders>
            <w:shd w:val="clear" w:color="auto" w:fill="auto"/>
            <w:noWrap/>
            <w:vAlign w:val="bottom"/>
          </w:tcPr>
          <w:p w:rsidR="00F46C7B" w:rsidRPr="00C73365" w:rsidRDefault="00F46C7B" w:rsidP="0070666C">
            <w:pPr>
              <w:spacing w:after="0"/>
              <w:rPr>
                <w:rFonts w:asciiTheme="minorHAnsi" w:hAnsiTheme="minorHAnsi" w:cstheme="minorHAnsi"/>
                <w:color w:val="000000"/>
                <w:szCs w:val="20"/>
                <w:lang w:val="fr-FR" w:eastAsia="fr-FR"/>
              </w:rPr>
            </w:pPr>
          </w:p>
        </w:tc>
        <w:tc>
          <w:tcPr>
            <w:tcW w:w="1396" w:type="dxa"/>
            <w:tcBorders>
              <w:top w:val="nil"/>
              <w:left w:val="nil"/>
              <w:bottom w:val="single" w:sz="4" w:space="0" w:color="7030A0"/>
              <w:right w:val="nil"/>
            </w:tcBorders>
            <w:shd w:val="clear" w:color="auto" w:fill="auto"/>
            <w:noWrap/>
          </w:tcPr>
          <w:p w:rsidR="00F46C7B" w:rsidRPr="00C73365" w:rsidRDefault="00F46C7B" w:rsidP="0070666C">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lang w:val="fr-FR"/>
              </w:rPr>
              <w:t xml:space="preserve">1 644 </w:t>
            </w:r>
            <w:r w:rsidR="00EF089C" w:rsidRPr="00C73365">
              <w:rPr>
                <w:rFonts w:asciiTheme="minorHAnsi" w:hAnsiTheme="minorHAnsi" w:cstheme="minorHAnsi"/>
                <w:lang w:val="fr-FR"/>
              </w:rPr>
              <w:t>K€</w:t>
            </w:r>
          </w:p>
        </w:tc>
      </w:tr>
      <w:tr w:rsidR="00F46C7B" w:rsidRPr="00C73365" w:rsidTr="0070666C">
        <w:trPr>
          <w:trHeight w:val="426"/>
        </w:trPr>
        <w:tc>
          <w:tcPr>
            <w:tcW w:w="2686" w:type="dxa"/>
            <w:tcBorders>
              <w:top w:val="single" w:sz="4" w:space="0" w:color="7030A0"/>
              <w:left w:val="nil"/>
              <w:bottom w:val="single" w:sz="4" w:space="0" w:color="7030A0"/>
              <w:right w:val="nil"/>
            </w:tcBorders>
            <w:shd w:val="clear" w:color="auto" w:fill="auto"/>
            <w:noWrap/>
            <w:vAlign w:val="center"/>
            <w:hideMark/>
          </w:tcPr>
          <w:p w:rsidR="00F46C7B" w:rsidRPr="00C73365" w:rsidRDefault="00F46C7B" w:rsidP="0070666C">
            <w:pPr>
              <w:spacing w:after="0"/>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TOTAL</w:t>
            </w:r>
          </w:p>
        </w:tc>
        <w:tc>
          <w:tcPr>
            <w:tcW w:w="156" w:type="dxa"/>
            <w:tcBorders>
              <w:top w:val="single" w:sz="4" w:space="0" w:color="7030A0"/>
              <w:left w:val="nil"/>
              <w:bottom w:val="single" w:sz="4" w:space="0" w:color="7030A0"/>
              <w:right w:val="nil"/>
            </w:tcBorders>
            <w:shd w:val="clear" w:color="auto" w:fill="auto"/>
            <w:vAlign w:val="center"/>
            <w:hideMark/>
          </w:tcPr>
          <w:p w:rsidR="00F46C7B" w:rsidRPr="00C73365" w:rsidRDefault="00F46C7B" w:rsidP="0070666C">
            <w:pPr>
              <w:spacing w:after="0"/>
              <w:rPr>
                <w:rFonts w:asciiTheme="minorHAnsi" w:hAnsiTheme="minorHAnsi" w:cstheme="minorHAnsi"/>
                <w:b/>
                <w:color w:val="7030A0"/>
                <w:szCs w:val="20"/>
                <w:lang w:val="fr-FR" w:eastAsia="fr-FR"/>
              </w:rPr>
            </w:pPr>
          </w:p>
        </w:tc>
        <w:tc>
          <w:tcPr>
            <w:tcW w:w="1396" w:type="dxa"/>
            <w:tcBorders>
              <w:top w:val="single" w:sz="4" w:space="0" w:color="7030A0"/>
              <w:left w:val="nil"/>
              <w:bottom w:val="single" w:sz="4" w:space="0" w:color="7030A0"/>
              <w:right w:val="nil"/>
            </w:tcBorders>
            <w:shd w:val="clear" w:color="auto" w:fill="auto"/>
            <w:vAlign w:val="center"/>
            <w:hideMark/>
          </w:tcPr>
          <w:p w:rsidR="00F46C7B" w:rsidRPr="00C73365" w:rsidRDefault="00F46C7B" w:rsidP="0070666C">
            <w:pPr>
              <w:spacing w:after="0"/>
              <w:jc w:val="right"/>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 xml:space="preserve">6 576 </w:t>
            </w:r>
            <w:r w:rsidR="00EF089C" w:rsidRPr="00C73365">
              <w:rPr>
                <w:rFonts w:asciiTheme="minorHAnsi" w:hAnsiTheme="minorHAnsi" w:cstheme="minorHAnsi"/>
                <w:b/>
                <w:color w:val="7030A0"/>
                <w:szCs w:val="20"/>
                <w:lang w:val="fr-FR" w:eastAsia="fr-FR"/>
              </w:rPr>
              <w:t>K€</w:t>
            </w:r>
          </w:p>
        </w:tc>
      </w:tr>
    </w:tbl>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3C16D4" w:rsidRPr="00C73365" w:rsidRDefault="00424C2A" w:rsidP="004572A0">
      <w:pPr>
        <w:pStyle w:val="BodyText"/>
        <w:rPr>
          <w:rFonts w:asciiTheme="minorHAnsi" w:hAnsiTheme="minorHAnsi" w:cstheme="minorHAnsi"/>
          <w:szCs w:val="22"/>
          <w:lang w:val="fr-FR"/>
        </w:rPr>
      </w:pPr>
      <w:r w:rsidRPr="00C73365">
        <w:rPr>
          <w:rFonts w:asciiTheme="minorHAnsi" w:hAnsiTheme="minorHAnsi" w:cstheme="minorHAnsi"/>
          <w:lang w:val="fr-FR"/>
        </w:rPr>
        <w:t xml:space="preserve">Ce montant correspond au montant maximum d’avances remboursables prévus initialement par le contrat. Dans le cas où le montant total des avances remboursables effectivement versé par </w:t>
      </w:r>
      <w:r w:rsidR="001479F8">
        <w:rPr>
          <w:rFonts w:asciiTheme="minorHAnsi" w:hAnsiTheme="minorHAnsi" w:cstheme="minorHAnsi"/>
          <w:lang w:val="fr-FR"/>
        </w:rPr>
        <w:t>Bpifrance</w:t>
      </w:r>
      <w:r w:rsidRPr="00C73365">
        <w:rPr>
          <w:rFonts w:asciiTheme="minorHAnsi" w:hAnsiTheme="minorHAnsi" w:cstheme="minorHAnsi"/>
          <w:lang w:val="fr-FR"/>
        </w:rPr>
        <w:t xml:space="preserve"> serait inférieur à la somme convenue initialement, les remboursements indiqués ci-dessus seront réduits au prorata des sommes versées.  </w:t>
      </w:r>
    </w:p>
    <w:p w:rsidR="008B3EAD" w:rsidRPr="00C73365" w:rsidRDefault="008B3EAD"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cas échéant, la société devra aussi verser une annuité de 50% du produit généré par la cession des titres de propriété intellectuelle issus du projet, ainsi que de la cession des prototypes, préséries et maquettes réalisées dans le cadre du projet.</w:t>
      </w:r>
      <w:r w:rsidRPr="00C73365">
        <w:rPr>
          <w:rFonts w:asciiTheme="minorHAnsi" w:hAnsiTheme="minorHAnsi" w:cstheme="minorHAnsi"/>
          <w:b/>
          <w:color w:val="7030A0"/>
          <w:lang w:val="fr-FR" w:eastAsia="fr-FR"/>
        </w:rPr>
        <w:t xml:space="preserve"> </w:t>
      </w:r>
    </w:p>
    <w:p w:rsidR="00BE2C65" w:rsidRPr="00C73365" w:rsidRDefault="00234CD1"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Concernant les versements complémentaires, s</w:t>
      </w:r>
      <w:r w:rsidR="00BE2C65" w:rsidRPr="00C73365">
        <w:rPr>
          <w:rFonts w:asciiTheme="minorHAnsi" w:eastAsia="MS Mincho" w:hAnsiTheme="minorHAnsi" w:cstheme="minorHAnsi"/>
          <w:lang w:val="fr-FR" w:eastAsia="fr-FR"/>
        </w:rPr>
        <w:t xml:space="preserve">i le remboursement de l’avance est effectué dans les conditions présentées ci-dessus, la société versera à </w:t>
      </w:r>
      <w:r w:rsidR="001479F8">
        <w:rPr>
          <w:rFonts w:asciiTheme="minorHAnsi" w:eastAsia="MS Mincho" w:hAnsiTheme="minorHAnsi" w:cstheme="minorHAnsi"/>
          <w:lang w:val="fr-FR" w:eastAsia="fr-FR"/>
        </w:rPr>
        <w:t>BPIFRANCE</w:t>
      </w:r>
      <w:r w:rsidR="00BE2C65" w:rsidRPr="00C73365">
        <w:rPr>
          <w:rFonts w:asciiTheme="minorHAnsi" w:eastAsia="MS Mincho" w:hAnsiTheme="minorHAnsi" w:cstheme="minorHAnsi"/>
          <w:lang w:val="fr-FR" w:eastAsia="fr-FR"/>
        </w:rPr>
        <w:t xml:space="preserve">, pendant </w:t>
      </w:r>
      <w:r w:rsidR="006E11AF" w:rsidRPr="00C73365">
        <w:rPr>
          <w:rFonts w:asciiTheme="minorHAnsi" w:eastAsia="MS Mincho" w:hAnsiTheme="minorHAnsi" w:cstheme="minorHAnsi"/>
          <w:lang w:val="fr-FR" w:eastAsia="fr-FR"/>
        </w:rPr>
        <w:t>une durée de 5 année consécutive</w:t>
      </w:r>
      <w:r w:rsidR="00BE2C65" w:rsidRPr="00C73365">
        <w:rPr>
          <w:rFonts w:asciiTheme="minorHAnsi" w:eastAsia="MS Mincho" w:hAnsiTheme="minorHAnsi" w:cstheme="minorHAnsi"/>
          <w:lang w:val="fr-FR" w:eastAsia="fr-FR"/>
        </w:rPr>
        <w:t xml:space="preserve"> après la date de terminaison de l’échéancier et dès lors qu’elle aura atteint un montant cumulé de chiffre d’affaires hors taxes égal ou supérieur à 25 000 </w:t>
      </w:r>
      <w:r w:rsidR="00EF089C" w:rsidRPr="00C73365">
        <w:rPr>
          <w:rFonts w:asciiTheme="minorHAnsi" w:eastAsia="MS Mincho" w:hAnsiTheme="minorHAnsi" w:cstheme="minorHAnsi"/>
          <w:lang w:val="fr-FR" w:eastAsia="fr-FR"/>
        </w:rPr>
        <w:t>K€</w:t>
      </w:r>
      <w:r w:rsidR="00BE2C65" w:rsidRPr="00C73365">
        <w:rPr>
          <w:rFonts w:asciiTheme="minorHAnsi" w:eastAsia="MS Mincho" w:hAnsiTheme="minorHAnsi" w:cstheme="minorHAnsi"/>
          <w:lang w:val="fr-FR" w:eastAsia="fr-FR"/>
        </w:rPr>
        <w:t>, 3% du chiffre d’affaires annuel généré par l’exploitation des produits issus du projet.</w:t>
      </w:r>
    </w:p>
    <w:p w:rsidR="00BE2C65" w:rsidRPr="00C73365" w:rsidRDefault="00BE2C65"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Le montant des versements complémentaires est plafonné à la somme de 5 500 </w:t>
      </w:r>
      <w:r w:rsidR="00EF089C" w:rsidRPr="00C73365">
        <w:rPr>
          <w:rFonts w:asciiTheme="minorHAnsi" w:eastAsia="MS Mincho" w:hAnsiTheme="minorHAnsi" w:cstheme="minorHAnsi"/>
          <w:lang w:val="fr-FR" w:eastAsia="fr-FR"/>
        </w:rPr>
        <w:t>K€</w:t>
      </w:r>
      <w:r w:rsidRPr="00C73365">
        <w:rPr>
          <w:rFonts w:asciiTheme="minorHAnsi" w:eastAsia="MS Mincho" w:hAnsiTheme="minorHAnsi" w:cstheme="minorHAnsi"/>
          <w:lang w:val="fr-FR" w:eastAsia="fr-FR"/>
        </w:rPr>
        <w:t>.</w:t>
      </w:r>
    </w:p>
    <w:p w:rsidR="00BE2C65" w:rsidRPr="00C73365" w:rsidRDefault="00BE2C65"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t>La période totale incluant les remboursements forfaitaires et le versement de l’intéressement est limitée à 15 ans.</w:t>
      </w:r>
    </w:p>
    <w:p w:rsidR="00332F45" w:rsidRPr="00C73365" w:rsidRDefault="007974ED" w:rsidP="009E5FDD">
      <w:pPr>
        <w:pStyle w:val="ConmainL3"/>
        <w:numPr>
          <w:ilvl w:val="2"/>
          <w:numId w:val="9"/>
        </w:numPr>
        <w:spacing w:after="0"/>
        <w:ind w:left="1440"/>
        <w:rPr>
          <w:rFonts w:asciiTheme="minorHAnsi" w:hAnsiTheme="minorHAnsi" w:cstheme="minorHAnsi"/>
          <w:b/>
          <w:color w:val="7030A0"/>
          <w:lang w:val="fr-FR"/>
        </w:rPr>
      </w:pPr>
      <w:r w:rsidRPr="00C73365">
        <w:rPr>
          <w:rFonts w:asciiTheme="minorHAnsi" w:hAnsiTheme="minorHAnsi" w:cstheme="minorHAnsi"/>
          <w:b/>
          <w:color w:val="7030A0"/>
          <w:lang w:val="fr-FR"/>
        </w:rPr>
        <w:t xml:space="preserve">Aide conjointe </w:t>
      </w:r>
      <w:r w:rsidR="001479F8">
        <w:rPr>
          <w:rFonts w:asciiTheme="minorHAnsi" w:hAnsiTheme="minorHAnsi" w:cstheme="minorHAnsi"/>
          <w:b/>
          <w:color w:val="7030A0"/>
          <w:lang w:val="fr-FR"/>
        </w:rPr>
        <w:t>Bpifrance</w:t>
      </w:r>
      <w:r w:rsidRPr="00C73365">
        <w:rPr>
          <w:rFonts w:asciiTheme="minorHAnsi" w:hAnsiTheme="minorHAnsi" w:cstheme="minorHAnsi"/>
          <w:b/>
          <w:color w:val="7030A0"/>
          <w:lang w:val="fr-FR"/>
        </w:rPr>
        <w:t xml:space="preserve"> et Région Occitanie Projet EBOLA (part Avances Remboursables)</w:t>
      </w:r>
    </w:p>
    <w:p w:rsidR="007974ED" w:rsidRPr="00C73365" w:rsidRDefault="007974ED" w:rsidP="00A96CCA">
      <w:pPr>
        <w:pStyle w:val="ListParagraph"/>
        <w:spacing w:after="0"/>
        <w:ind w:left="1980"/>
        <w:rPr>
          <w:rFonts w:asciiTheme="minorHAnsi" w:hAnsiTheme="minorHAnsi" w:cstheme="minorHAnsi"/>
          <w:lang w:val="fr-FR"/>
        </w:rPr>
      </w:pPr>
    </w:p>
    <w:p w:rsidR="00D10EEF" w:rsidRPr="00C73365" w:rsidRDefault="00D10EEF" w:rsidP="004572A0">
      <w:pPr>
        <w:pStyle w:val="BodyText"/>
        <w:rPr>
          <w:rFonts w:asciiTheme="minorHAnsi" w:hAnsiTheme="minorHAnsi" w:cstheme="minorHAnsi"/>
          <w:lang w:val="fr-FR"/>
        </w:rPr>
      </w:pPr>
      <w:r w:rsidRPr="00C73365">
        <w:rPr>
          <w:rFonts w:asciiTheme="minorHAnsi" w:hAnsiTheme="minorHAnsi" w:cstheme="minorHAnsi"/>
          <w:lang w:val="fr-FR"/>
        </w:rPr>
        <w:t>Le contrat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aide conjointe </w:t>
      </w:r>
      <w:r w:rsidR="001479F8">
        <w:rPr>
          <w:rFonts w:asciiTheme="minorHAnsi" w:hAnsiTheme="minorHAnsi" w:cstheme="minorHAnsi"/>
          <w:lang w:val="fr-FR"/>
        </w:rPr>
        <w:t>Bpifrance</w:t>
      </w:r>
      <w:r w:rsidRPr="00C73365">
        <w:rPr>
          <w:rFonts w:asciiTheme="minorHAnsi" w:hAnsiTheme="minorHAnsi" w:cstheme="minorHAnsi"/>
          <w:lang w:val="fr-FR"/>
        </w:rPr>
        <w:t xml:space="preserve"> et Région Occitanie</w:t>
      </w:r>
      <w:r w:rsidR="00665210" w:rsidRPr="00C73365">
        <w:rPr>
          <w:rFonts w:asciiTheme="minorHAnsi" w:hAnsiTheme="minorHAnsi" w:cstheme="minorHAnsi"/>
          <w:lang w:val="fr-FR"/>
        </w:rPr>
        <w:t xml:space="preserve"> accordé le 2 juin 2017</w:t>
      </w:r>
      <w:r w:rsidRPr="00C73365">
        <w:rPr>
          <w:rFonts w:asciiTheme="minorHAnsi" w:hAnsiTheme="minorHAnsi" w:cstheme="minorHAnsi"/>
          <w:lang w:val="fr-FR"/>
        </w:rPr>
        <w:t xml:space="preserve"> (respectivement 260 000 € et 130 000 €) est constitué d’avances remboursables (conditionné au succès) d</w:t>
      </w:r>
      <w:r w:rsidR="004572A0" w:rsidRPr="00C73365">
        <w:rPr>
          <w:rFonts w:asciiTheme="minorHAnsi" w:hAnsiTheme="minorHAnsi" w:cstheme="minorHAnsi"/>
          <w:lang w:val="fr-FR"/>
        </w:rPr>
        <w:t>’</w:t>
      </w:r>
      <w:r w:rsidRPr="00C73365">
        <w:rPr>
          <w:rFonts w:asciiTheme="minorHAnsi" w:hAnsiTheme="minorHAnsi" w:cstheme="minorHAnsi"/>
          <w:lang w:val="fr-FR"/>
        </w:rPr>
        <w:t xml:space="preserve">un montant global maximum de 390 000 euros pour </w:t>
      </w:r>
      <w:r w:rsidR="00EF089C" w:rsidRPr="00C73365">
        <w:rPr>
          <w:rFonts w:asciiTheme="minorHAnsi" w:hAnsiTheme="minorHAnsi" w:cstheme="minorHAnsi"/>
          <w:lang w:val="fr-FR"/>
        </w:rPr>
        <w:t>ABIVAX</w:t>
      </w:r>
      <w:r w:rsidRPr="00C73365">
        <w:rPr>
          <w:rFonts w:asciiTheme="minorHAnsi" w:hAnsiTheme="minorHAnsi" w:cstheme="minorHAnsi"/>
          <w:lang w:val="fr-FR"/>
        </w:rPr>
        <w:t>.</w:t>
      </w:r>
    </w:p>
    <w:p w:rsidR="00D10EEF" w:rsidRPr="00C73365" w:rsidRDefault="00D10EEF" w:rsidP="004572A0">
      <w:pPr>
        <w:pStyle w:val="BodyTextFirstIndent2"/>
        <w:rPr>
          <w:rFonts w:asciiTheme="minorHAnsi" w:hAnsiTheme="minorHAnsi" w:cstheme="minorHAnsi"/>
          <w:b/>
          <w:lang w:val="fr-FR"/>
        </w:rPr>
      </w:pPr>
      <w:r w:rsidRPr="00C73365">
        <w:rPr>
          <w:rFonts w:asciiTheme="minorHAnsi" w:hAnsiTheme="minorHAnsi" w:cstheme="minorHAnsi"/>
          <w:b/>
          <w:lang w:val="fr-FR"/>
        </w:rPr>
        <w:t>Echéancier versements maximaux des avances remboursables (en euros) :</w:t>
      </w:r>
    </w:p>
    <w:tbl>
      <w:tblPr>
        <w:tblW w:w="3911" w:type="dxa"/>
        <w:tblInd w:w="2870" w:type="dxa"/>
        <w:tblCellMar>
          <w:left w:w="70" w:type="dxa"/>
          <w:right w:w="70" w:type="dxa"/>
        </w:tblCellMar>
        <w:tblLook w:val="04A0" w:firstRow="1" w:lastRow="0" w:firstColumn="1" w:lastColumn="0" w:noHBand="0" w:noVBand="1"/>
      </w:tblPr>
      <w:tblGrid>
        <w:gridCol w:w="1206"/>
        <w:gridCol w:w="146"/>
        <w:gridCol w:w="1218"/>
        <w:gridCol w:w="146"/>
        <w:gridCol w:w="1049"/>
        <w:gridCol w:w="146"/>
      </w:tblGrid>
      <w:tr w:rsidR="00D10EEF" w:rsidRPr="00C73365" w:rsidTr="00EE6208">
        <w:trPr>
          <w:trHeight w:val="944"/>
        </w:trPr>
        <w:tc>
          <w:tcPr>
            <w:tcW w:w="1206" w:type="dxa"/>
            <w:tcBorders>
              <w:top w:val="single" w:sz="12" w:space="0" w:color="7030A0"/>
              <w:left w:val="nil"/>
              <w:bottom w:val="single" w:sz="8" w:space="0" w:color="7030A0"/>
              <w:right w:val="nil"/>
            </w:tcBorders>
            <w:shd w:val="clear" w:color="auto" w:fill="auto"/>
            <w:vAlign w:val="center"/>
            <w:hideMark/>
          </w:tcPr>
          <w:p w:rsidR="00D10EEF" w:rsidRPr="00C73365" w:rsidRDefault="00D10EE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Bénéficiaires</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jc w:val="center"/>
              <w:rPr>
                <w:rFonts w:asciiTheme="minorHAnsi" w:hAnsiTheme="minorHAnsi" w:cstheme="minorHAnsi"/>
                <w:b/>
                <w:bCs/>
                <w:color w:val="000000"/>
                <w:szCs w:val="20"/>
                <w:lang w:val="fr-FR" w:eastAsia="fr-FR"/>
              </w:rPr>
            </w:pPr>
          </w:p>
        </w:tc>
        <w:tc>
          <w:tcPr>
            <w:tcW w:w="1218" w:type="dxa"/>
            <w:tcBorders>
              <w:top w:val="single" w:sz="12" w:space="0" w:color="7030A0"/>
              <w:left w:val="nil"/>
              <w:bottom w:val="single" w:sz="8" w:space="0" w:color="7030A0"/>
              <w:right w:val="nil"/>
            </w:tcBorders>
            <w:shd w:val="clear" w:color="auto" w:fill="auto"/>
            <w:vAlign w:val="center"/>
            <w:hideMark/>
          </w:tcPr>
          <w:p w:rsidR="00D10EEF" w:rsidRPr="00C73365" w:rsidRDefault="00D10EE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Premier versement en avances récupérables</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jc w:val="center"/>
              <w:rPr>
                <w:rFonts w:asciiTheme="minorHAnsi" w:hAnsiTheme="minorHAnsi" w:cstheme="minorHAnsi"/>
                <w:b/>
                <w:bCs/>
                <w:color w:val="000000"/>
                <w:szCs w:val="20"/>
                <w:lang w:val="fr-FR" w:eastAsia="fr-FR"/>
              </w:rPr>
            </w:pPr>
          </w:p>
        </w:tc>
        <w:tc>
          <w:tcPr>
            <w:tcW w:w="1049" w:type="dxa"/>
            <w:tcBorders>
              <w:top w:val="single" w:sz="12" w:space="0" w:color="7030A0"/>
              <w:left w:val="nil"/>
              <w:bottom w:val="single" w:sz="8" w:space="0" w:color="7030A0"/>
              <w:right w:val="nil"/>
            </w:tcBorders>
            <w:shd w:val="clear" w:color="auto" w:fill="auto"/>
            <w:vAlign w:val="center"/>
            <w:hideMark/>
          </w:tcPr>
          <w:p w:rsidR="00D10EEF" w:rsidRPr="00C73365" w:rsidRDefault="00D10EEF" w:rsidP="00A96CCA">
            <w:pPr>
              <w:spacing w:after="0"/>
              <w:jc w:val="center"/>
              <w:rPr>
                <w:rFonts w:asciiTheme="minorHAnsi" w:hAnsiTheme="minorHAnsi" w:cstheme="minorHAnsi"/>
                <w:b/>
                <w:bCs/>
                <w:color w:val="000000"/>
                <w:szCs w:val="20"/>
                <w:lang w:val="fr-FR" w:eastAsia="fr-FR"/>
              </w:rPr>
            </w:pPr>
            <w:r w:rsidRPr="00C73365">
              <w:rPr>
                <w:rFonts w:asciiTheme="minorHAnsi" w:hAnsiTheme="minorHAnsi" w:cstheme="minorHAnsi"/>
                <w:b/>
                <w:bCs/>
                <w:color w:val="000000"/>
                <w:szCs w:val="20"/>
                <w:lang w:val="fr-FR" w:eastAsia="fr-FR"/>
              </w:rPr>
              <w:t>2018</w:t>
            </w:r>
            <w:r w:rsidRPr="00C73365">
              <w:rPr>
                <w:rFonts w:asciiTheme="minorHAnsi" w:hAnsiTheme="minorHAnsi" w:cstheme="minorHAnsi"/>
                <w:b/>
                <w:bCs/>
                <w:color w:val="000000"/>
                <w:szCs w:val="20"/>
                <w:lang w:val="fr-FR" w:eastAsia="fr-FR"/>
              </w:rPr>
              <w:br/>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jc w:val="center"/>
              <w:rPr>
                <w:rFonts w:asciiTheme="minorHAnsi" w:hAnsiTheme="minorHAnsi" w:cstheme="minorHAnsi"/>
                <w:b/>
                <w:bCs/>
                <w:color w:val="000000"/>
                <w:szCs w:val="20"/>
                <w:lang w:val="fr-FR" w:eastAsia="fr-FR"/>
              </w:rPr>
            </w:pPr>
          </w:p>
        </w:tc>
      </w:tr>
      <w:tr w:rsidR="00D10EEF" w:rsidRPr="00C73365" w:rsidTr="00EE6208">
        <w:trPr>
          <w:trHeight w:val="251"/>
        </w:trPr>
        <w:tc>
          <w:tcPr>
            <w:tcW w:w="1206" w:type="dxa"/>
            <w:tcBorders>
              <w:top w:val="nil"/>
              <w:left w:val="nil"/>
              <w:bottom w:val="single" w:sz="8" w:space="0" w:color="7030A0"/>
              <w:right w:val="nil"/>
            </w:tcBorders>
            <w:shd w:val="clear" w:color="auto" w:fill="auto"/>
            <w:vAlign w:val="center"/>
            <w:hideMark/>
          </w:tcPr>
          <w:p w:rsidR="00D10EEF" w:rsidRPr="00C73365" w:rsidRDefault="00EF089C" w:rsidP="00A96CCA">
            <w:pPr>
              <w:spacing w:after="0"/>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ABIVAX</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rPr>
                <w:rFonts w:asciiTheme="minorHAnsi" w:hAnsiTheme="minorHAnsi" w:cstheme="minorHAnsi"/>
                <w:color w:val="000000"/>
                <w:szCs w:val="20"/>
                <w:lang w:val="fr-FR" w:eastAsia="fr-FR"/>
              </w:rPr>
            </w:pPr>
          </w:p>
        </w:tc>
        <w:tc>
          <w:tcPr>
            <w:tcW w:w="1218" w:type="dxa"/>
            <w:tcBorders>
              <w:top w:val="nil"/>
              <w:left w:val="nil"/>
              <w:bottom w:val="single" w:sz="8" w:space="0" w:color="7030A0"/>
              <w:right w:val="nil"/>
            </w:tcBorders>
            <w:shd w:val="clear" w:color="auto" w:fill="auto"/>
            <w:vAlign w:val="center"/>
          </w:tcPr>
          <w:p w:rsidR="00D10EEF" w:rsidRPr="00C73365" w:rsidRDefault="00A14C60"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300 000</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jc w:val="center"/>
              <w:rPr>
                <w:rFonts w:asciiTheme="minorHAnsi" w:hAnsiTheme="minorHAnsi" w:cstheme="minorHAnsi"/>
                <w:color w:val="000000"/>
                <w:szCs w:val="20"/>
                <w:lang w:val="fr-FR" w:eastAsia="fr-FR"/>
              </w:rPr>
            </w:pPr>
          </w:p>
        </w:tc>
        <w:tc>
          <w:tcPr>
            <w:tcW w:w="1049" w:type="dxa"/>
            <w:tcBorders>
              <w:top w:val="nil"/>
              <w:left w:val="nil"/>
              <w:bottom w:val="single" w:sz="8" w:space="0" w:color="7030A0"/>
              <w:right w:val="nil"/>
            </w:tcBorders>
            <w:shd w:val="clear" w:color="auto" w:fill="auto"/>
            <w:vAlign w:val="center"/>
            <w:hideMark/>
          </w:tcPr>
          <w:p w:rsidR="00D10EEF" w:rsidRPr="00C73365" w:rsidRDefault="00D10EEF" w:rsidP="00A96CCA">
            <w:pPr>
              <w:spacing w:after="0"/>
              <w:jc w:val="center"/>
              <w:rPr>
                <w:rFonts w:asciiTheme="minorHAnsi" w:hAnsiTheme="minorHAnsi" w:cstheme="minorHAnsi"/>
                <w:color w:val="000000"/>
                <w:szCs w:val="20"/>
                <w:lang w:val="fr-FR" w:eastAsia="fr-FR"/>
              </w:rPr>
            </w:pPr>
            <w:r w:rsidRPr="00C73365">
              <w:rPr>
                <w:rFonts w:asciiTheme="minorHAnsi" w:hAnsiTheme="minorHAnsi" w:cstheme="minorHAnsi"/>
                <w:color w:val="000000"/>
                <w:szCs w:val="20"/>
                <w:lang w:val="fr-FR" w:eastAsia="fr-FR"/>
              </w:rPr>
              <w:t>90 000</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jc w:val="center"/>
              <w:rPr>
                <w:rFonts w:asciiTheme="minorHAnsi" w:hAnsiTheme="minorHAnsi" w:cstheme="minorHAnsi"/>
                <w:color w:val="000000"/>
                <w:szCs w:val="20"/>
                <w:lang w:val="fr-FR" w:eastAsia="fr-FR"/>
              </w:rPr>
            </w:pPr>
          </w:p>
        </w:tc>
      </w:tr>
      <w:tr w:rsidR="00D10EEF" w:rsidRPr="00C73365" w:rsidTr="00EE6208">
        <w:trPr>
          <w:trHeight w:val="397"/>
        </w:trPr>
        <w:tc>
          <w:tcPr>
            <w:tcW w:w="1206" w:type="dxa"/>
            <w:tcBorders>
              <w:top w:val="nil"/>
              <w:left w:val="nil"/>
              <w:bottom w:val="single" w:sz="8" w:space="0" w:color="7030A0"/>
              <w:right w:val="nil"/>
            </w:tcBorders>
            <w:shd w:val="clear" w:color="auto" w:fill="auto"/>
            <w:vAlign w:val="center"/>
            <w:hideMark/>
          </w:tcPr>
          <w:p w:rsidR="00D10EEF" w:rsidRPr="00C73365" w:rsidRDefault="00D10EEF" w:rsidP="00A96CCA">
            <w:pPr>
              <w:spacing w:after="0"/>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TOTAL</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rPr>
                <w:rFonts w:asciiTheme="minorHAnsi" w:hAnsiTheme="minorHAnsi" w:cstheme="minorHAnsi"/>
                <w:b/>
                <w:bCs/>
                <w:color w:val="7030A0"/>
                <w:szCs w:val="20"/>
                <w:lang w:val="fr-FR" w:eastAsia="fr-FR"/>
              </w:rPr>
            </w:pPr>
          </w:p>
        </w:tc>
        <w:tc>
          <w:tcPr>
            <w:tcW w:w="1218" w:type="dxa"/>
            <w:tcBorders>
              <w:top w:val="nil"/>
              <w:left w:val="nil"/>
              <w:bottom w:val="single" w:sz="8" w:space="0" w:color="7030A0"/>
              <w:right w:val="nil"/>
            </w:tcBorders>
            <w:shd w:val="clear" w:color="auto" w:fill="auto"/>
            <w:vAlign w:val="center"/>
          </w:tcPr>
          <w:p w:rsidR="00D10EEF" w:rsidRPr="00C73365" w:rsidRDefault="00A14C60"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300</w:t>
            </w:r>
            <w:r w:rsidR="00D10EEF" w:rsidRPr="00C73365">
              <w:rPr>
                <w:rFonts w:asciiTheme="minorHAnsi" w:hAnsiTheme="minorHAnsi" w:cstheme="minorHAnsi"/>
                <w:b/>
                <w:bCs/>
                <w:color w:val="7030A0"/>
                <w:szCs w:val="20"/>
                <w:lang w:val="fr-FR" w:eastAsia="fr-FR"/>
              </w:rPr>
              <w:t xml:space="preserve"> 000</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jc w:val="center"/>
              <w:rPr>
                <w:rFonts w:asciiTheme="minorHAnsi" w:hAnsiTheme="minorHAnsi" w:cstheme="minorHAnsi"/>
                <w:b/>
                <w:bCs/>
                <w:color w:val="7030A0"/>
                <w:szCs w:val="20"/>
                <w:lang w:val="fr-FR" w:eastAsia="fr-FR"/>
              </w:rPr>
            </w:pPr>
          </w:p>
        </w:tc>
        <w:tc>
          <w:tcPr>
            <w:tcW w:w="1049" w:type="dxa"/>
            <w:tcBorders>
              <w:top w:val="nil"/>
              <w:left w:val="nil"/>
              <w:bottom w:val="single" w:sz="8" w:space="0" w:color="7030A0"/>
              <w:right w:val="nil"/>
            </w:tcBorders>
            <w:shd w:val="clear" w:color="auto" w:fill="auto"/>
            <w:vAlign w:val="center"/>
            <w:hideMark/>
          </w:tcPr>
          <w:p w:rsidR="00D10EEF" w:rsidRPr="00C73365" w:rsidRDefault="00D10EEF" w:rsidP="00A96CCA">
            <w:pPr>
              <w:spacing w:after="0"/>
              <w:jc w:val="center"/>
              <w:rPr>
                <w:rFonts w:asciiTheme="minorHAnsi" w:hAnsiTheme="minorHAnsi" w:cstheme="minorHAnsi"/>
                <w:b/>
                <w:bCs/>
                <w:color w:val="7030A0"/>
                <w:szCs w:val="20"/>
                <w:lang w:val="fr-FR" w:eastAsia="fr-FR"/>
              </w:rPr>
            </w:pPr>
            <w:r w:rsidRPr="00C73365">
              <w:rPr>
                <w:rFonts w:asciiTheme="minorHAnsi" w:hAnsiTheme="minorHAnsi" w:cstheme="minorHAnsi"/>
                <w:b/>
                <w:bCs/>
                <w:color w:val="7030A0"/>
                <w:szCs w:val="20"/>
                <w:lang w:val="fr-FR" w:eastAsia="fr-FR"/>
              </w:rPr>
              <w:t>90 000</w:t>
            </w:r>
          </w:p>
        </w:tc>
        <w:tc>
          <w:tcPr>
            <w:tcW w:w="146" w:type="dxa"/>
            <w:tcBorders>
              <w:top w:val="nil"/>
              <w:left w:val="nil"/>
              <w:bottom w:val="nil"/>
              <w:right w:val="nil"/>
            </w:tcBorders>
            <w:shd w:val="clear" w:color="auto" w:fill="auto"/>
            <w:noWrap/>
            <w:vAlign w:val="bottom"/>
            <w:hideMark/>
          </w:tcPr>
          <w:p w:rsidR="00D10EEF" w:rsidRPr="00C73365" w:rsidRDefault="00D10EEF" w:rsidP="00A96CCA">
            <w:pPr>
              <w:spacing w:after="0"/>
              <w:jc w:val="center"/>
              <w:rPr>
                <w:rFonts w:asciiTheme="minorHAnsi" w:hAnsiTheme="minorHAnsi" w:cstheme="minorHAnsi"/>
                <w:b/>
                <w:bCs/>
                <w:color w:val="7030A0"/>
                <w:szCs w:val="20"/>
                <w:lang w:val="fr-FR" w:eastAsia="fr-FR"/>
              </w:rPr>
            </w:pPr>
          </w:p>
        </w:tc>
      </w:tr>
    </w:tbl>
    <w:p w:rsidR="00D10EEF" w:rsidRDefault="00D10EEF" w:rsidP="00A96CCA">
      <w:pPr>
        <w:autoSpaceDE w:val="0"/>
        <w:autoSpaceDN w:val="0"/>
        <w:adjustRightInd w:val="0"/>
        <w:spacing w:after="0"/>
        <w:rPr>
          <w:rFonts w:asciiTheme="minorHAnsi" w:hAnsiTheme="minorHAnsi" w:cstheme="minorHAnsi"/>
          <w:i/>
          <w:color w:val="7030A0"/>
          <w:sz w:val="18"/>
          <w:szCs w:val="20"/>
          <w:lang w:val="fr-FR"/>
        </w:rPr>
      </w:pPr>
    </w:p>
    <w:p w:rsidR="00823C67" w:rsidRDefault="00823C67" w:rsidP="00A96CCA">
      <w:pPr>
        <w:autoSpaceDE w:val="0"/>
        <w:autoSpaceDN w:val="0"/>
        <w:adjustRightInd w:val="0"/>
        <w:spacing w:after="0"/>
        <w:rPr>
          <w:rFonts w:asciiTheme="minorHAnsi" w:hAnsiTheme="minorHAnsi" w:cstheme="minorHAnsi"/>
          <w:i/>
          <w:color w:val="7030A0"/>
          <w:sz w:val="18"/>
          <w:szCs w:val="20"/>
          <w:lang w:val="fr-FR"/>
        </w:rPr>
      </w:pPr>
    </w:p>
    <w:p w:rsidR="00823C67" w:rsidRDefault="00823C67" w:rsidP="00A96CCA">
      <w:pPr>
        <w:autoSpaceDE w:val="0"/>
        <w:autoSpaceDN w:val="0"/>
        <w:adjustRightInd w:val="0"/>
        <w:spacing w:after="0"/>
        <w:rPr>
          <w:rFonts w:asciiTheme="minorHAnsi" w:hAnsiTheme="minorHAnsi" w:cstheme="minorHAnsi"/>
          <w:i/>
          <w:color w:val="7030A0"/>
          <w:sz w:val="18"/>
          <w:szCs w:val="20"/>
          <w:lang w:val="fr-FR"/>
        </w:rPr>
      </w:pPr>
    </w:p>
    <w:p w:rsidR="00823C67" w:rsidRDefault="00823C67" w:rsidP="00A96CCA">
      <w:pPr>
        <w:autoSpaceDE w:val="0"/>
        <w:autoSpaceDN w:val="0"/>
        <w:adjustRightInd w:val="0"/>
        <w:spacing w:after="0"/>
        <w:rPr>
          <w:rFonts w:asciiTheme="minorHAnsi" w:hAnsiTheme="minorHAnsi" w:cstheme="minorHAnsi"/>
          <w:i/>
          <w:color w:val="7030A0"/>
          <w:sz w:val="18"/>
          <w:szCs w:val="20"/>
          <w:lang w:val="fr-FR"/>
        </w:rPr>
      </w:pPr>
    </w:p>
    <w:p w:rsidR="00823C67" w:rsidRDefault="00823C67" w:rsidP="00A96CCA">
      <w:pPr>
        <w:autoSpaceDE w:val="0"/>
        <w:autoSpaceDN w:val="0"/>
        <w:adjustRightInd w:val="0"/>
        <w:spacing w:after="0"/>
        <w:rPr>
          <w:rFonts w:asciiTheme="minorHAnsi" w:hAnsiTheme="minorHAnsi" w:cstheme="minorHAnsi"/>
          <w:i/>
          <w:color w:val="7030A0"/>
          <w:sz w:val="18"/>
          <w:szCs w:val="20"/>
          <w:lang w:val="fr-FR"/>
        </w:rPr>
      </w:pPr>
    </w:p>
    <w:p w:rsidR="00823C67" w:rsidRDefault="00823C67" w:rsidP="00A96CCA">
      <w:pPr>
        <w:autoSpaceDE w:val="0"/>
        <w:autoSpaceDN w:val="0"/>
        <w:adjustRightInd w:val="0"/>
        <w:spacing w:after="0"/>
        <w:rPr>
          <w:rFonts w:asciiTheme="minorHAnsi" w:hAnsiTheme="minorHAnsi" w:cstheme="minorHAnsi"/>
          <w:i/>
          <w:color w:val="7030A0"/>
          <w:sz w:val="18"/>
          <w:szCs w:val="20"/>
          <w:lang w:val="fr-FR"/>
        </w:rPr>
      </w:pPr>
    </w:p>
    <w:p w:rsidR="00823C67" w:rsidRDefault="00823C67" w:rsidP="00A96CCA">
      <w:pPr>
        <w:autoSpaceDE w:val="0"/>
        <w:autoSpaceDN w:val="0"/>
        <w:adjustRightInd w:val="0"/>
        <w:spacing w:after="0"/>
        <w:rPr>
          <w:rFonts w:asciiTheme="minorHAnsi" w:hAnsiTheme="minorHAnsi" w:cstheme="minorHAnsi"/>
          <w:i/>
          <w:color w:val="7030A0"/>
          <w:sz w:val="18"/>
          <w:szCs w:val="20"/>
          <w:lang w:val="fr-FR"/>
        </w:rPr>
      </w:pPr>
    </w:p>
    <w:p w:rsidR="00823C67" w:rsidRDefault="00823C67" w:rsidP="00A96CCA">
      <w:pPr>
        <w:autoSpaceDE w:val="0"/>
        <w:autoSpaceDN w:val="0"/>
        <w:adjustRightInd w:val="0"/>
        <w:spacing w:after="0"/>
        <w:rPr>
          <w:rFonts w:asciiTheme="minorHAnsi" w:hAnsiTheme="minorHAnsi" w:cstheme="minorHAnsi"/>
          <w:i/>
          <w:color w:val="7030A0"/>
          <w:sz w:val="18"/>
          <w:szCs w:val="20"/>
          <w:lang w:val="fr-FR"/>
        </w:rPr>
      </w:pPr>
    </w:p>
    <w:p w:rsidR="00823C67" w:rsidRDefault="00823C67" w:rsidP="00A96CCA">
      <w:pPr>
        <w:autoSpaceDE w:val="0"/>
        <w:autoSpaceDN w:val="0"/>
        <w:adjustRightInd w:val="0"/>
        <w:spacing w:after="0"/>
        <w:rPr>
          <w:rFonts w:asciiTheme="minorHAnsi" w:hAnsiTheme="minorHAnsi" w:cstheme="minorHAnsi"/>
          <w:i/>
          <w:color w:val="7030A0"/>
          <w:sz w:val="18"/>
          <w:szCs w:val="20"/>
          <w:lang w:val="fr-FR"/>
        </w:rPr>
      </w:pPr>
    </w:p>
    <w:p w:rsidR="00823C67" w:rsidRPr="00C73365" w:rsidRDefault="00823C67" w:rsidP="00A96CCA">
      <w:pPr>
        <w:autoSpaceDE w:val="0"/>
        <w:autoSpaceDN w:val="0"/>
        <w:adjustRightInd w:val="0"/>
        <w:spacing w:after="0"/>
        <w:rPr>
          <w:rFonts w:asciiTheme="minorHAnsi" w:hAnsiTheme="minorHAnsi" w:cstheme="minorHAnsi"/>
          <w:i/>
          <w:color w:val="7030A0"/>
          <w:sz w:val="18"/>
          <w:szCs w:val="20"/>
          <w:lang w:val="fr-FR"/>
        </w:rPr>
      </w:pPr>
    </w:p>
    <w:p w:rsidR="00D10EEF" w:rsidRPr="00C73365" w:rsidRDefault="00D10EEF" w:rsidP="00A96CCA">
      <w:pPr>
        <w:autoSpaceDE w:val="0"/>
        <w:autoSpaceDN w:val="0"/>
        <w:adjustRightInd w:val="0"/>
        <w:spacing w:after="0"/>
        <w:rPr>
          <w:rFonts w:asciiTheme="minorHAnsi" w:hAnsiTheme="minorHAnsi" w:cstheme="minorHAnsi"/>
          <w:i/>
          <w:color w:val="7030A0"/>
          <w:sz w:val="18"/>
          <w:szCs w:val="20"/>
          <w:lang w:val="fr-FR"/>
        </w:rPr>
      </w:pPr>
    </w:p>
    <w:p w:rsidR="00823C67" w:rsidRPr="00C73365" w:rsidRDefault="00D10EEF" w:rsidP="004572A0">
      <w:pPr>
        <w:pStyle w:val="BodyText"/>
        <w:rPr>
          <w:rFonts w:asciiTheme="minorHAnsi" w:eastAsia="MS Mincho" w:hAnsiTheme="minorHAnsi" w:cstheme="minorHAnsi"/>
          <w:lang w:val="fr-FR" w:eastAsia="fr-FR"/>
        </w:rPr>
      </w:pPr>
      <w:r w:rsidRPr="00C73365">
        <w:rPr>
          <w:rFonts w:asciiTheme="minorHAnsi" w:eastAsia="MS Mincho" w:hAnsiTheme="minorHAnsi" w:cstheme="minorHAnsi"/>
          <w:lang w:val="fr-FR" w:eastAsia="fr-FR"/>
        </w:rPr>
        <w:lastRenderedPageBreak/>
        <w:t>L’échéancier forfaitaire de remboursement, lié à la réussite du projet, est le suivant :</w:t>
      </w:r>
    </w:p>
    <w:tbl>
      <w:tblPr>
        <w:tblpPr w:leftFromText="141" w:rightFromText="141" w:vertAnchor="text" w:horzAnchor="margin" w:tblpXSpec="center" w:tblpY="136"/>
        <w:tblW w:w="4238" w:type="dxa"/>
        <w:tblCellMar>
          <w:left w:w="70" w:type="dxa"/>
          <w:right w:w="70" w:type="dxa"/>
        </w:tblCellMar>
        <w:tblLook w:val="04A0" w:firstRow="1" w:lastRow="0" w:firstColumn="1" w:lastColumn="0" w:noHBand="0" w:noVBand="1"/>
      </w:tblPr>
      <w:tblGrid>
        <w:gridCol w:w="2686"/>
        <w:gridCol w:w="156"/>
        <w:gridCol w:w="1396"/>
      </w:tblGrid>
      <w:tr w:rsidR="00D10EEF" w:rsidRPr="00C73365" w:rsidTr="008060C0">
        <w:trPr>
          <w:trHeight w:val="270"/>
        </w:trPr>
        <w:tc>
          <w:tcPr>
            <w:tcW w:w="2686" w:type="dxa"/>
            <w:tcBorders>
              <w:top w:val="single" w:sz="4" w:space="0" w:color="7030A0"/>
              <w:left w:val="nil"/>
              <w:bottom w:val="single" w:sz="4" w:space="0" w:color="7030A0"/>
              <w:right w:val="nil"/>
            </w:tcBorders>
            <w:shd w:val="clear" w:color="auto" w:fill="auto"/>
            <w:noWrap/>
            <w:vAlign w:val="center"/>
            <w:hideMark/>
          </w:tcPr>
          <w:p w:rsidR="00D10EEF" w:rsidRPr="00C73365" w:rsidRDefault="00D10EEF" w:rsidP="008060C0">
            <w:pPr>
              <w:spacing w:after="0"/>
              <w:rPr>
                <w:rFonts w:asciiTheme="minorHAnsi" w:hAnsiTheme="minorHAnsi" w:cstheme="minorHAnsi"/>
                <w:lang w:val="fr-FR"/>
              </w:rPr>
            </w:pPr>
            <w:r w:rsidRPr="00C73365">
              <w:rPr>
                <w:rFonts w:asciiTheme="minorHAnsi" w:hAnsiTheme="minorHAnsi" w:cstheme="minorHAnsi"/>
                <w:lang w:val="fr-FR"/>
              </w:rPr>
              <w:t>Au plus tard le 30 juin 2019</w:t>
            </w:r>
          </w:p>
        </w:tc>
        <w:tc>
          <w:tcPr>
            <w:tcW w:w="156" w:type="dxa"/>
            <w:tcBorders>
              <w:top w:val="single" w:sz="4" w:space="0" w:color="7030A0"/>
              <w:left w:val="nil"/>
              <w:bottom w:val="single" w:sz="4" w:space="0" w:color="7030A0"/>
              <w:right w:val="nil"/>
            </w:tcBorders>
            <w:shd w:val="clear" w:color="auto" w:fill="auto"/>
            <w:noWrap/>
            <w:vAlign w:val="bottom"/>
            <w:hideMark/>
          </w:tcPr>
          <w:p w:rsidR="00D10EEF" w:rsidRPr="00C73365" w:rsidRDefault="00D10EEF" w:rsidP="008060C0">
            <w:pPr>
              <w:spacing w:after="0"/>
              <w:rPr>
                <w:rFonts w:asciiTheme="minorHAnsi" w:hAnsiTheme="minorHAnsi" w:cstheme="minorHAnsi"/>
                <w:lang w:val="fr-FR"/>
              </w:rPr>
            </w:pPr>
          </w:p>
        </w:tc>
        <w:tc>
          <w:tcPr>
            <w:tcW w:w="1396" w:type="dxa"/>
            <w:tcBorders>
              <w:top w:val="single" w:sz="4" w:space="0" w:color="7030A0"/>
              <w:left w:val="nil"/>
              <w:bottom w:val="single" w:sz="4" w:space="0" w:color="7030A0"/>
              <w:right w:val="nil"/>
            </w:tcBorders>
            <w:shd w:val="clear" w:color="auto" w:fill="auto"/>
            <w:noWrap/>
            <w:vAlign w:val="bottom"/>
            <w:hideMark/>
          </w:tcPr>
          <w:p w:rsidR="00D10EEF" w:rsidRPr="00C73365" w:rsidRDefault="008060C0" w:rsidP="008060C0">
            <w:pPr>
              <w:spacing w:after="0"/>
              <w:jc w:val="right"/>
              <w:rPr>
                <w:rFonts w:asciiTheme="minorHAnsi" w:hAnsiTheme="minorHAnsi" w:cstheme="minorHAnsi"/>
                <w:lang w:val="fr-FR"/>
              </w:rPr>
            </w:pPr>
            <w:r w:rsidRPr="00C73365">
              <w:rPr>
                <w:rFonts w:asciiTheme="minorHAnsi" w:hAnsiTheme="minorHAnsi" w:cstheme="minorHAnsi"/>
                <w:color w:val="000000"/>
                <w:sz w:val="22"/>
                <w:szCs w:val="22"/>
              </w:rPr>
              <w:t>40 000</w:t>
            </w:r>
            <w:r w:rsidR="00D10EEF" w:rsidRPr="00C73365">
              <w:rPr>
                <w:rFonts w:asciiTheme="minorHAnsi" w:hAnsiTheme="minorHAnsi" w:cstheme="minorHAnsi"/>
                <w:color w:val="000000"/>
                <w:sz w:val="22"/>
                <w:szCs w:val="22"/>
              </w:rPr>
              <w:t xml:space="preserve"> €</w:t>
            </w:r>
          </w:p>
        </w:tc>
      </w:tr>
      <w:tr w:rsidR="00D10EEF" w:rsidRPr="00C73365" w:rsidTr="008060C0">
        <w:trPr>
          <w:trHeight w:val="270"/>
        </w:trPr>
        <w:tc>
          <w:tcPr>
            <w:tcW w:w="2686" w:type="dxa"/>
            <w:tcBorders>
              <w:top w:val="single" w:sz="4" w:space="0" w:color="7030A0"/>
              <w:left w:val="nil"/>
              <w:bottom w:val="single" w:sz="4" w:space="0" w:color="7030A0"/>
              <w:right w:val="nil"/>
            </w:tcBorders>
            <w:shd w:val="clear" w:color="auto" w:fill="auto"/>
            <w:noWrap/>
            <w:vAlign w:val="center"/>
          </w:tcPr>
          <w:p w:rsidR="00D10EEF" w:rsidRPr="00C73365" w:rsidRDefault="00D10EEF" w:rsidP="008060C0">
            <w:pPr>
              <w:spacing w:after="0"/>
              <w:rPr>
                <w:rFonts w:asciiTheme="minorHAnsi" w:hAnsiTheme="minorHAnsi" w:cstheme="minorHAnsi"/>
                <w:lang w:val="fr-FR"/>
              </w:rPr>
            </w:pPr>
            <w:r w:rsidRPr="00C73365">
              <w:rPr>
                <w:rFonts w:asciiTheme="minorHAnsi" w:hAnsiTheme="minorHAnsi" w:cstheme="minorHAnsi"/>
                <w:lang w:val="fr-FR"/>
              </w:rPr>
              <w:t>Au plus tard le 30 juin 2020</w:t>
            </w:r>
          </w:p>
        </w:tc>
        <w:tc>
          <w:tcPr>
            <w:tcW w:w="156" w:type="dxa"/>
            <w:tcBorders>
              <w:top w:val="single" w:sz="4" w:space="0" w:color="7030A0"/>
              <w:left w:val="nil"/>
              <w:bottom w:val="single" w:sz="4" w:space="0" w:color="7030A0"/>
              <w:right w:val="nil"/>
            </w:tcBorders>
            <w:shd w:val="clear" w:color="auto" w:fill="auto"/>
            <w:noWrap/>
            <w:vAlign w:val="bottom"/>
          </w:tcPr>
          <w:p w:rsidR="00D10EEF" w:rsidRPr="00C73365" w:rsidRDefault="00D10EEF" w:rsidP="008060C0">
            <w:pPr>
              <w:spacing w:after="0"/>
              <w:rPr>
                <w:rFonts w:asciiTheme="minorHAnsi" w:hAnsiTheme="minorHAnsi" w:cstheme="minorHAnsi"/>
                <w:lang w:val="fr-FR"/>
              </w:rPr>
            </w:pPr>
          </w:p>
        </w:tc>
        <w:tc>
          <w:tcPr>
            <w:tcW w:w="1396" w:type="dxa"/>
            <w:tcBorders>
              <w:top w:val="single" w:sz="4" w:space="0" w:color="7030A0"/>
              <w:left w:val="nil"/>
              <w:bottom w:val="single" w:sz="4" w:space="0" w:color="7030A0"/>
              <w:right w:val="nil"/>
            </w:tcBorders>
            <w:shd w:val="clear" w:color="auto" w:fill="auto"/>
            <w:noWrap/>
            <w:vAlign w:val="bottom"/>
          </w:tcPr>
          <w:p w:rsidR="00D10EEF" w:rsidRPr="00C73365" w:rsidRDefault="00D10EEF" w:rsidP="008060C0">
            <w:pPr>
              <w:spacing w:after="0"/>
              <w:jc w:val="right"/>
              <w:rPr>
                <w:rFonts w:asciiTheme="minorHAnsi" w:hAnsiTheme="minorHAnsi" w:cstheme="minorHAnsi"/>
                <w:lang w:val="fr-FR"/>
              </w:rPr>
            </w:pPr>
            <w:r w:rsidRPr="00C73365">
              <w:rPr>
                <w:rFonts w:asciiTheme="minorHAnsi" w:hAnsiTheme="minorHAnsi" w:cstheme="minorHAnsi"/>
                <w:color w:val="000000"/>
                <w:sz w:val="22"/>
                <w:szCs w:val="22"/>
              </w:rPr>
              <w:t>60 000 €</w:t>
            </w:r>
          </w:p>
        </w:tc>
      </w:tr>
      <w:tr w:rsidR="00D10EEF" w:rsidRPr="00C73365" w:rsidTr="008060C0">
        <w:trPr>
          <w:trHeight w:val="270"/>
        </w:trPr>
        <w:tc>
          <w:tcPr>
            <w:tcW w:w="2686" w:type="dxa"/>
            <w:tcBorders>
              <w:top w:val="single" w:sz="4" w:space="0" w:color="7030A0"/>
              <w:left w:val="nil"/>
              <w:bottom w:val="single" w:sz="4" w:space="0" w:color="7030A0"/>
              <w:right w:val="nil"/>
            </w:tcBorders>
            <w:shd w:val="clear" w:color="auto" w:fill="auto"/>
            <w:noWrap/>
            <w:vAlign w:val="center"/>
          </w:tcPr>
          <w:p w:rsidR="00D10EEF" w:rsidRPr="00C73365" w:rsidRDefault="00D10EEF" w:rsidP="008060C0">
            <w:pPr>
              <w:spacing w:after="0"/>
              <w:rPr>
                <w:rFonts w:asciiTheme="minorHAnsi" w:hAnsiTheme="minorHAnsi" w:cstheme="minorHAnsi"/>
                <w:lang w:val="fr-FR"/>
              </w:rPr>
            </w:pPr>
            <w:r w:rsidRPr="00C73365">
              <w:rPr>
                <w:rFonts w:asciiTheme="minorHAnsi" w:hAnsiTheme="minorHAnsi" w:cstheme="minorHAnsi"/>
                <w:lang w:val="fr-FR"/>
              </w:rPr>
              <w:t>Au plus tard le 30 juin 2021</w:t>
            </w:r>
          </w:p>
        </w:tc>
        <w:tc>
          <w:tcPr>
            <w:tcW w:w="156" w:type="dxa"/>
            <w:tcBorders>
              <w:top w:val="single" w:sz="4" w:space="0" w:color="7030A0"/>
              <w:left w:val="nil"/>
              <w:bottom w:val="single" w:sz="4" w:space="0" w:color="7030A0"/>
              <w:right w:val="nil"/>
            </w:tcBorders>
            <w:shd w:val="clear" w:color="auto" w:fill="auto"/>
            <w:noWrap/>
            <w:vAlign w:val="bottom"/>
          </w:tcPr>
          <w:p w:rsidR="00D10EEF" w:rsidRPr="00C73365" w:rsidRDefault="00D10EEF" w:rsidP="008060C0">
            <w:pPr>
              <w:spacing w:after="0"/>
              <w:rPr>
                <w:rFonts w:asciiTheme="minorHAnsi" w:hAnsiTheme="minorHAnsi" w:cstheme="minorHAnsi"/>
                <w:lang w:val="fr-FR"/>
              </w:rPr>
            </w:pPr>
          </w:p>
        </w:tc>
        <w:tc>
          <w:tcPr>
            <w:tcW w:w="1396" w:type="dxa"/>
            <w:tcBorders>
              <w:top w:val="single" w:sz="4" w:space="0" w:color="7030A0"/>
              <w:left w:val="nil"/>
              <w:bottom w:val="single" w:sz="4" w:space="0" w:color="7030A0"/>
              <w:right w:val="nil"/>
            </w:tcBorders>
            <w:shd w:val="clear" w:color="auto" w:fill="auto"/>
            <w:noWrap/>
            <w:vAlign w:val="bottom"/>
          </w:tcPr>
          <w:p w:rsidR="00D10EEF" w:rsidRPr="00C73365" w:rsidRDefault="00D10EEF" w:rsidP="008060C0">
            <w:pPr>
              <w:spacing w:after="0"/>
              <w:jc w:val="right"/>
              <w:rPr>
                <w:rFonts w:asciiTheme="minorHAnsi" w:hAnsiTheme="minorHAnsi" w:cstheme="minorHAnsi"/>
                <w:lang w:val="fr-FR"/>
              </w:rPr>
            </w:pPr>
            <w:r w:rsidRPr="00C73365">
              <w:rPr>
                <w:rFonts w:asciiTheme="minorHAnsi" w:hAnsiTheme="minorHAnsi" w:cstheme="minorHAnsi"/>
                <w:color w:val="000000"/>
                <w:sz w:val="22"/>
                <w:szCs w:val="22"/>
              </w:rPr>
              <w:t>80 00</w:t>
            </w:r>
            <w:r w:rsidR="008060C0" w:rsidRPr="00C73365">
              <w:rPr>
                <w:rFonts w:asciiTheme="minorHAnsi" w:hAnsiTheme="minorHAnsi" w:cstheme="minorHAnsi"/>
                <w:color w:val="000000"/>
                <w:sz w:val="22"/>
                <w:szCs w:val="22"/>
              </w:rPr>
              <w:t>0</w:t>
            </w:r>
            <w:r w:rsidRPr="00C73365">
              <w:rPr>
                <w:rFonts w:asciiTheme="minorHAnsi" w:hAnsiTheme="minorHAnsi" w:cstheme="minorHAnsi"/>
                <w:color w:val="000000"/>
                <w:sz w:val="22"/>
                <w:szCs w:val="22"/>
              </w:rPr>
              <w:t xml:space="preserve"> €</w:t>
            </w:r>
          </w:p>
        </w:tc>
      </w:tr>
      <w:tr w:rsidR="00D10EEF" w:rsidRPr="00C73365" w:rsidTr="008060C0">
        <w:trPr>
          <w:trHeight w:val="270"/>
        </w:trPr>
        <w:tc>
          <w:tcPr>
            <w:tcW w:w="2686" w:type="dxa"/>
            <w:tcBorders>
              <w:top w:val="nil"/>
              <w:left w:val="nil"/>
              <w:bottom w:val="single" w:sz="4" w:space="0" w:color="7030A0"/>
              <w:right w:val="nil"/>
            </w:tcBorders>
            <w:shd w:val="clear" w:color="auto" w:fill="auto"/>
            <w:noWrap/>
            <w:vAlign w:val="center"/>
          </w:tcPr>
          <w:p w:rsidR="00D10EEF" w:rsidRPr="00C73365" w:rsidRDefault="00D10EEF" w:rsidP="008060C0">
            <w:pPr>
              <w:spacing w:after="0"/>
              <w:rPr>
                <w:rFonts w:asciiTheme="minorHAnsi" w:hAnsiTheme="minorHAnsi" w:cstheme="minorHAnsi"/>
                <w:lang w:val="fr-FR"/>
              </w:rPr>
            </w:pPr>
            <w:r w:rsidRPr="00C73365">
              <w:rPr>
                <w:rFonts w:asciiTheme="minorHAnsi" w:hAnsiTheme="minorHAnsi" w:cstheme="minorHAnsi"/>
                <w:lang w:val="fr-FR"/>
              </w:rPr>
              <w:t>Au plus tard le 30 juin 2022</w:t>
            </w:r>
          </w:p>
        </w:tc>
        <w:tc>
          <w:tcPr>
            <w:tcW w:w="156" w:type="dxa"/>
            <w:tcBorders>
              <w:top w:val="nil"/>
              <w:left w:val="nil"/>
              <w:bottom w:val="single" w:sz="4" w:space="0" w:color="7030A0"/>
              <w:right w:val="nil"/>
            </w:tcBorders>
            <w:shd w:val="clear" w:color="auto" w:fill="auto"/>
            <w:noWrap/>
            <w:vAlign w:val="bottom"/>
          </w:tcPr>
          <w:p w:rsidR="00D10EEF" w:rsidRPr="00C73365" w:rsidRDefault="00D10EEF" w:rsidP="008060C0">
            <w:pPr>
              <w:spacing w:after="0"/>
              <w:rPr>
                <w:rFonts w:asciiTheme="minorHAnsi" w:hAnsiTheme="minorHAnsi" w:cstheme="minorHAnsi"/>
                <w:color w:val="000000"/>
                <w:szCs w:val="20"/>
                <w:lang w:val="fr-FR" w:eastAsia="fr-FR"/>
              </w:rPr>
            </w:pPr>
          </w:p>
        </w:tc>
        <w:tc>
          <w:tcPr>
            <w:tcW w:w="1396" w:type="dxa"/>
            <w:tcBorders>
              <w:top w:val="nil"/>
              <w:left w:val="nil"/>
              <w:bottom w:val="single" w:sz="4" w:space="0" w:color="7030A0"/>
              <w:right w:val="nil"/>
            </w:tcBorders>
            <w:shd w:val="clear" w:color="auto" w:fill="auto"/>
            <w:noWrap/>
            <w:vAlign w:val="bottom"/>
          </w:tcPr>
          <w:p w:rsidR="00D10EEF" w:rsidRPr="00C73365" w:rsidRDefault="008060C0" w:rsidP="008060C0">
            <w:pPr>
              <w:spacing w:after="0"/>
              <w:jc w:val="right"/>
              <w:rPr>
                <w:rFonts w:asciiTheme="minorHAnsi" w:hAnsiTheme="minorHAnsi" w:cstheme="minorHAnsi"/>
                <w:lang w:val="fr-FR"/>
              </w:rPr>
            </w:pPr>
            <w:r w:rsidRPr="00C73365">
              <w:rPr>
                <w:rFonts w:asciiTheme="minorHAnsi" w:hAnsiTheme="minorHAnsi" w:cstheme="minorHAnsi"/>
                <w:color w:val="000000"/>
                <w:sz w:val="22"/>
                <w:szCs w:val="22"/>
              </w:rPr>
              <w:t>100 000</w:t>
            </w:r>
            <w:r w:rsidR="00D10EEF" w:rsidRPr="00C73365">
              <w:rPr>
                <w:rFonts w:asciiTheme="minorHAnsi" w:hAnsiTheme="minorHAnsi" w:cstheme="minorHAnsi"/>
                <w:color w:val="000000"/>
                <w:sz w:val="22"/>
                <w:szCs w:val="22"/>
              </w:rPr>
              <w:t xml:space="preserve"> €</w:t>
            </w:r>
          </w:p>
        </w:tc>
      </w:tr>
      <w:tr w:rsidR="00D10EEF" w:rsidRPr="00C73365" w:rsidTr="008060C0">
        <w:trPr>
          <w:trHeight w:val="270"/>
        </w:trPr>
        <w:tc>
          <w:tcPr>
            <w:tcW w:w="2686" w:type="dxa"/>
            <w:tcBorders>
              <w:top w:val="nil"/>
              <w:left w:val="nil"/>
              <w:bottom w:val="single" w:sz="4" w:space="0" w:color="7030A0"/>
              <w:right w:val="nil"/>
            </w:tcBorders>
            <w:shd w:val="clear" w:color="auto" w:fill="auto"/>
            <w:noWrap/>
            <w:vAlign w:val="center"/>
          </w:tcPr>
          <w:p w:rsidR="00D10EEF" w:rsidRPr="00C73365" w:rsidRDefault="00D10EEF" w:rsidP="008060C0">
            <w:pPr>
              <w:spacing w:after="0"/>
              <w:rPr>
                <w:rFonts w:asciiTheme="minorHAnsi" w:hAnsiTheme="minorHAnsi" w:cstheme="minorHAnsi"/>
                <w:color w:val="000000"/>
                <w:szCs w:val="20"/>
                <w:lang w:val="fr-FR" w:eastAsia="fr-FR"/>
              </w:rPr>
            </w:pPr>
            <w:r w:rsidRPr="00C73365">
              <w:rPr>
                <w:rFonts w:asciiTheme="minorHAnsi" w:hAnsiTheme="minorHAnsi" w:cstheme="minorHAnsi"/>
                <w:lang w:val="fr-FR"/>
              </w:rPr>
              <w:t>Au plus tard le 30 juin 2023</w:t>
            </w:r>
          </w:p>
        </w:tc>
        <w:tc>
          <w:tcPr>
            <w:tcW w:w="156" w:type="dxa"/>
            <w:tcBorders>
              <w:top w:val="nil"/>
              <w:left w:val="nil"/>
              <w:bottom w:val="single" w:sz="4" w:space="0" w:color="7030A0"/>
              <w:right w:val="nil"/>
            </w:tcBorders>
            <w:shd w:val="clear" w:color="auto" w:fill="auto"/>
            <w:noWrap/>
            <w:vAlign w:val="bottom"/>
          </w:tcPr>
          <w:p w:rsidR="00D10EEF" w:rsidRPr="00C73365" w:rsidRDefault="00D10EEF" w:rsidP="008060C0">
            <w:pPr>
              <w:spacing w:after="0"/>
              <w:rPr>
                <w:rFonts w:asciiTheme="minorHAnsi" w:hAnsiTheme="minorHAnsi" w:cstheme="minorHAnsi"/>
                <w:color w:val="000000"/>
                <w:szCs w:val="20"/>
                <w:lang w:val="fr-FR" w:eastAsia="fr-FR"/>
              </w:rPr>
            </w:pPr>
          </w:p>
        </w:tc>
        <w:tc>
          <w:tcPr>
            <w:tcW w:w="1396" w:type="dxa"/>
            <w:tcBorders>
              <w:top w:val="nil"/>
              <w:left w:val="nil"/>
              <w:bottom w:val="single" w:sz="4" w:space="0" w:color="7030A0"/>
              <w:right w:val="nil"/>
            </w:tcBorders>
            <w:shd w:val="clear" w:color="auto" w:fill="auto"/>
            <w:noWrap/>
            <w:vAlign w:val="bottom"/>
          </w:tcPr>
          <w:p w:rsidR="00D10EEF" w:rsidRPr="00C73365" w:rsidRDefault="00D10EEF" w:rsidP="008060C0">
            <w:pPr>
              <w:spacing w:after="0"/>
              <w:jc w:val="right"/>
              <w:rPr>
                <w:rFonts w:asciiTheme="minorHAnsi" w:hAnsiTheme="minorHAnsi" w:cstheme="minorHAnsi"/>
                <w:color w:val="000000"/>
                <w:szCs w:val="20"/>
                <w:lang w:val="fr-FR" w:eastAsia="fr-FR"/>
              </w:rPr>
            </w:pPr>
            <w:r w:rsidRPr="00C73365">
              <w:rPr>
                <w:rFonts w:asciiTheme="minorHAnsi" w:hAnsiTheme="minorHAnsi" w:cstheme="minorHAnsi"/>
                <w:color w:val="000000"/>
                <w:sz w:val="22"/>
                <w:szCs w:val="22"/>
              </w:rPr>
              <w:t>110 00</w:t>
            </w:r>
            <w:r w:rsidR="008060C0" w:rsidRPr="00C73365">
              <w:rPr>
                <w:rFonts w:asciiTheme="minorHAnsi" w:hAnsiTheme="minorHAnsi" w:cstheme="minorHAnsi"/>
                <w:color w:val="000000"/>
                <w:sz w:val="22"/>
                <w:szCs w:val="22"/>
              </w:rPr>
              <w:t>0</w:t>
            </w:r>
            <w:r w:rsidRPr="00C73365">
              <w:rPr>
                <w:rFonts w:asciiTheme="minorHAnsi" w:hAnsiTheme="minorHAnsi" w:cstheme="minorHAnsi"/>
                <w:color w:val="000000"/>
                <w:sz w:val="22"/>
                <w:szCs w:val="22"/>
              </w:rPr>
              <w:t xml:space="preserve"> €</w:t>
            </w:r>
          </w:p>
        </w:tc>
      </w:tr>
      <w:tr w:rsidR="00D10EEF" w:rsidRPr="00C73365" w:rsidTr="008060C0">
        <w:trPr>
          <w:trHeight w:val="426"/>
        </w:trPr>
        <w:tc>
          <w:tcPr>
            <w:tcW w:w="2686" w:type="dxa"/>
            <w:tcBorders>
              <w:top w:val="single" w:sz="4" w:space="0" w:color="7030A0"/>
              <w:left w:val="nil"/>
              <w:bottom w:val="single" w:sz="4" w:space="0" w:color="7030A0"/>
              <w:right w:val="nil"/>
            </w:tcBorders>
            <w:shd w:val="clear" w:color="auto" w:fill="auto"/>
            <w:noWrap/>
            <w:vAlign w:val="center"/>
            <w:hideMark/>
          </w:tcPr>
          <w:p w:rsidR="00D10EEF" w:rsidRPr="00C73365" w:rsidRDefault="00D10EEF" w:rsidP="008060C0">
            <w:pPr>
              <w:spacing w:after="0"/>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TOTAL</w:t>
            </w:r>
          </w:p>
        </w:tc>
        <w:tc>
          <w:tcPr>
            <w:tcW w:w="156" w:type="dxa"/>
            <w:tcBorders>
              <w:top w:val="single" w:sz="4" w:space="0" w:color="7030A0"/>
              <w:left w:val="nil"/>
              <w:bottom w:val="single" w:sz="4" w:space="0" w:color="7030A0"/>
              <w:right w:val="nil"/>
            </w:tcBorders>
            <w:shd w:val="clear" w:color="auto" w:fill="auto"/>
            <w:vAlign w:val="center"/>
            <w:hideMark/>
          </w:tcPr>
          <w:p w:rsidR="00D10EEF" w:rsidRPr="00C73365" w:rsidRDefault="00D10EEF" w:rsidP="008060C0">
            <w:pPr>
              <w:spacing w:after="0"/>
              <w:rPr>
                <w:rFonts w:asciiTheme="minorHAnsi" w:hAnsiTheme="minorHAnsi" w:cstheme="minorHAnsi"/>
                <w:b/>
                <w:color w:val="7030A0"/>
                <w:szCs w:val="20"/>
                <w:lang w:val="fr-FR" w:eastAsia="fr-FR"/>
              </w:rPr>
            </w:pPr>
          </w:p>
        </w:tc>
        <w:tc>
          <w:tcPr>
            <w:tcW w:w="1396" w:type="dxa"/>
            <w:tcBorders>
              <w:top w:val="single" w:sz="4" w:space="0" w:color="7030A0"/>
              <w:left w:val="nil"/>
              <w:bottom w:val="single" w:sz="4" w:space="0" w:color="7030A0"/>
              <w:right w:val="nil"/>
            </w:tcBorders>
            <w:shd w:val="clear" w:color="auto" w:fill="auto"/>
            <w:vAlign w:val="center"/>
            <w:hideMark/>
          </w:tcPr>
          <w:p w:rsidR="00D10EEF" w:rsidRPr="00C73365" w:rsidRDefault="00D10EEF" w:rsidP="008060C0">
            <w:pPr>
              <w:spacing w:after="0"/>
              <w:jc w:val="right"/>
              <w:rPr>
                <w:rFonts w:asciiTheme="minorHAnsi" w:hAnsiTheme="minorHAnsi" w:cstheme="minorHAnsi"/>
                <w:b/>
                <w:color w:val="7030A0"/>
                <w:szCs w:val="20"/>
                <w:lang w:val="fr-FR" w:eastAsia="fr-FR"/>
              </w:rPr>
            </w:pPr>
            <w:r w:rsidRPr="00C73365">
              <w:rPr>
                <w:rFonts w:asciiTheme="minorHAnsi" w:hAnsiTheme="minorHAnsi" w:cstheme="minorHAnsi"/>
                <w:b/>
                <w:color w:val="7030A0"/>
                <w:szCs w:val="20"/>
                <w:lang w:val="fr-FR" w:eastAsia="fr-FR"/>
              </w:rPr>
              <w:t>390 000 €</w:t>
            </w:r>
          </w:p>
        </w:tc>
      </w:tr>
    </w:tbl>
    <w:p w:rsidR="00D10EEF" w:rsidRPr="00C73365" w:rsidRDefault="00D10EEF" w:rsidP="00A96CCA">
      <w:pPr>
        <w:spacing w:after="0"/>
        <w:rPr>
          <w:rFonts w:asciiTheme="minorHAnsi" w:hAnsiTheme="minorHAnsi" w:cstheme="minorHAnsi"/>
          <w:lang w:val="fr-FR"/>
        </w:rPr>
      </w:pPr>
    </w:p>
    <w:p w:rsidR="00332F45" w:rsidRPr="00C73365" w:rsidRDefault="00332F45" w:rsidP="00A96CCA">
      <w:pPr>
        <w:spacing w:after="0"/>
        <w:rPr>
          <w:rFonts w:asciiTheme="minorHAnsi" w:hAnsiTheme="minorHAnsi" w:cstheme="minorHAnsi"/>
          <w:lang w:val="fr-FR"/>
        </w:rPr>
      </w:pPr>
    </w:p>
    <w:p w:rsidR="00D10EEF" w:rsidRPr="00C73365" w:rsidRDefault="00D10EEF" w:rsidP="00A96CCA">
      <w:pPr>
        <w:spacing w:after="0"/>
        <w:rPr>
          <w:rFonts w:asciiTheme="minorHAnsi" w:hAnsiTheme="minorHAnsi" w:cstheme="minorHAnsi"/>
          <w:lang w:val="fr-FR"/>
        </w:rPr>
      </w:pPr>
    </w:p>
    <w:p w:rsidR="00D10EEF" w:rsidRPr="00C73365" w:rsidRDefault="00D10EEF" w:rsidP="00A96CCA">
      <w:pPr>
        <w:spacing w:after="0"/>
        <w:rPr>
          <w:rFonts w:asciiTheme="minorHAnsi" w:hAnsiTheme="minorHAnsi" w:cstheme="minorHAnsi"/>
          <w:lang w:val="fr-FR"/>
        </w:rPr>
      </w:pPr>
    </w:p>
    <w:p w:rsidR="00D10EEF" w:rsidRDefault="00D10EEF" w:rsidP="00A96CCA">
      <w:pPr>
        <w:spacing w:after="0"/>
        <w:rPr>
          <w:rFonts w:asciiTheme="minorHAnsi" w:hAnsiTheme="minorHAnsi" w:cstheme="minorHAnsi"/>
          <w:lang w:val="fr-FR"/>
        </w:rPr>
      </w:pPr>
    </w:p>
    <w:p w:rsidR="00823C67" w:rsidRDefault="00823C67" w:rsidP="00A96CCA">
      <w:pPr>
        <w:spacing w:after="0"/>
        <w:rPr>
          <w:rFonts w:asciiTheme="minorHAnsi" w:hAnsiTheme="minorHAnsi" w:cstheme="minorHAnsi"/>
          <w:lang w:val="fr-FR"/>
        </w:rPr>
      </w:pPr>
    </w:p>
    <w:p w:rsidR="00823C67" w:rsidRDefault="00823C67" w:rsidP="00A96CCA">
      <w:pPr>
        <w:spacing w:after="0"/>
        <w:rPr>
          <w:rFonts w:asciiTheme="minorHAnsi" w:hAnsiTheme="minorHAnsi" w:cstheme="minorHAnsi"/>
          <w:lang w:val="fr-FR"/>
        </w:rPr>
      </w:pPr>
    </w:p>
    <w:p w:rsidR="00823C67" w:rsidRDefault="00823C67" w:rsidP="00A96CCA">
      <w:pPr>
        <w:spacing w:after="0"/>
        <w:rPr>
          <w:rFonts w:asciiTheme="minorHAnsi" w:hAnsiTheme="minorHAnsi" w:cstheme="minorHAnsi"/>
          <w:lang w:val="fr-FR"/>
        </w:rPr>
      </w:pPr>
    </w:p>
    <w:p w:rsidR="00823C67" w:rsidRPr="00C73365" w:rsidRDefault="00823C67" w:rsidP="00A96CCA">
      <w:pPr>
        <w:spacing w:after="0"/>
        <w:rPr>
          <w:rFonts w:asciiTheme="minorHAnsi" w:hAnsiTheme="minorHAnsi" w:cstheme="minorHAnsi"/>
          <w:lang w:val="fr-FR"/>
        </w:rPr>
      </w:pPr>
    </w:p>
    <w:p w:rsidR="00D10EEF" w:rsidRPr="00C73365" w:rsidRDefault="00D10EEF" w:rsidP="00A96CCA">
      <w:pPr>
        <w:spacing w:after="0"/>
        <w:rPr>
          <w:rFonts w:asciiTheme="minorHAnsi" w:hAnsiTheme="minorHAnsi" w:cstheme="minorHAnsi"/>
          <w:lang w:val="fr-FR"/>
        </w:rPr>
      </w:pPr>
    </w:p>
    <w:p w:rsidR="00F46C7B" w:rsidRPr="00C73365" w:rsidRDefault="00F46C7B" w:rsidP="009E5FDD">
      <w:pPr>
        <w:pStyle w:val="ConmainL3"/>
        <w:numPr>
          <w:ilvl w:val="2"/>
          <w:numId w:val="9"/>
        </w:numPr>
        <w:spacing w:after="0"/>
        <w:ind w:left="1440"/>
        <w:rPr>
          <w:rFonts w:asciiTheme="minorHAnsi" w:hAnsiTheme="minorHAnsi" w:cstheme="minorHAnsi"/>
          <w:b/>
          <w:color w:val="7030A0"/>
          <w:lang w:val="fr-FR"/>
        </w:rPr>
      </w:pPr>
      <w:bookmarkStart w:id="1614" w:name="_Toc472948408"/>
      <w:bookmarkStart w:id="1615" w:name="_Toc472948409"/>
      <w:bookmarkStart w:id="1616" w:name="_Toc470783302"/>
      <w:bookmarkStart w:id="1617" w:name="_Toc472948410"/>
      <w:bookmarkStart w:id="1618" w:name="_Toc470783303"/>
      <w:bookmarkStart w:id="1619" w:name="_Toc472948411"/>
      <w:bookmarkStart w:id="1620" w:name="_Toc470783304"/>
      <w:bookmarkStart w:id="1621" w:name="_Toc472948412"/>
      <w:bookmarkStart w:id="1622" w:name="_Toc470783305"/>
      <w:bookmarkStart w:id="1623" w:name="_Toc472948413"/>
      <w:bookmarkStart w:id="1624" w:name="_Toc462673312"/>
      <w:bookmarkEnd w:id="1614"/>
      <w:bookmarkEnd w:id="1615"/>
      <w:bookmarkEnd w:id="1616"/>
      <w:bookmarkEnd w:id="1617"/>
      <w:bookmarkEnd w:id="1618"/>
      <w:bookmarkEnd w:id="1619"/>
      <w:bookmarkEnd w:id="1620"/>
      <w:bookmarkEnd w:id="1621"/>
      <w:bookmarkEnd w:id="1622"/>
      <w:bookmarkEnd w:id="1623"/>
      <w:r w:rsidRPr="00C73365">
        <w:rPr>
          <w:rFonts w:asciiTheme="minorHAnsi" w:hAnsiTheme="minorHAnsi" w:cstheme="minorHAnsi"/>
          <w:b/>
          <w:color w:val="7030A0"/>
          <w:lang w:val="fr-FR"/>
        </w:rPr>
        <w:t>Convention cadre de cession de créances du Crédit d’Impôt Recherche</w:t>
      </w:r>
      <w:bookmarkEnd w:id="1624"/>
    </w:p>
    <w:p w:rsidR="00F46C7B" w:rsidRPr="00C73365" w:rsidRDefault="00F46C7B" w:rsidP="004572A0">
      <w:pPr>
        <w:pStyle w:val="BodyTextIndent"/>
        <w:rPr>
          <w:rFonts w:asciiTheme="minorHAnsi" w:hAnsiTheme="minorHAnsi" w:cstheme="minorHAnsi"/>
          <w:highlight w:val="yellow"/>
          <w:lang w:val="fr-FR"/>
        </w:rPr>
        <w:sectPr w:rsidR="00F46C7B" w:rsidRPr="00C73365" w:rsidSect="007C607C">
          <w:type w:val="continuous"/>
          <w:pgSz w:w="11907" w:h="16840" w:code="9"/>
          <w:pgMar w:top="1134" w:right="1134" w:bottom="1134" w:left="1134" w:header="709" w:footer="709" w:gutter="0"/>
          <w:cols w:space="708"/>
          <w:docGrid w:linePitch="360"/>
        </w:sectPr>
      </w:pPr>
    </w:p>
    <w:p w:rsidR="00C12D8F" w:rsidRDefault="00C12D8F" w:rsidP="004572A0">
      <w:pPr>
        <w:pStyle w:val="BodyText"/>
        <w:rPr>
          <w:rFonts w:asciiTheme="minorHAnsi" w:hAnsiTheme="minorHAnsi" w:cstheme="minorHAnsi"/>
          <w:lang w:val="fr-FR"/>
        </w:rPr>
      </w:pPr>
      <w:bookmarkStart w:id="1625" w:name="_Hlk509995387"/>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La Société a conclu en date du 29 avril 2015 une convention cadre de cession de créances portant sur un montant de 1.594.934 euros dans le cadre d’un préfinancement du Crédit d’Impôt Recherche 2014 avec le fonds commun de titrisation Predirec Innovation 2020 représenté par Acofi Gestion. </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L’impact des opérations liées au CIR 2014 sur les comptes </w:t>
      </w:r>
      <w:r w:rsidR="00370CD6" w:rsidRPr="00C73365">
        <w:rPr>
          <w:rFonts w:asciiTheme="minorHAnsi" w:hAnsiTheme="minorHAnsi" w:cstheme="minorHAnsi"/>
          <w:lang w:val="fr-FR"/>
        </w:rPr>
        <w:t xml:space="preserve">annuels </w:t>
      </w:r>
      <w:r w:rsidRPr="00C73365">
        <w:rPr>
          <w:rFonts w:asciiTheme="minorHAnsi" w:hAnsiTheme="minorHAnsi" w:cstheme="minorHAnsi"/>
          <w:lang w:val="fr-FR"/>
        </w:rPr>
        <w:t xml:space="preserve">2016 se limite à la constatation d’un produit financier de 23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correspondant aux intérêts moratoires acquis du fait du paiement tardif du CIR par l’administration fiscale</w:t>
      </w:r>
      <w:r w:rsidR="000D28C8" w:rsidRPr="00C73365">
        <w:rPr>
          <w:rFonts w:asciiTheme="minorHAnsi" w:hAnsiTheme="minorHAnsi" w:cstheme="minorHAnsi"/>
          <w:lang w:val="fr-FR"/>
        </w:rPr>
        <w:t xml:space="preserve"> </w:t>
      </w:r>
      <w:r w:rsidR="00370CD6" w:rsidRPr="00C73365">
        <w:rPr>
          <w:rFonts w:asciiTheme="minorHAnsi" w:hAnsiTheme="minorHAnsi" w:cstheme="minorHAnsi"/>
          <w:lang w:val="fr-FR"/>
        </w:rPr>
        <w:t xml:space="preserve">ainsi que le versement de 91 </w:t>
      </w:r>
      <w:r w:rsidR="00EF089C" w:rsidRPr="00C73365">
        <w:rPr>
          <w:rFonts w:asciiTheme="minorHAnsi" w:hAnsiTheme="minorHAnsi" w:cstheme="minorHAnsi"/>
          <w:lang w:val="fr-FR"/>
        </w:rPr>
        <w:t>K€</w:t>
      </w:r>
      <w:r w:rsidR="00370CD6" w:rsidRPr="00C73365">
        <w:rPr>
          <w:rFonts w:asciiTheme="minorHAnsi" w:hAnsiTheme="minorHAnsi" w:cstheme="minorHAnsi"/>
          <w:lang w:val="fr-FR"/>
        </w:rPr>
        <w:t>.</w:t>
      </w:r>
    </w:p>
    <w:p w:rsidR="00F46C7B" w:rsidRPr="00C73365" w:rsidRDefault="00F46C7B" w:rsidP="004572A0">
      <w:pPr>
        <w:pStyle w:val="BodyText"/>
        <w:rPr>
          <w:rFonts w:asciiTheme="minorHAnsi" w:hAnsiTheme="minorHAnsi" w:cstheme="minorHAnsi"/>
          <w:lang w:val="fr-FR"/>
        </w:rPr>
      </w:pPr>
      <w:r w:rsidRPr="00C73365">
        <w:rPr>
          <w:rFonts w:asciiTheme="minorHAnsi" w:hAnsiTheme="minorHAnsi" w:cstheme="minorHAnsi"/>
          <w:lang w:val="fr-FR"/>
        </w:rPr>
        <w:t xml:space="preserve">Du fait des garanties du préfinanceur, il existe encore des montants à recouvrer qui seront restitués si il n’y a pas de contestation pour un montant total de 122 </w:t>
      </w:r>
      <w:r w:rsidR="00EF089C" w:rsidRPr="00C73365">
        <w:rPr>
          <w:rFonts w:asciiTheme="minorHAnsi" w:hAnsiTheme="minorHAnsi" w:cstheme="minorHAnsi"/>
          <w:lang w:val="fr-FR"/>
        </w:rPr>
        <w:t>K€</w:t>
      </w:r>
      <w:r w:rsidRPr="00C73365">
        <w:rPr>
          <w:rFonts w:asciiTheme="minorHAnsi" w:hAnsiTheme="minorHAnsi" w:cstheme="minorHAnsi"/>
          <w:lang w:val="fr-FR"/>
        </w:rPr>
        <w:t xml:space="preserve">. </w:t>
      </w:r>
    </w:p>
    <w:p w:rsidR="00F46C7B" w:rsidRPr="00C73365" w:rsidRDefault="00F46C7B" w:rsidP="00B740A8">
      <w:pPr>
        <w:pStyle w:val="ConmainL1"/>
        <w:numPr>
          <w:ilvl w:val="0"/>
          <w:numId w:val="9"/>
        </w:numPr>
        <w:rPr>
          <w:rFonts w:asciiTheme="minorHAnsi" w:hAnsiTheme="minorHAnsi" w:cstheme="minorHAnsi"/>
          <w:sz w:val="22"/>
          <w:lang w:val="fr-FR"/>
        </w:rPr>
      </w:pPr>
      <w:bookmarkStart w:id="1626" w:name="_Toc462673313"/>
      <w:bookmarkStart w:id="1627" w:name="_Toc467835662"/>
      <w:bookmarkStart w:id="1628" w:name="_Toc512863982"/>
      <w:bookmarkEnd w:id="1625"/>
      <w:r w:rsidRPr="00C73365">
        <w:rPr>
          <w:rFonts w:asciiTheme="minorHAnsi" w:hAnsiTheme="minorHAnsi" w:cstheme="minorHAnsi"/>
          <w:sz w:val="22"/>
          <w:lang w:val="fr-FR"/>
        </w:rPr>
        <w:lastRenderedPageBreak/>
        <w:t>INFORMATIONS PROVENANT DE TIERS, DECLARATIONS D’EXPERTS ET DECLARATIONS D’INTERETS</w:t>
      </w:r>
      <w:bookmarkEnd w:id="1626"/>
      <w:bookmarkEnd w:id="1627"/>
      <w:bookmarkEnd w:id="1628"/>
    </w:p>
    <w:p w:rsidR="00F46C7B" w:rsidRPr="00C73365" w:rsidRDefault="00F46C7B">
      <w:pPr>
        <w:pStyle w:val="BodyText"/>
        <w:spacing w:after="0"/>
        <w:rPr>
          <w:rFonts w:asciiTheme="minorHAnsi" w:hAnsiTheme="minorHAnsi" w:cstheme="minorHAnsi"/>
          <w:b/>
          <w:lang w:val="fr-FR"/>
        </w:rPr>
      </w:pPr>
    </w:p>
    <w:p w:rsidR="00F46C7B" w:rsidRPr="00C73365" w:rsidRDefault="00F46C7B" w:rsidP="009E5FDD">
      <w:pPr>
        <w:pStyle w:val="ConmainL2"/>
        <w:numPr>
          <w:ilvl w:val="1"/>
          <w:numId w:val="9"/>
        </w:numPr>
        <w:rPr>
          <w:rFonts w:asciiTheme="minorHAnsi" w:hAnsiTheme="minorHAnsi" w:cstheme="minorHAnsi"/>
          <w:sz w:val="22"/>
          <w:lang w:val="fr-FR"/>
        </w:rPr>
      </w:pPr>
      <w:bookmarkStart w:id="1629" w:name="_Toc148342709"/>
      <w:bookmarkStart w:id="1630" w:name="_Toc462673314"/>
      <w:bookmarkStart w:id="1631" w:name="_Toc512863983"/>
      <w:r w:rsidRPr="00C73365">
        <w:rPr>
          <w:rFonts w:asciiTheme="minorHAnsi" w:hAnsiTheme="minorHAnsi" w:cstheme="minorHAnsi"/>
          <w:sz w:val="22"/>
          <w:lang w:val="fr-FR"/>
        </w:rPr>
        <w:t>Désignation des experts</w:t>
      </w:r>
      <w:bookmarkEnd w:id="1629"/>
      <w:bookmarkEnd w:id="1630"/>
      <w:bookmarkEnd w:id="1631"/>
    </w:p>
    <w:p w:rsidR="00F46C7B" w:rsidRPr="00F573DC" w:rsidRDefault="00F46C7B" w:rsidP="00A96CCA">
      <w:pPr>
        <w:autoSpaceDE w:val="0"/>
        <w:autoSpaceDN w:val="0"/>
        <w:adjustRightInd w:val="0"/>
        <w:spacing w:after="0"/>
        <w:rPr>
          <w:rFonts w:asciiTheme="minorHAnsi" w:hAnsiTheme="minorHAnsi" w:cstheme="minorHAnsi"/>
          <w:iCs/>
          <w:szCs w:val="20"/>
          <w:lang w:val="fr-FR"/>
        </w:rPr>
      </w:pPr>
    </w:p>
    <w:p w:rsidR="00F46C7B" w:rsidRDefault="00F46C7B" w:rsidP="004572A0">
      <w:pPr>
        <w:pStyle w:val="ListContinue2"/>
        <w:rPr>
          <w:rFonts w:asciiTheme="minorHAnsi" w:hAnsiTheme="minorHAnsi" w:cstheme="minorHAnsi"/>
          <w:lang w:val="fr-FR"/>
        </w:rPr>
      </w:pPr>
      <w:r w:rsidRPr="00F573DC">
        <w:rPr>
          <w:rFonts w:asciiTheme="minorHAnsi" w:hAnsiTheme="minorHAnsi" w:cstheme="minorHAnsi"/>
          <w:lang w:val="fr-FR"/>
        </w:rPr>
        <w:t>Néant.</w:t>
      </w:r>
    </w:p>
    <w:p w:rsidR="00F573DC" w:rsidRPr="00F573DC" w:rsidRDefault="00F573DC" w:rsidP="004572A0">
      <w:pPr>
        <w:pStyle w:val="ListContinue2"/>
        <w:rPr>
          <w:rFonts w:asciiTheme="minorHAnsi" w:hAnsiTheme="minorHAnsi" w:cstheme="minorHAnsi"/>
          <w:iCs/>
          <w:lang w:val="fr-FR"/>
        </w:rPr>
      </w:pPr>
    </w:p>
    <w:p w:rsidR="00F46C7B" w:rsidRPr="00C73365" w:rsidRDefault="00F46C7B" w:rsidP="009E5FDD">
      <w:pPr>
        <w:pStyle w:val="ConmainL2"/>
        <w:numPr>
          <w:ilvl w:val="1"/>
          <w:numId w:val="9"/>
        </w:numPr>
        <w:rPr>
          <w:rFonts w:asciiTheme="minorHAnsi" w:hAnsiTheme="minorHAnsi" w:cstheme="minorHAnsi"/>
          <w:sz w:val="22"/>
          <w:lang w:val="fr-FR"/>
        </w:rPr>
      </w:pPr>
      <w:bookmarkStart w:id="1632" w:name="_Toc148342711"/>
      <w:bookmarkStart w:id="1633" w:name="_Toc462673315"/>
      <w:bookmarkStart w:id="1634" w:name="_Toc512863984"/>
      <w:r w:rsidRPr="00C73365">
        <w:rPr>
          <w:rFonts w:asciiTheme="minorHAnsi" w:hAnsiTheme="minorHAnsi" w:cstheme="minorHAnsi"/>
          <w:sz w:val="22"/>
          <w:lang w:val="fr-FR"/>
        </w:rPr>
        <w:t>Désignation des tiers</w:t>
      </w:r>
      <w:bookmarkEnd w:id="1632"/>
      <w:bookmarkEnd w:id="1633"/>
      <w:bookmarkEnd w:id="1634"/>
    </w:p>
    <w:p w:rsidR="00F46C7B" w:rsidRPr="00F573DC" w:rsidRDefault="00F46C7B" w:rsidP="004572A0">
      <w:pPr>
        <w:pStyle w:val="ListContinue2"/>
        <w:rPr>
          <w:rFonts w:asciiTheme="minorHAnsi" w:hAnsiTheme="minorHAnsi" w:cstheme="minorHAnsi"/>
          <w:iCs/>
          <w:lang w:val="fr-FR"/>
        </w:rPr>
      </w:pPr>
      <w:r w:rsidRPr="00F573DC">
        <w:rPr>
          <w:rFonts w:asciiTheme="minorHAnsi" w:hAnsiTheme="minorHAnsi" w:cstheme="minorHAnsi"/>
          <w:lang w:val="fr-FR"/>
        </w:rPr>
        <w:t>Néant.</w:t>
      </w:r>
    </w:p>
    <w:p w:rsidR="00F46C7B" w:rsidRPr="00C73365" w:rsidRDefault="00F46C7B" w:rsidP="00B740A8">
      <w:pPr>
        <w:pStyle w:val="ConmainL1"/>
        <w:numPr>
          <w:ilvl w:val="0"/>
          <w:numId w:val="9"/>
        </w:numPr>
        <w:rPr>
          <w:rFonts w:asciiTheme="minorHAnsi" w:hAnsiTheme="minorHAnsi" w:cstheme="minorHAnsi"/>
          <w:sz w:val="22"/>
          <w:lang w:val="fr-FR"/>
        </w:rPr>
      </w:pPr>
      <w:bookmarkStart w:id="1635" w:name="_Toc462673316"/>
      <w:bookmarkStart w:id="1636" w:name="_Toc512863985"/>
      <w:r w:rsidRPr="00C73365">
        <w:rPr>
          <w:rFonts w:asciiTheme="minorHAnsi" w:hAnsiTheme="minorHAnsi" w:cstheme="minorHAnsi"/>
          <w:sz w:val="22"/>
          <w:lang w:val="fr-FR"/>
        </w:rPr>
        <w:lastRenderedPageBreak/>
        <w:t>DOCUMENTS ACCESSIBLES AU PUBLIC</w:t>
      </w:r>
      <w:bookmarkEnd w:id="1635"/>
      <w:bookmarkEnd w:id="1636"/>
    </w:p>
    <w:p w:rsidR="00F46C7B" w:rsidRPr="00C73365" w:rsidRDefault="00F46C7B" w:rsidP="00A96CCA">
      <w:pPr>
        <w:pStyle w:val="BodyText3"/>
        <w:spacing w:after="0"/>
        <w:rPr>
          <w:rFonts w:asciiTheme="minorHAnsi" w:hAnsiTheme="minorHAnsi" w:cstheme="minorHAnsi"/>
          <w:i w:val="0"/>
          <w:lang w:val="fr-FR"/>
        </w:rPr>
        <w:sectPr w:rsidR="00F46C7B" w:rsidRPr="00C73365" w:rsidSect="007C607C">
          <w:type w:val="continuous"/>
          <w:pgSz w:w="11907" w:h="16840" w:code="9"/>
          <w:pgMar w:top="1134" w:right="1134" w:bottom="1134" w:left="1134" w:header="709" w:footer="709" w:gutter="0"/>
          <w:cols w:space="708"/>
          <w:docGrid w:linePitch="360"/>
        </w:sectPr>
      </w:pPr>
    </w:p>
    <w:p w:rsidR="00F46C7B" w:rsidRPr="00C73365" w:rsidRDefault="00F46C7B" w:rsidP="00A96CCA">
      <w:pPr>
        <w:pStyle w:val="BodyText3"/>
        <w:spacing w:after="0"/>
        <w:rPr>
          <w:rFonts w:asciiTheme="minorHAnsi" w:hAnsiTheme="minorHAnsi" w:cstheme="minorHAnsi"/>
          <w:lang w:val="fr-FR"/>
        </w:rPr>
      </w:pPr>
      <w:r w:rsidRPr="00C73365">
        <w:rPr>
          <w:rFonts w:asciiTheme="minorHAnsi" w:hAnsiTheme="minorHAnsi" w:cstheme="minorHAnsi"/>
          <w:i w:val="0"/>
          <w:lang w:val="fr-FR"/>
        </w:rPr>
        <w:t>Des exemplaires du présent document de référence sont disponibles sans frais au siège social de la Société, 5, rue de la Baume, 75008 Paris, ainsi qu’en version électronique sur le site Internet de la Société (</w:t>
      </w:r>
      <w:hyperlink r:id="rId107" w:history="1">
        <w:r w:rsidRPr="00C73365">
          <w:rPr>
            <w:rStyle w:val="Hyperlink"/>
            <w:rFonts w:asciiTheme="minorHAnsi" w:hAnsiTheme="minorHAnsi" w:cstheme="minorHAnsi"/>
            <w:i w:val="0"/>
            <w:lang w:val="fr-FR"/>
          </w:rPr>
          <w:t>www.</w:t>
        </w:r>
        <w:r w:rsidR="00EF089C" w:rsidRPr="00C73365">
          <w:rPr>
            <w:rStyle w:val="Hyperlink"/>
            <w:rFonts w:asciiTheme="minorHAnsi" w:hAnsiTheme="minorHAnsi" w:cstheme="minorHAnsi"/>
            <w:i w:val="0"/>
            <w:lang w:val="fr-FR"/>
          </w:rPr>
          <w:t>ABIVAX</w:t>
        </w:r>
        <w:r w:rsidRPr="00C73365">
          <w:rPr>
            <w:rStyle w:val="Hyperlink"/>
            <w:rFonts w:asciiTheme="minorHAnsi" w:hAnsiTheme="minorHAnsi" w:cstheme="minorHAnsi"/>
            <w:i w:val="0"/>
            <w:lang w:val="fr-FR"/>
          </w:rPr>
          <w:t>.com</w:t>
        </w:r>
      </w:hyperlink>
      <w:r w:rsidRPr="00C73365">
        <w:rPr>
          <w:rFonts w:asciiTheme="minorHAnsi" w:hAnsiTheme="minorHAnsi" w:cstheme="minorHAnsi"/>
          <w:i w:val="0"/>
          <w:lang w:val="fr-FR"/>
        </w:rPr>
        <w:t>) et sur le site Internet de l’Autorité des marchés financiers (</w:t>
      </w:r>
      <w:hyperlink r:id="rId108" w:history="1">
        <w:r w:rsidRPr="00C73365">
          <w:rPr>
            <w:rStyle w:val="Hyperlink"/>
            <w:rFonts w:asciiTheme="minorHAnsi" w:hAnsiTheme="minorHAnsi" w:cstheme="minorHAnsi"/>
            <w:i w:val="0"/>
            <w:lang w:val="fr-FR"/>
          </w:rPr>
          <w:t>www.amf-france.org</w:t>
        </w:r>
      </w:hyperlink>
      <w:r w:rsidRPr="00C73365">
        <w:rPr>
          <w:rFonts w:asciiTheme="minorHAnsi" w:hAnsiTheme="minorHAnsi" w:cstheme="minorHAnsi"/>
          <w:i w:val="0"/>
          <w:lang w:val="fr-FR"/>
        </w:rPr>
        <w:t>).</w:t>
      </w:r>
      <w:r w:rsidRPr="00C73365">
        <w:rPr>
          <w:rFonts w:asciiTheme="minorHAnsi" w:hAnsiTheme="minorHAnsi" w:cstheme="minorHAnsi"/>
          <w:lang w:val="fr-FR"/>
        </w:rPr>
        <w:t xml:space="preserve"> </w:t>
      </w:r>
    </w:p>
    <w:p w:rsidR="00F46C7B" w:rsidRPr="00C73365" w:rsidRDefault="00F46C7B" w:rsidP="00A96CCA">
      <w:pPr>
        <w:pStyle w:val="BodyText3"/>
        <w:spacing w:after="0"/>
        <w:rPr>
          <w:rFonts w:asciiTheme="minorHAnsi" w:hAnsiTheme="minorHAnsi" w:cstheme="minorHAnsi"/>
          <w:i w:val="0"/>
          <w:lang w:val="fr-FR"/>
        </w:rPr>
        <w:sectPr w:rsidR="00F46C7B" w:rsidRPr="00C73365" w:rsidSect="007C607C">
          <w:type w:val="continuous"/>
          <w:pgSz w:w="11907" w:h="16840" w:code="9"/>
          <w:pgMar w:top="1134" w:right="1134" w:bottom="1134" w:left="1134" w:header="709" w:footer="709" w:gutter="0"/>
          <w:cols w:space="567"/>
          <w:docGrid w:linePitch="360"/>
        </w:sectPr>
      </w:pPr>
      <w:r w:rsidRPr="00C73365">
        <w:rPr>
          <w:rFonts w:asciiTheme="minorHAnsi" w:hAnsiTheme="minorHAnsi" w:cstheme="minorHAnsi"/>
          <w:i w:val="0"/>
          <w:lang w:val="fr-FR"/>
        </w:rPr>
        <w:t>Les statuts, procès-verbaux des assemblées générales et autres documents sociaux de la Société, ainsi que les informations financières historiques et toute évaluation ou déclaration établie par un expert à la demande de la Société devant être mis à la disposition des actionnaires conformément à la législation applicable, peuvent être consultés, sans frai</w:t>
      </w:r>
      <w:r w:rsidR="00846FBD">
        <w:rPr>
          <w:rFonts w:asciiTheme="minorHAnsi" w:hAnsiTheme="minorHAnsi" w:cstheme="minorHAnsi"/>
          <w:i w:val="0"/>
          <w:lang w:val="fr-FR"/>
        </w:rPr>
        <w:t>s, au siège social de la Société.</w:t>
      </w:r>
    </w:p>
    <w:p w:rsidR="00F46C7B" w:rsidRPr="00C73365" w:rsidRDefault="00F46C7B" w:rsidP="00B740A8">
      <w:pPr>
        <w:pStyle w:val="ConmainL1"/>
        <w:numPr>
          <w:ilvl w:val="0"/>
          <w:numId w:val="9"/>
        </w:numPr>
        <w:rPr>
          <w:rFonts w:asciiTheme="minorHAnsi" w:hAnsiTheme="minorHAnsi" w:cstheme="minorHAnsi"/>
          <w:sz w:val="22"/>
          <w:lang w:val="fr-FR"/>
        </w:rPr>
      </w:pPr>
      <w:bookmarkStart w:id="1637" w:name="_Toc462673317"/>
      <w:bookmarkStart w:id="1638" w:name="_Toc512863986"/>
      <w:r w:rsidRPr="00C73365">
        <w:rPr>
          <w:rFonts w:asciiTheme="minorHAnsi" w:hAnsiTheme="minorHAnsi" w:cstheme="minorHAnsi"/>
          <w:sz w:val="22"/>
          <w:lang w:val="fr-FR"/>
        </w:rPr>
        <w:lastRenderedPageBreak/>
        <w:t>INFORMATIONS SUR LES PARTICIPATIONS</w:t>
      </w:r>
      <w:bookmarkEnd w:id="1637"/>
      <w:bookmarkEnd w:id="1638"/>
    </w:p>
    <w:p w:rsidR="00F46C7B" w:rsidRPr="00C73365" w:rsidRDefault="00F46C7B" w:rsidP="004572A0">
      <w:pPr>
        <w:pStyle w:val="ListContinue"/>
        <w:rPr>
          <w:rFonts w:asciiTheme="minorHAnsi" w:hAnsiTheme="minorHAnsi" w:cstheme="minorHAnsi"/>
          <w:lang w:val="fr-FR"/>
        </w:rPr>
        <w:sectPr w:rsidR="00F46C7B" w:rsidRPr="00C73365" w:rsidSect="007C607C">
          <w:type w:val="continuous"/>
          <w:pgSz w:w="11907" w:h="16840" w:code="9"/>
          <w:pgMar w:top="1134" w:right="1134" w:bottom="1134" w:left="1134" w:header="709" w:footer="709" w:gutter="0"/>
          <w:cols w:space="567"/>
          <w:docGrid w:linePitch="360"/>
        </w:sectPr>
      </w:pPr>
      <w:r w:rsidRPr="00C73365">
        <w:rPr>
          <w:rFonts w:asciiTheme="minorHAnsi" w:hAnsiTheme="minorHAnsi" w:cstheme="minorHAnsi"/>
          <w:lang w:val="fr-FR"/>
        </w:rPr>
        <w:t>A la date d’enregistrement du présent document de référence, la Société ne détient aucune participation  dans le capital d’aucune autre société.</w:t>
      </w:r>
    </w:p>
    <w:p w:rsidR="00F46C7B" w:rsidRPr="00C73365" w:rsidRDefault="00B16A51" w:rsidP="00B740A8">
      <w:pPr>
        <w:pStyle w:val="ConmainL1"/>
        <w:numPr>
          <w:ilvl w:val="0"/>
          <w:numId w:val="9"/>
        </w:numPr>
        <w:rPr>
          <w:rFonts w:asciiTheme="minorHAnsi" w:hAnsiTheme="minorHAnsi" w:cstheme="minorHAnsi"/>
          <w:sz w:val="22"/>
          <w:lang w:val="fr-FR"/>
        </w:rPr>
      </w:pPr>
      <w:bookmarkStart w:id="1639" w:name="_Toc512863987"/>
      <w:r w:rsidRPr="00C73365">
        <w:rPr>
          <w:rFonts w:asciiTheme="minorHAnsi" w:hAnsiTheme="minorHAnsi" w:cstheme="minorHAnsi"/>
          <w:sz w:val="22"/>
          <w:lang w:val="fr-FR"/>
        </w:rPr>
        <w:lastRenderedPageBreak/>
        <w:t xml:space="preserve">TABLE DE CONCORDANCE DU RAPPORT </w:t>
      </w:r>
      <w:r w:rsidR="00A611FC" w:rsidRPr="00C73365">
        <w:rPr>
          <w:rFonts w:asciiTheme="minorHAnsi" w:hAnsiTheme="minorHAnsi" w:cstheme="minorHAnsi"/>
          <w:sz w:val="22"/>
          <w:lang w:val="fr-FR"/>
        </w:rPr>
        <w:t>DE GESTION</w:t>
      </w:r>
      <w:bookmarkEnd w:id="1639"/>
    </w:p>
    <w:p w:rsidR="007F1850" w:rsidRPr="00C73365" w:rsidRDefault="007F1850" w:rsidP="009E5FDD">
      <w:pPr>
        <w:pStyle w:val="ConmainL2"/>
        <w:numPr>
          <w:ilvl w:val="1"/>
          <w:numId w:val="9"/>
        </w:numPr>
        <w:rPr>
          <w:rFonts w:asciiTheme="minorHAnsi" w:hAnsiTheme="minorHAnsi" w:cstheme="minorHAnsi"/>
          <w:sz w:val="22"/>
          <w:lang w:val="fr-FR"/>
        </w:rPr>
      </w:pPr>
      <w:bookmarkStart w:id="1640" w:name="_Toc512863988"/>
      <w:r w:rsidRPr="00C73365">
        <w:rPr>
          <w:rFonts w:asciiTheme="minorHAnsi" w:hAnsiTheme="minorHAnsi" w:cstheme="minorHAnsi"/>
          <w:sz w:val="22"/>
          <w:lang w:val="fr-FR"/>
        </w:rPr>
        <w:t>Table de concordance avec le rapport financier annuel</w:t>
      </w:r>
      <w:bookmarkEnd w:id="16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6130"/>
        <w:gridCol w:w="3077"/>
      </w:tblGrid>
      <w:tr w:rsidR="007F1850" w:rsidRPr="00C73365" w:rsidTr="007F1850">
        <w:trPr>
          <w:trHeight w:val="300"/>
        </w:trPr>
        <w:tc>
          <w:tcPr>
            <w:tcW w:w="3402" w:type="pct"/>
            <w:gridSpan w:val="2"/>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b/>
                <w:bCs/>
                <w:szCs w:val="20"/>
                <w:lang w:val="fr-FR"/>
              </w:rPr>
            </w:pPr>
            <w:r w:rsidRPr="00C73365">
              <w:rPr>
                <w:rFonts w:asciiTheme="minorHAnsi" w:hAnsiTheme="minorHAnsi" w:cstheme="minorHAnsi"/>
                <w:b/>
                <w:bCs/>
                <w:szCs w:val="20"/>
                <w:lang w:val="fr-FR"/>
              </w:rPr>
              <w:t>Rapport financier annuel</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b/>
                <w:bCs/>
                <w:szCs w:val="20"/>
                <w:lang w:val="fr-FR"/>
              </w:rPr>
            </w:pPr>
            <w:r w:rsidRPr="00C73365">
              <w:rPr>
                <w:rFonts w:asciiTheme="minorHAnsi" w:hAnsiTheme="minorHAnsi" w:cstheme="minorHAnsi"/>
                <w:b/>
                <w:bCs/>
                <w:szCs w:val="20"/>
                <w:lang w:val="fr-FR"/>
              </w:rPr>
              <w:t>Document de référence</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Attestation du responsable du rapport financier annuel</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Section 1.2</w:t>
            </w:r>
          </w:p>
        </w:tc>
      </w:tr>
      <w:tr w:rsidR="007F1850" w:rsidRPr="00F06F79"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Rapport de gestion</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 référer à la table de concordance</w:t>
            </w:r>
          </w:p>
        </w:tc>
      </w:tr>
      <w:tr w:rsidR="007F1850" w:rsidRPr="00F06F79"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3</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Rapport du conseil d’administration sur le gouvernement d’entreprise</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 référer à la table de concordance</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4</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highlight w:val="yellow"/>
                <w:lang w:val="fr-FR"/>
              </w:rPr>
            </w:pPr>
            <w:r w:rsidRPr="00C73365">
              <w:rPr>
                <w:rFonts w:asciiTheme="minorHAnsi" w:hAnsiTheme="minorHAnsi" w:cstheme="minorHAnsi"/>
                <w:szCs w:val="20"/>
                <w:lang w:val="fr-FR"/>
              </w:rPr>
              <w:t>Rapport de responsabilité sociale et environnementale</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F573DC" w:rsidP="007F1850">
            <w:pPr>
              <w:jc w:val="center"/>
              <w:rPr>
                <w:rFonts w:asciiTheme="minorHAnsi" w:hAnsiTheme="minorHAnsi" w:cstheme="minorHAnsi"/>
                <w:i/>
                <w:szCs w:val="20"/>
                <w:highlight w:val="yellow"/>
                <w:lang w:val="fr-FR"/>
              </w:rPr>
            </w:pPr>
            <w:r>
              <w:rPr>
                <w:rFonts w:asciiTheme="minorHAnsi" w:hAnsiTheme="minorHAnsi" w:cstheme="minorHAnsi"/>
                <w:szCs w:val="20"/>
                <w:lang w:val="fr-FR"/>
              </w:rPr>
              <w:t>Paragraphe 6.6.2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5</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Communiqué relatif aux honoraires des commissaires aux comptes</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001964" w:rsidRDefault="00001964" w:rsidP="007F1850">
            <w:pPr>
              <w:jc w:val="center"/>
              <w:rPr>
                <w:rFonts w:asciiTheme="minorHAnsi" w:hAnsiTheme="minorHAnsi" w:cstheme="minorHAnsi"/>
                <w:b/>
                <w:szCs w:val="20"/>
                <w:lang w:val="fr-FR"/>
              </w:rPr>
            </w:pPr>
            <w:r w:rsidRPr="00001964">
              <w:rPr>
                <w:rFonts w:asciiTheme="minorHAnsi" w:hAnsiTheme="minorHAnsi" w:cstheme="minorHAnsi"/>
                <w:szCs w:val="20"/>
                <w:lang w:val="fr-FR"/>
              </w:rPr>
              <w:t>Section 20.1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6</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Comptes établis en normes IFRS</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Section 20.1.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7</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Rapport des commissaires aux comptes sur les comptes consolidés établis en normes IFRS</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Section 20.2.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8</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Rapport des commissaires aux comptes sur le rapport du conseil d’administration sur le gouvernement d’entreprise</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Section 16.6</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9</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 xml:space="preserve">Comptes annuels </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Section 20.1.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10</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 xml:space="preserve">Rapport des commissaires aux comptes sur les comptes annuels </w:t>
            </w:r>
          </w:p>
        </w:tc>
        <w:tc>
          <w:tcPr>
            <w:tcW w:w="1598"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jc w:val="center"/>
              <w:rPr>
                <w:rFonts w:asciiTheme="minorHAnsi" w:hAnsiTheme="minorHAnsi" w:cstheme="minorHAnsi"/>
                <w:szCs w:val="20"/>
                <w:lang w:val="fr-FR"/>
              </w:rPr>
            </w:pPr>
            <w:r w:rsidRPr="00C73365">
              <w:rPr>
                <w:rFonts w:asciiTheme="minorHAnsi" w:hAnsiTheme="minorHAnsi" w:cstheme="minorHAnsi"/>
                <w:szCs w:val="20"/>
                <w:lang w:val="fr-FR"/>
              </w:rPr>
              <w:t>Section 20.2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11</w:t>
            </w:r>
          </w:p>
        </w:tc>
        <w:tc>
          <w:tcPr>
            <w:tcW w:w="3183"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szCs w:val="20"/>
                <w:lang w:val="fr-FR"/>
              </w:rPr>
            </w:pPr>
            <w:bookmarkStart w:id="1641" w:name="RANGE!B15"/>
            <w:r w:rsidRPr="00C73365">
              <w:rPr>
                <w:rFonts w:asciiTheme="minorHAnsi" w:hAnsiTheme="minorHAnsi" w:cstheme="minorHAnsi"/>
                <w:szCs w:val="20"/>
                <w:lang w:val="fr-FR"/>
              </w:rPr>
              <w:t>Rapport de l’organisme tiers indépendant sur les informations sociales, environnementales et sociétales</w:t>
            </w:r>
            <w:bookmarkEnd w:id="1641"/>
          </w:p>
        </w:tc>
        <w:tc>
          <w:tcPr>
            <w:tcW w:w="1598" w:type="pct"/>
            <w:tcBorders>
              <w:top w:val="single" w:sz="4" w:space="0" w:color="auto"/>
              <w:left w:val="single" w:sz="4" w:space="0" w:color="auto"/>
              <w:bottom w:val="single" w:sz="4" w:space="0" w:color="auto"/>
              <w:right w:val="single" w:sz="4" w:space="0" w:color="auto"/>
            </w:tcBorders>
            <w:noWrap/>
            <w:hideMark/>
          </w:tcPr>
          <w:p w:rsidR="007F1850" w:rsidRPr="00F573DC" w:rsidRDefault="00F573DC" w:rsidP="007F1850">
            <w:pPr>
              <w:jc w:val="center"/>
              <w:rPr>
                <w:rFonts w:asciiTheme="minorHAnsi" w:hAnsiTheme="minorHAnsi" w:cstheme="minorHAnsi"/>
                <w:b/>
                <w:szCs w:val="20"/>
                <w:lang w:val="fr-FR"/>
              </w:rPr>
            </w:pPr>
            <w:r>
              <w:rPr>
                <w:rFonts w:asciiTheme="minorHAnsi" w:hAnsiTheme="minorHAnsi" w:cstheme="minorHAnsi"/>
                <w:szCs w:val="20"/>
                <w:lang w:val="fr-FR"/>
              </w:rPr>
              <w:t xml:space="preserve">Paragraphe </w:t>
            </w:r>
            <w:r w:rsidRPr="00F573DC">
              <w:rPr>
                <w:rFonts w:asciiTheme="minorHAnsi" w:hAnsiTheme="minorHAnsi" w:cstheme="minorHAnsi"/>
                <w:szCs w:val="20"/>
                <w:lang w:val="fr-FR"/>
              </w:rPr>
              <w:t>6.6.3</w:t>
            </w:r>
          </w:p>
        </w:tc>
      </w:tr>
    </w:tbl>
    <w:p w:rsidR="007F1850" w:rsidRPr="00C73365" w:rsidRDefault="007F1850" w:rsidP="007F1850">
      <w:pPr>
        <w:pStyle w:val="BodyText"/>
        <w:rPr>
          <w:rFonts w:asciiTheme="minorHAnsi" w:hAnsiTheme="minorHAnsi" w:cstheme="minorHAnsi"/>
          <w:lang w:val="fr-FR"/>
        </w:rPr>
      </w:pPr>
    </w:p>
    <w:p w:rsidR="007F1850" w:rsidRPr="00C73365" w:rsidRDefault="007F1850" w:rsidP="009E5FDD">
      <w:pPr>
        <w:pStyle w:val="ConmainL2"/>
        <w:numPr>
          <w:ilvl w:val="1"/>
          <w:numId w:val="9"/>
        </w:numPr>
        <w:rPr>
          <w:rFonts w:asciiTheme="minorHAnsi" w:hAnsiTheme="minorHAnsi" w:cstheme="minorHAnsi"/>
          <w:sz w:val="22"/>
          <w:lang w:val="fr-FR"/>
        </w:rPr>
      </w:pPr>
      <w:bookmarkStart w:id="1642" w:name="_Toc512863989"/>
      <w:r w:rsidRPr="00C73365">
        <w:rPr>
          <w:rFonts w:asciiTheme="minorHAnsi" w:hAnsiTheme="minorHAnsi" w:cstheme="minorHAnsi"/>
          <w:sz w:val="22"/>
          <w:lang w:val="fr-FR"/>
        </w:rPr>
        <w:t>Table de concordance avec le rapport de gestion</w:t>
      </w:r>
      <w:bookmarkEnd w:id="16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6095"/>
        <w:gridCol w:w="3112"/>
      </w:tblGrid>
      <w:tr w:rsidR="007F1850" w:rsidRPr="00C73365" w:rsidTr="007F1850">
        <w:trPr>
          <w:trHeight w:val="300"/>
        </w:trPr>
        <w:tc>
          <w:tcPr>
            <w:tcW w:w="3384" w:type="pct"/>
            <w:gridSpan w:val="2"/>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b/>
                <w:bCs/>
                <w:szCs w:val="20"/>
                <w:lang w:val="fr-FR"/>
              </w:rPr>
            </w:pPr>
            <w:r w:rsidRPr="00C73365">
              <w:rPr>
                <w:rFonts w:asciiTheme="minorHAnsi" w:hAnsiTheme="minorHAnsi" w:cstheme="minorHAnsi"/>
                <w:b/>
                <w:bCs/>
                <w:szCs w:val="20"/>
                <w:lang w:val="fr-FR"/>
              </w:rPr>
              <w:t>Rapport de gestion annuel</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b/>
                <w:bCs/>
                <w:szCs w:val="20"/>
                <w:lang w:val="fr-FR"/>
              </w:rPr>
            </w:pPr>
            <w:r w:rsidRPr="00C73365">
              <w:rPr>
                <w:rFonts w:asciiTheme="minorHAnsi" w:hAnsiTheme="minorHAnsi" w:cstheme="minorHAnsi"/>
                <w:b/>
                <w:bCs/>
                <w:szCs w:val="20"/>
                <w:lang w:val="fr-FR"/>
              </w:rPr>
              <w:t>Document de référence</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Situation de la Société et activité au cours de l’exercice écoulé</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Chapitres 6 et 20</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2</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Examen des comptes et résultats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Chapitres 9 et 20</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3</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Affectation des résultats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FF5A22" w:rsidRDefault="000102EE" w:rsidP="007F1850">
            <w:pPr>
              <w:spacing w:line="256" w:lineRule="auto"/>
              <w:jc w:val="center"/>
              <w:rPr>
                <w:rFonts w:asciiTheme="minorHAnsi" w:hAnsiTheme="minorHAnsi" w:cstheme="minorHAnsi"/>
                <w:szCs w:val="20"/>
                <w:highlight w:val="yellow"/>
                <w:lang w:val="fr-FR"/>
              </w:rPr>
            </w:pPr>
            <w:r w:rsidRPr="00920F3B">
              <w:rPr>
                <w:rFonts w:asciiTheme="minorHAnsi" w:hAnsiTheme="minorHAnsi" w:cstheme="minorHAnsi"/>
                <w:szCs w:val="20"/>
                <w:lang w:val="fr-FR"/>
              </w:rPr>
              <w:t>Paragraphe 20.1.1</w:t>
            </w:r>
          </w:p>
        </w:tc>
      </w:tr>
      <w:tr w:rsidR="007F1850" w:rsidRPr="00C73365" w:rsidTr="0019582B">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4</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Dépenses non déductibles fiscalement</w:t>
            </w:r>
          </w:p>
        </w:tc>
        <w:tc>
          <w:tcPr>
            <w:tcW w:w="1616" w:type="pct"/>
            <w:tcBorders>
              <w:top w:val="single" w:sz="4" w:space="0" w:color="auto"/>
              <w:left w:val="single" w:sz="4" w:space="0" w:color="auto"/>
              <w:bottom w:val="single" w:sz="4" w:space="0" w:color="auto"/>
              <w:right w:val="single" w:sz="4" w:space="0" w:color="auto"/>
            </w:tcBorders>
            <w:shd w:val="clear" w:color="auto" w:fill="auto"/>
            <w:noWrap/>
            <w:hideMark/>
          </w:tcPr>
          <w:p w:rsidR="007F1850" w:rsidRPr="0019582B" w:rsidRDefault="000102EE" w:rsidP="007F1850">
            <w:pPr>
              <w:spacing w:line="256" w:lineRule="auto"/>
              <w:jc w:val="center"/>
              <w:rPr>
                <w:rFonts w:asciiTheme="minorHAnsi" w:hAnsiTheme="minorHAnsi" w:cstheme="minorHAnsi"/>
                <w:szCs w:val="20"/>
                <w:lang w:val="fr-FR"/>
              </w:rPr>
            </w:pPr>
            <w:r w:rsidRPr="0019582B">
              <w:rPr>
                <w:rFonts w:asciiTheme="minorHAnsi" w:hAnsiTheme="minorHAnsi" w:cstheme="minorHAnsi"/>
                <w:szCs w:val="20"/>
                <w:lang w:val="fr-FR"/>
              </w:rPr>
              <w:t>Paragraphe 20.1.1</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5</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Rappel des dividendes distribués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Section 20.4.1</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6</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Principaux risques et incertitudes auxquels la Société est confrontée / Utilisation des instruments financiers par la Société</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Chapitre 4</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7</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Information sur les délais de paiement des fournisseurs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1D79BA" w:rsidRDefault="001D79BA" w:rsidP="007F1850">
            <w:pPr>
              <w:spacing w:line="256" w:lineRule="auto"/>
              <w:jc w:val="center"/>
              <w:rPr>
                <w:rFonts w:asciiTheme="minorHAnsi" w:hAnsiTheme="minorHAnsi" w:cstheme="minorHAnsi"/>
                <w:szCs w:val="20"/>
                <w:highlight w:val="yellow"/>
                <w:lang w:val="fr-FR"/>
              </w:rPr>
            </w:pPr>
            <w:r w:rsidRPr="001D79BA">
              <w:rPr>
                <w:rFonts w:asciiTheme="minorHAnsi" w:hAnsiTheme="minorHAnsi" w:cstheme="minorHAnsi"/>
                <w:szCs w:val="20"/>
                <w:lang w:val="fr-FR"/>
              </w:rPr>
              <w:t>Section 20.5</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8</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Activité en matière de recherche et développement</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Section 9.2 et Chapitre 11</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9</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Evolution prévisible et perspectives d’avenir</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Chapitres 6 et 12</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10</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Evénements importants survenus depuis la clôture de l’exercice</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Section 20.8</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11</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Participation des salariés au capital à la clôture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exercice</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Section 17.3</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12</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Gouvernement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entreprise</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Chapitre 16</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13</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 xml:space="preserve">Informations générales concernant les mandataires sociaux </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Chapitre 14</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14</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 xml:space="preserve">Rémunération et engagements de retraite et autres avantages viagers des mandataires sociaux </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Sections 15.1 et 15.2</w:t>
            </w:r>
          </w:p>
        </w:tc>
      </w:tr>
      <w:tr w:rsidR="007F1850" w:rsidRPr="00C73365" w:rsidTr="00A5021C">
        <w:trPr>
          <w:trHeight w:val="51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lastRenderedPageBreak/>
              <w:t>15</w:t>
            </w:r>
          </w:p>
        </w:tc>
        <w:tc>
          <w:tcPr>
            <w:tcW w:w="3165" w:type="pct"/>
            <w:tcBorders>
              <w:top w:val="single" w:sz="4" w:space="0" w:color="auto"/>
              <w:left w:val="single" w:sz="4" w:space="0" w:color="auto"/>
              <w:bottom w:val="single" w:sz="4" w:space="0" w:color="auto"/>
              <w:right w:val="single" w:sz="4" w:space="0" w:color="auto"/>
            </w:tcBorders>
            <w:hideMark/>
          </w:tcPr>
          <w:p w:rsidR="007F1850" w:rsidRPr="00C73365" w:rsidRDefault="007F1850" w:rsidP="007F1850">
            <w:pPr>
              <w:spacing w:after="240" w:line="256" w:lineRule="auto"/>
              <w:rPr>
                <w:rFonts w:asciiTheme="minorHAnsi" w:hAnsiTheme="minorHAnsi" w:cstheme="minorHAnsi"/>
                <w:szCs w:val="20"/>
                <w:lang w:val="fr-FR"/>
              </w:rPr>
            </w:pPr>
            <w:r w:rsidRPr="00C73365">
              <w:rPr>
                <w:rFonts w:asciiTheme="minorHAnsi" w:hAnsiTheme="minorHAnsi" w:cstheme="minorHAnsi"/>
                <w:szCs w:val="20"/>
                <w:lang w:val="fr-FR"/>
              </w:rPr>
              <w:t>Informations relatives aux conventions intervenues entre la Société et (i) un dirigeant possédant plus de 10% des droits de vote d’une société ou (ii) ou une société détenant plus de la moitié du capital de la Société</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 xml:space="preserve">Section 19.2 </w:t>
            </w:r>
          </w:p>
        </w:tc>
      </w:tr>
      <w:tr w:rsidR="007F1850" w:rsidRPr="00C73365" w:rsidTr="00A5021C">
        <w:trPr>
          <w:trHeight w:val="51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16</w:t>
            </w:r>
          </w:p>
        </w:tc>
        <w:tc>
          <w:tcPr>
            <w:tcW w:w="3165" w:type="pct"/>
            <w:tcBorders>
              <w:top w:val="single" w:sz="4" w:space="0" w:color="auto"/>
              <w:left w:val="single" w:sz="4" w:space="0" w:color="auto"/>
              <w:bottom w:val="single" w:sz="4" w:space="0" w:color="auto"/>
              <w:right w:val="single" w:sz="4" w:space="0" w:color="auto"/>
            </w:tcBorders>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Etat récapitulatif des opérations des dirigeants et des personnes mentionnées à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article L. 621-18-2 du code monétaire et financier sur les titres de la Société réalisées au cours de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exercice écoulé</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Section 18.6</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17</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Activités des filiales et des sociétés contrôlées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Chapitres 7 et 25</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18</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Prises de participations significatives dans des sociétés ayant leur siège en France, ou prises de contrôle de telles sociétés ; cessions de telles participations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Chapitres 7 et 25</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19</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Renseignements relatifs à la répartition du capital et à l’autocontrôle – Programme de rachat d’actions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Sections 18.1, 18.2 et 21.1</w:t>
            </w:r>
          </w:p>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 xml:space="preserve"> </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20</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Modifications intervenues au cours de l’exercice dans la composition du capital</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lang w:val="fr-FR"/>
              </w:rPr>
            </w:pPr>
            <w:r w:rsidRPr="00C73365">
              <w:rPr>
                <w:rFonts w:asciiTheme="minorHAnsi" w:hAnsiTheme="minorHAnsi" w:cstheme="minorHAnsi"/>
                <w:szCs w:val="20"/>
                <w:lang w:val="fr-FR"/>
              </w:rPr>
              <w:t>Section 21.1.7</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21</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Evolution du titre – Risque de variation de cours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Section 18.8</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22</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Délégations de pouvoirs ou de compétence en matière d’augmentation de capital</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jc w:val="center"/>
              <w:rPr>
                <w:rFonts w:asciiTheme="minorHAnsi" w:hAnsiTheme="minorHAnsi" w:cstheme="minorHAnsi"/>
                <w:szCs w:val="20"/>
                <w:highlight w:val="yellow"/>
                <w:lang w:val="fr-FR"/>
              </w:rPr>
            </w:pPr>
            <w:r w:rsidRPr="00C73365">
              <w:rPr>
                <w:rFonts w:asciiTheme="minorHAnsi" w:hAnsiTheme="minorHAnsi" w:cstheme="minorHAnsi"/>
                <w:szCs w:val="20"/>
                <w:lang w:val="fr-FR"/>
              </w:rPr>
              <w:t>Paragraphe 21.1.5</w:t>
            </w:r>
          </w:p>
        </w:tc>
      </w:tr>
      <w:tr w:rsidR="007F1850" w:rsidRPr="00C73365" w:rsidTr="00A5021C">
        <w:trPr>
          <w:trHeight w:val="300"/>
        </w:trPr>
        <w:tc>
          <w:tcPr>
            <w:tcW w:w="219"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2</w:t>
            </w:r>
            <w:r w:rsidR="00A5021C" w:rsidRPr="00C73365">
              <w:rPr>
                <w:rFonts w:asciiTheme="minorHAnsi" w:hAnsiTheme="minorHAnsi" w:cstheme="minorHAnsi"/>
                <w:szCs w:val="20"/>
                <w:lang w:val="fr-FR"/>
              </w:rPr>
              <w:t>3</w:t>
            </w:r>
          </w:p>
        </w:tc>
        <w:tc>
          <w:tcPr>
            <w:tcW w:w="3165"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spacing w:line="256" w:lineRule="auto"/>
              <w:rPr>
                <w:rFonts w:asciiTheme="minorHAnsi" w:hAnsiTheme="minorHAnsi" w:cstheme="minorHAnsi"/>
                <w:szCs w:val="20"/>
                <w:lang w:val="fr-FR"/>
              </w:rPr>
            </w:pPr>
            <w:r w:rsidRPr="00C73365">
              <w:rPr>
                <w:rFonts w:asciiTheme="minorHAnsi" w:hAnsiTheme="minorHAnsi" w:cstheme="minorHAnsi"/>
                <w:szCs w:val="20"/>
                <w:lang w:val="fr-FR"/>
              </w:rPr>
              <w:t>Tableau des résultats des cinq derniers exercices</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820BE1" w:rsidP="007F1850">
            <w:pPr>
              <w:spacing w:line="256" w:lineRule="auto"/>
              <w:jc w:val="center"/>
              <w:rPr>
                <w:rFonts w:asciiTheme="minorHAnsi" w:hAnsiTheme="minorHAnsi" w:cstheme="minorHAnsi"/>
                <w:szCs w:val="20"/>
                <w:lang w:val="fr-FR"/>
              </w:rPr>
            </w:pPr>
            <w:r>
              <w:rPr>
                <w:rFonts w:asciiTheme="minorHAnsi" w:hAnsiTheme="minorHAnsi" w:cstheme="minorHAnsi"/>
                <w:szCs w:val="20"/>
                <w:lang w:val="fr-FR"/>
              </w:rPr>
              <w:t>Section 20.5</w:t>
            </w:r>
          </w:p>
        </w:tc>
      </w:tr>
    </w:tbl>
    <w:p w:rsidR="007F1850" w:rsidRPr="00C73365" w:rsidRDefault="007F1850" w:rsidP="007F1850">
      <w:pPr>
        <w:pStyle w:val="BodyText"/>
        <w:rPr>
          <w:rFonts w:asciiTheme="minorHAnsi" w:hAnsiTheme="minorHAnsi" w:cstheme="minorHAnsi"/>
          <w:b/>
          <w:color w:val="7030A0"/>
          <w:lang w:val="fr-FR"/>
        </w:rPr>
      </w:pPr>
    </w:p>
    <w:p w:rsidR="007F1850" w:rsidRPr="00C73365" w:rsidRDefault="007F1850" w:rsidP="009E5FDD">
      <w:pPr>
        <w:pStyle w:val="ConmainL2"/>
        <w:numPr>
          <w:ilvl w:val="1"/>
          <w:numId w:val="9"/>
        </w:numPr>
        <w:rPr>
          <w:rFonts w:asciiTheme="minorHAnsi" w:hAnsiTheme="minorHAnsi" w:cstheme="minorHAnsi"/>
          <w:sz w:val="22"/>
          <w:lang w:val="fr-FR"/>
        </w:rPr>
      </w:pPr>
      <w:bookmarkStart w:id="1643" w:name="_Toc512863990"/>
      <w:r w:rsidRPr="00C73365">
        <w:rPr>
          <w:rFonts w:asciiTheme="minorHAnsi" w:hAnsiTheme="minorHAnsi" w:cstheme="minorHAnsi"/>
          <w:sz w:val="22"/>
          <w:lang w:val="fr-FR"/>
        </w:rPr>
        <w:t>Table de concordance avec le rapport sur le gouvernement d’entreprise</w:t>
      </w:r>
      <w:bookmarkEnd w:id="16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6095"/>
        <w:gridCol w:w="3112"/>
      </w:tblGrid>
      <w:tr w:rsidR="007F1850" w:rsidRPr="00C73365" w:rsidTr="007F1850">
        <w:trPr>
          <w:trHeight w:val="300"/>
        </w:trPr>
        <w:tc>
          <w:tcPr>
            <w:tcW w:w="3384" w:type="pct"/>
            <w:gridSpan w:val="2"/>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b/>
                <w:bCs/>
                <w:szCs w:val="20"/>
                <w:lang w:val="fr-FR"/>
              </w:rPr>
            </w:pPr>
            <w:r w:rsidRPr="00C73365">
              <w:rPr>
                <w:rFonts w:asciiTheme="minorHAnsi" w:hAnsiTheme="minorHAnsi" w:cstheme="minorHAnsi"/>
                <w:b/>
                <w:bCs/>
                <w:szCs w:val="20"/>
                <w:lang w:val="fr-FR"/>
              </w:rPr>
              <w:t>Rapport sur le gouvernement d’entreprise</w:t>
            </w:r>
          </w:p>
        </w:tc>
        <w:tc>
          <w:tcPr>
            <w:tcW w:w="1616" w:type="pct"/>
            <w:tcBorders>
              <w:top w:val="single" w:sz="4" w:space="0" w:color="auto"/>
              <w:left w:val="single" w:sz="4" w:space="0" w:color="auto"/>
              <w:bottom w:val="single" w:sz="4" w:space="0" w:color="auto"/>
              <w:right w:val="single" w:sz="4" w:space="0" w:color="auto"/>
            </w:tcBorders>
            <w:noWrap/>
            <w:hideMark/>
          </w:tcPr>
          <w:p w:rsidR="007F1850" w:rsidRPr="00C73365" w:rsidRDefault="007F1850" w:rsidP="007F1850">
            <w:pPr>
              <w:rPr>
                <w:rFonts w:asciiTheme="minorHAnsi" w:hAnsiTheme="minorHAnsi" w:cstheme="minorHAnsi"/>
                <w:b/>
                <w:bCs/>
                <w:szCs w:val="20"/>
                <w:lang w:val="fr-FR"/>
              </w:rPr>
            </w:pPr>
            <w:r w:rsidRPr="00C73365">
              <w:rPr>
                <w:rFonts w:asciiTheme="minorHAnsi" w:hAnsiTheme="minorHAnsi" w:cstheme="minorHAnsi"/>
                <w:b/>
                <w:bCs/>
                <w:szCs w:val="20"/>
                <w:lang w:val="fr-FR"/>
              </w:rPr>
              <w:t>Document de référence</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Composition du conseil d’administration</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Sections 14.1</w:t>
            </w:r>
            <w:r w:rsidRPr="00C73365">
              <w:rPr>
                <w:rFonts w:asciiTheme="minorHAnsi" w:hAnsiTheme="minorHAnsi" w:cstheme="minorHAnsi"/>
                <w:szCs w:val="20"/>
                <w:vertAlign w:val="superscript"/>
                <w:lang w:val="fr-FR"/>
              </w:rPr>
              <w:t xml:space="preserve"> </w:t>
            </w:r>
            <w:r w:rsidRPr="00C73365">
              <w:rPr>
                <w:rFonts w:asciiTheme="minorHAnsi" w:hAnsiTheme="minorHAnsi" w:cstheme="minorHAnsi"/>
                <w:szCs w:val="20"/>
                <w:lang w:val="fr-FR"/>
              </w:rPr>
              <w:t xml:space="preserve">et Paragraphe 16.3.1 </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Missions du conseil d’administration</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21.3.2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3</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Conditions de préparation et d’organisation des travaux du conseil</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21.3.2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4</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Compte-rendu de l’activité du conseil au cours de l’exercice 2017</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16.3.1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5</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Représentation des femmes et des hommes au conseil d’administration</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14.1.1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6</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Limitations éventuellement apportées par le conseil aux pouvoirs du Directeur Général</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Sections 16.2 et 19.2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7</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Liste des mandats et fonctions</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Paragraphes 14.1.1, 14.1.3 et 14.1.4</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8</w:t>
            </w:r>
          </w:p>
        </w:tc>
        <w:tc>
          <w:tcPr>
            <w:tcW w:w="3165" w:type="pct"/>
            <w:tcBorders>
              <w:top w:val="single" w:sz="4" w:space="0" w:color="auto"/>
              <w:left w:val="nil"/>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Comité d’audit</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16.3.2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9</w:t>
            </w:r>
          </w:p>
        </w:tc>
        <w:tc>
          <w:tcPr>
            <w:tcW w:w="3165" w:type="pct"/>
            <w:tcBorders>
              <w:top w:val="single" w:sz="4" w:space="0" w:color="auto"/>
              <w:left w:val="nil"/>
              <w:bottom w:val="single" w:sz="4" w:space="0" w:color="auto"/>
              <w:right w:val="single" w:sz="4" w:space="0" w:color="auto"/>
            </w:tcBorders>
            <w:noWrap/>
            <w:vAlign w:val="center"/>
            <w:hideMark/>
          </w:tcPr>
          <w:p w:rsidR="007F1850" w:rsidRPr="00C73365" w:rsidRDefault="00AC15E8" w:rsidP="007F1850">
            <w:pPr>
              <w:rPr>
                <w:rFonts w:asciiTheme="minorHAnsi" w:hAnsiTheme="minorHAnsi" w:cstheme="minorHAnsi"/>
                <w:szCs w:val="20"/>
                <w:lang w:val="fr-FR"/>
              </w:rPr>
            </w:pPr>
            <w:r>
              <w:rPr>
                <w:rFonts w:asciiTheme="minorHAnsi" w:hAnsiTheme="minorHAnsi" w:cstheme="minorHAnsi"/>
                <w:szCs w:val="20"/>
                <w:lang w:val="fr-FR"/>
              </w:rPr>
              <w:t>Comité des recrutements et des rémunérations</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16.3.2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10</w:t>
            </w:r>
          </w:p>
        </w:tc>
        <w:tc>
          <w:tcPr>
            <w:tcW w:w="3165" w:type="pct"/>
            <w:tcBorders>
              <w:top w:val="single" w:sz="4" w:space="0" w:color="auto"/>
              <w:left w:val="nil"/>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Comité scientifique</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highlight w:val="yellow"/>
                <w:lang w:val="fr-FR"/>
              </w:rPr>
            </w:pPr>
            <w:r w:rsidRPr="00C73365">
              <w:rPr>
                <w:rFonts w:asciiTheme="minorHAnsi" w:hAnsiTheme="minorHAnsi" w:cstheme="minorHAnsi"/>
                <w:szCs w:val="20"/>
                <w:lang w:val="fr-FR"/>
              </w:rPr>
              <w:t>Paragraphe 16.3.2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11</w:t>
            </w:r>
          </w:p>
        </w:tc>
        <w:tc>
          <w:tcPr>
            <w:tcW w:w="3165" w:type="pct"/>
            <w:tcBorders>
              <w:top w:val="single" w:sz="4" w:space="0" w:color="auto"/>
              <w:left w:val="nil"/>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Code de gouvernement d’entreprise</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16.4</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12</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Principes et règles qui déterminent la rémunération des mandataires sociaux</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15.1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13</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Sommes provisionnées ou constatées par la Société aux fins de versement de pensions, de retraites ou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autres avantages au profit des administrateurs et dirigeants</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15.2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14</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Attribution gratuite d’actions, options et bons de souscription d’actions</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15.3 et Paragraphe 21.1.5</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lastRenderedPageBreak/>
              <w:t>15</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Eléments de rémunérations et avantages dus ou susceptibles d’être dus à raison ou postérieurement à la cessation des fonctions de dirigeants de la Société</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15.4 et Paragraphe 16.2.1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16</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Principes généraux en matière de rémunération des dirigeants mandataires sociaux exécutifs</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15.6.1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17</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Structure de la rémunération des dirigeants mandataires sociaux exécutifs pour l’année 2018</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15.6.1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18</w:t>
            </w:r>
          </w:p>
        </w:tc>
        <w:tc>
          <w:tcPr>
            <w:tcW w:w="3165"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Présentation des projets de résolution relatifs aux principes et aux critères de la répartition et de l’attribution des éléments fixes et variables</w:t>
            </w:r>
          </w:p>
        </w:tc>
        <w:tc>
          <w:tcPr>
            <w:tcW w:w="1616" w:type="pct"/>
            <w:tcBorders>
              <w:top w:val="single" w:sz="4" w:space="0" w:color="auto"/>
              <w:left w:val="single" w:sz="4" w:space="0" w:color="auto"/>
              <w:bottom w:val="single" w:sz="4" w:space="0" w:color="auto"/>
              <w:right w:val="single" w:sz="4" w:space="0" w:color="auto"/>
            </w:tcBorders>
            <w:noWrap/>
            <w:vAlign w:val="center"/>
            <w:hideMark/>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Paragraphes 15.6.1 et 15.6.2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19</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Conflits d’intérêts</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14.3</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20</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Délégations en cours de validité accordées par l’assemblée générale en matière d’augmentation de capital</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21.1.6</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21</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Participation des actionnaires à l’assemblée générale</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21.2.5</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22</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Eléments susceptibles d’avoir une incidence en cas d’offre publique</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21.2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23</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Structure du capital de la société</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21.2.1</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24</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Restrictions statutaires à l’exercice des droits de vote et aux transferts d’actions ou les clauses portées à la connaissance de la société en application de l’article l. 233-11 du code de commerce</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21.2.2</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25</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Participations directes ou indirectes dans le capital de la société dont elle a connaissance en vertu des articles l. 233-7 et l. 233-12 du code de commerce</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 xml:space="preserve">Paragraphe 21.1.3 </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26</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Liste des détenteurs de tous titres comportant des droits de contrôle spéciaux et description de ceux-ci</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21.2.4</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27</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Mécanismes de contrôle prévus dans un éventuel système d’actionnariat du personnel, quand les droits de contrôle ne sont pas exercés par ce dernier</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21.2.5</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28</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Accords entre actionnaires dont la société a connaissance qui peuvent entrainer des restrictions au transfert d</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actions et à l</w:t>
            </w:r>
            <w:r w:rsidR="004572A0" w:rsidRPr="00C73365">
              <w:rPr>
                <w:rFonts w:asciiTheme="minorHAnsi" w:hAnsiTheme="minorHAnsi" w:cstheme="minorHAnsi"/>
                <w:szCs w:val="20"/>
                <w:lang w:val="fr-FR"/>
              </w:rPr>
              <w:t>’</w:t>
            </w:r>
            <w:r w:rsidRPr="00C73365">
              <w:rPr>
                <w:rFonts w:asciiTheme="minorHAnsi" w:hAnsiTheme="minorHAnsi" w:cstheme="minorHAnsi"/>
                <w:szCs w:val="20"/>
                <w:lang w:val="fr-FR"/>
              </w:rPr>
              <w:t>exercice des droits de vote</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21.2.6</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29</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Règles applicables à la nomination et au remplacement des membres du conseil d’administration ainsi qu’à la modification des statuts</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21.2.7</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30</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Pouvoirs du conseil d’administration, en particulier en ce qui concerne l’émission ou le rachat d’actions</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21.2.8</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31</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Accords conclus par la Société qui sont modifiés ou prennent fin en cas de changement de contrôle de la Société</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Paragraphe 21.2.9</w:t>
            </w:r>
          </w:p>
        </w:tc>
      </w:tr>
      <w:tr w:rsidR="007F1850" w:rsidRPr="00C73365" w:rsidTr="007F1850">
        <w:trPr>
          <w:trHeight w:val="300"/>
        </w:trPr>
        <w:tc>
          <w:tcPr>
            <w:tcW w:w="219"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32</w:t>
            </w:r>
          </w:p>
        </w:tc>
        <w:tc>
          <w:tcPr>
            <w:tcW w:w="3165"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Accords prévoyant des indemnités pour les membres du conseil d’administration ou les salariés, s’ils démissionnent ou sont licenciés sans cause réelle ou sérieuse ou si leur emploi prend fin en raison d’une offre publique</w:t>
            </w:r>
          </w:p>
        </w:tc>
        <w:tc>
          <w:tcPr>
            <w:tcW w:w="1616" w:type="pct"/>
            <w:tcBorders>
              <w:top w:val="single" w:sz="4" w:space="0" w:color="auto"/>
              <w:left w:val="single" w:sz="4" w:space="0" w:color="auto"/>
              <w:bottom w:val="single" w:sz="4" w:space="0" w:color="auto"/>
              <w:right w:val="single" w:sz="4" w:space="0" w:color="auto"/>
            </w:tcBorders>
            <w:noWrap/>
            <w:vAlign w:val="center"/>
          </w:tcPr>
          <w:p w:rsidR="007F1850" w:rsidRPr="00C73365" w:rsidRDefault="007F1850" w:rsidP="007F1850">
            <w:pPr>
              <w:rPr>
                <w:rFonts w:asciiTheme="minorHAnsi" w:hAnsiTheme="minorHAnsi" w:cstheme="minorHAnsi"/>
                <w:szCs w:val="20"/>
                <w:lang w:val="fr-FR"/>
              </w:rPr>
            </w:pPr>
            <w:r w:rsidRPr="00C73365">
              <w:rPr>
                <w:rFonts w:asciiTheme="minorHAnsi" w:hAnsiTheme="minorHAnsi" w:cstheme="minorHAnsi"/>
                <w:szCs w:val="20"/>
                <w:lang w:val="fr-FR"/>
              </w:rPr>
              <w:t>Section 16.2 et 19.2</w:t>
            </w:r>
          </w:p>
        </w:tc>
      </w:tr>
    </w:tbl>
    <w:p w:rsidR="007F1850" w:rsidRPr="00C73365" w:rsidRDefault="007F1850" w:rsidP="007F1850">
      <w:pPr>
        <w:pStyle w:val="BodyText"/>
        <w:rPr>
          <w:rFonts w:asciiTheme="minorHAnsi" w:hAnsiTheme="minorHAnsi" w:cstheme="minorHAnsi"/>
          <w:b/>
          <w:color w:val="7030A0"/>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sectPr w:rsidR="00F46C7B" w:rsidRPr="00C73365" w:rsidSect="007C607C">
          <w:headerReference w:type="even" r:id="rId109"/>
          <w:footerReference w:type="even" r:id="rId110"/>
          <w:footerReference w:type="default" r:id="rId111"/>
          <w:pgSz w:w="11907" w:h="16840" w:code="9"/>
          <w:pgMar w:top="1134" w:right="1134" w:bottom="1134" w:left="1134" w:header="709" w:footer="709" w:gutter="0"/>
          <w:cols w:space="708"/>
          <w:docGrid w:linePitch="360"/>
        </w:sectPr>
      </w:pPr>
      <w:r w:rsidRPr="00C73365">
        <w:rPr>
          <w:rFonts w:asciiTheme="minorHAnsi" w:hAnsiTheme="minorHAnsi" w:cstheme="minorHAnsi"/>
          <w:lang w:val="fr-FR"/>
        </w:rPr>
        <w:br w:type="page"/>
      </w: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r w:rsidRPr="00C73365">
        <w:rPr>
          <w:rFonts w:asciiTheme="minorHAnsi" w:hAnsiTheme="minorHAnsi" w:cstheme="minorHAnsi"/>
          <w:noProof/>
          <w:lang w:val="fr-FR" w:eastAsia="fr-FR"/>
        </w:rPr>
        <w:t xml:space="preserve"> </w:t>
      </w: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tabs>
          <w:tab w:val="left" w:pos="2326"/>
        </w:tabs>
        <w:spacing w:after="0"/>
        <w:rPr>
          <w:rFonts w:asciiTheme="minorHAnsi" w:hAnsiTheme="minorHAnsi" w:cstheme="minorHAnsi"/>
          <w:lang w:val="fr-FR"/>
        </w:rPr>
      </w:pPr>
      <w:r w:rsidRPr="00C73365">
        <w:rPr>
          <w:rFonts w:asciiTheme="minorHAnsi" w:hAnsiTheme="minorHAnsi" w:cstheme="minorHAnsi"/>
          <w:lang w:val="fr-FR"/>
        </w:rPr>
        <w:tab/>
      </w:r>
    </w:p>
    <w:p w:rsidR="00F46C7B" w:rsidRPr="00C73365" w:rsidRDefault="00F46C7B" w:rsidP="00A96CCA">
      <w:pPr>
        <w:spacing w:after="0"/>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jc w:val="center"/>
        <w:rPr>
          <w:rFonts w:asciiTheme="minorHAnsi" w:hAnsiTheme="minorHAnsi" w:cstheme="minorHAnsi"/>
          <w:color w:val="7030A0"/>
          <w:sz w:val="28"/>
          <w:lang w:val="fr-FR"/>
        </w:rPr>
      </w:pPr>
      <w:r w:rsidRPr="00C73365">
        <w:rPr>
          <w:rFonts w:asciiTheme="minorHAnsi" w:hAnsiTheme="minorHAnsi" w:cstheme="minorHAnsi"/>
          <w:b/>
          <w:bCs/>
          <w:noProof/>
          <w:sz w:val="56"/>
          <w:szCs w:val="44"/>
          <w:lang w:val="fr-FR" w:eastAsia="fr-FR"/>
        </w:rPr>
        <w:drawing>
          <wp:inline distT="0" distB="0" distL="0" distR="0" wp14:anchorId="04128B4F" wp14:editId="56770AF9">
            <wp:extent cx="2105499" cy="464616"/>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abivax_coul.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116304" cy="467000"/>
                    </a:xfrm>
                    <a:prstGeom prst="rect">
                      <a:avLst/>
                    </a:prstGeom>
                  </pic:spPr>
                </pic:pic>
              </a:graphicData>
            </a:graphic>
          </wp:inline>
        </w:drawing>
      </w:r>
    </w:p>
    <w:p w:rsidR="00F46C7B" w:rsidRPr="00C73365" w:rsidRDefault="00F46C7B" w:rsidP="00A96CCA">
      <w:pPr>
        <w:spacing w:after="0"/>
        <w:jc w:val="center"/>
        <w:rPr>
          <w:rFonts w:asciiTheme="minorHAnsi" w:hAnsiTheme="minorHAnsi" w:cstheme="minorHAnsi"/>
          <w:color w:val="7030A0"/>
          <w:sz w:val="28"/>
          <w:lang w:val="fr-FR"/>
        </w:rPr>
      </w:pPr>
    </w:p>
    <w:p w:rsidR="00F46C7B" w:rsidRPr="00C73365" w:rsidRDefault="00F46C7B" w:rsidP="00A96CCA">
      <w:pPr>
        <w:spacing w:after="0"/>
        <w:jc w:val="center"/>
        <w:rPr>
          <w:rFonts w:asciiTheme="minorHAnsi" w:hAnsiTheme="minorHAnsi" w:cstheme="minorHAnsi"/>
          <w:color w:val="7030A0"/>
          <w:sz w:val="28"/>
          <w:lang w:val="fr-FR"/>
        </w:rPr>
      </w:pPr>
    </w:p>
    <w:p w:rsidR="00F46C7B" w:rsidRPr="00C73365" w:rsidRDefault="00F46C7B" w:rsidP="00A96CCA">
      <w:pPr>
        <w:spacing w:after="0"/>
        <w:jc w:val="center"/>
        <w:rPr>
          <w:rFonts w:asciiTheme="minorHAnsi" w:hAnsiTheme="minorHAnsi" w:cstheme="minorHAnsi"/>
          <w:color w:val="7030A0"/>
          <w:sz w:val="28"/>
          <w:lang w:val="fr-FR"/>
        </w:rPr>
      </w:pPr>
      <w:r w:rsidRPr="00C73365">
        <w:rPr>
          <w:rFonts w:asciiTheme="minorHAnsi" w:hAnsiTheme="minorHAnsi" w:cstheme="minorHAnsi"/>
          <w:color w:val="7030A0"/>
          <w:sz w:val="28"/>
          <w:lang w:val="fr-FR"/>
        </w:rPr>
        <w:t>5 rue de la Baume – 75008 Paris</w:t>
      </w:r>
    </w:p>
    <w:p w:rsidR="00F46C7B" w:rsidRPr="00C73365" w:rsidRDefault="00F06F79" w:rsidP="00A96CCA">
      <w:pPr>
        <w:spacing w:after="0"/>
        <w:jc w:val="center"/>
        <w:rPr>
          <w:rFonts w:asciiTheme="minorHAnsi" w:hAnsiTheme="minorHAnsi" w:cstheme="minorHAnsi"/>
          <w:color w:val="7030A0"/>
          <w:sz w:val="28"/>
          <w:lang w:val="fr-FR"/>
        </w:rPr>
      </w:pPr>
      <w:hyperlink r:id="rId113" w:history="1">
        <w:r w:rsidR="004572A0" w:rsidRPr="00C73365">
          <w:rPr>
            <w:rStyle w:val="Hyperlink"/>
            <w:rFonts w:asciiTheme="minorHAnsi" w:hAnsiTheme="minorHAnsi" w:cstheme="minorHAnsi"/>
            <w:sz w:val="28"/>
            <w:lang w:val="fr-FR"/>
          </w:rPr>
          <w:t>info@ABIVAX.com</w:t>
        </w:r>
      </w:hyperlink>
    </w:p>
    <w:p w:rsidR="00F46C7B" w:rsidRPr="00C73365" w:rsidRDefault="00F06F79" w:rsidP="00A96CCA">
      <w:pPr>
        <w:spacing w:after="0"/>
        <w:jc w:val="center"/>
        <w:rPr>
          <w:rFonts w:asciiTheme="minorHAnsi" w:hAnsiTheme="minorHAnsi" w:cstheme="minorHAnsi"/>
          <w:b/>
          <w:color w:val="7030A0"/>
          <w:sz w:val="28"/>
          <w:lang w:val="fr-FR"/>
        </w:rPr>
      </w:pPr>
      <w:hyperlink r:id="rId114" w:history="1">
        <w:r w:rsidR="004572A0" w:rsidRPr="00C73365">
          <w:rPr>
            <w:rStyle w:val="Hyperlink"/>
            <w:rFonts w:asciiTheme="minorHAnsi" w:hAnsiTheme="minorHAnsi" w:cstheme="minorHAnsi"/>
            <w:b/>
            <w:sz w:val="28"/>
            <w:lang w:val="fr-FR"/>
          </w:rPr>
          <w:t>www.ABIVAX.com</w:t>
        </w:r>
      </w:hyperlink>
    </w:p>
    <w:p w:rsidR="00F46C7B" w:rsidRPr="00C73365" w:rsidRDefault="00F46C7B" w:rsidP="00A96CCA">
      <w:pPr>
        <w:spacing w:after="0"/>
        <w:jc w:val="center"/>
        <w:rPr>
          <w:rFonts w:asciiTheme="minorHAnsi" w:hAnsiTheme="minorHAnsi" w:cstheme="minorHAnsi"/>
          <w:lang w:val="fr-FR"/>
        </w:rPr>
      </w:pPr>
    </w:p>
    <w:p w:rsidR="00F46C7B" w:rsidRPr="00C73365" w:rsidRDefault="00F46C7B" w:rsidP="00A96CCA">
      <w:pPr>
        <w:spacing w:after="0"/>
        <w:rPr>
          <w:rFonts w:asciiTheme="minorHAnsi" w:hAnsiTheme="minorHAnsi" w:cstheme="minorHAnsi"/>
          <w:lang w:val="fr-FR"/>
        </w:rPr>
      </w:pPr>
    </w:p>
    <w:p w:rsidR="00840C7E" w:rsidRPr="00C73365" w:rsidRDefault="00840C7E">
      <w:pPr>
        <w:rPr>
          <w:rFonts w:asciiTheme="minorHAnsi" w:hAnsiTheme="minorHAnsi" w:cstheme="minorHAnsi"/>
        </w:rPr>
      </w:pPr>
    </w:p>
    <w:sectPr w:rsidR="00840C7E" w:rsidRPr="00C73365" w:rsidSect="007C607C">
      <w:footerReference w:type="default" r:id="rId11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55DF" w:rsidRDefault="00C255DF" w:rsidP="00F46C7B">
      <w:r>
        <w:separator/>
      </w:r>
    </w:p>
    <w:p w:rsidR="00C255DF" w:rsidRDefault="00C255DF"/>
  </w:endnote>
  <w:endnote w:type="continuationSeparator" w:id="0">
    <w:p w:rsidR="00C255DF" w:rsidRDefault="00C255DF" w:rsidP="00F46C7B">
      <w:r>
        <w:continuationSeparator/>
      </w:r>
    </w:p>
    <w:p w:rsidR="00C255DF" w:rsidRDefault="00C255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illeniaUPC">
    <w:altName w:val="Angsana New"/>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Gras">
    <w:panose1 w:val="00000000000000000000"/>
    <w:charset w:val="00"/>
    <w:family w:val="roman"/>
    <w:notTrueType/>
    <w:pitch w:val="default"/>
    <w:sig w:usb0="00000003" w:usb1="00000000" w:usb2="00000000" w:usb3="00000000" w:csb0="00000001" w:csb1="00000000"/>
  </w:font>
  <w:font w:name="Cambria">
    <w:altName w:val="Palatino Linotype"/>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Times New Roman Gras">
    <w:altName w:val="Times New Roman"/>
    <w:panose1 w:val="00000000000000000000"/>
    <w:charset w:val="00"/>
    <w:family w:val="roman"/>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Compatil Fact LT Com">
    <w:altName w:val="Times New Roman"/>
    <w:panose1 w:val="00000000000000000000"/>
    <w:charset w:val="00"/>
    <w:family w:val="auto"/>
    <w:notTrueType/>
    <w:pitch w:val="variable"/>
    <w:sig w:usb0="00000003" w:usb1="00000000" w:usb2="00000000" w:usb3="00000000" w:csb0="00000001" w:csb1="00000000"/>
  </w:font>
  <w:font w:name="Clarendon Condense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EYInterstate Light">
    <w:altName w:val="Times New Roman"/>
    <w:panose1 w:val="00000000000000000000"/>
    <w:charset w:val="00"/>
    <w:family w:val="auto"/>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ngsanaUPC">
    <w:charset w:val="DE"/>
    <w:family w:val="roman"/>
    <w:pitch w:val="variable"/>
    <w:sig w:usb0="81000003" w:usb1="00000000" w:usb2="00000000" w:usb3="00000000" w:csb0="00010001" w:csb1="00000000"/>
  </w:font>
  <w:font w:name="Candara">
    <w:panose1 w:val="020E0502030303020204"/>
    <w:charset w:val="00"/>
    <w:family w:val="swiss"/>
    <w:pitch w:val="variable"/>
    <w:sig w:usb0="A00002EF" w:usb1="4000A44B" w:usb2="00000000" w:usb3="00000000" w:csb0="0000019F" w:csb1="00000000"/>
  </w:font>
  <w:font w:name="Frutiger-Cn">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eastAsia="Times New Roman" w:hAnsiTheme="minorHAnsi"/>
        <w:b w:val="0"/>
        <w:spacing w:val="60"/>
        <w:sz w:val="18"/>
        <w:szCs w:val="24"/>
        <w:lang w:val="fr-FR"/>
      </w:rPr>
      <w:id w:val="-811095569"/>
      <w:docPartObj>
        <w:docPartGallery w:val="Page Numbers (Bottom of Page)"/>
        <w:docPartUnique/>
      </w:docPartObj>
    </w:sdtPr>
    <w:sdtEndPr>
      <w:rPr>
        <w:sz w:val="14"/>
      </w:rPr>
    </w:sdtEndPr>
    <w:sdtContent>
      <w:p w:rsidR="00C255DF" w:rsidRDefault="00C255DF" w:rsidP="007C607C">
        <w:pPr>
          <w:pStyle w:val="Heading3"/>
          <w:rPr>
            <w:rFonts w:asciiTheme="minorHAnsi" w:hAnsiTheme="minorHAnsi"/>
            <w:b w:val="0"/>
            <w:spacing w:val="60"/>
            <w:sz w:val="14"/>
            <w:lang w:val="fr-FR"/>
          </w:rPr>
        </w:pPr>
        <w:r w:rsidRPr="00DF10BF">
          <w:rPr>
            <w:rFonts w:asciiTheme="minorHAnsi" w:hAnsiTheme="minorHAnsi"/>
            <w:b w:val="0"/>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b w:val="0"/>
            <w:spacing w:val="60"/>
            <w:sz w:val="14"/>
            <w:lang w:val="fr-FR"/>
          </w:rPr>
          <w:fldChar w:fldCharType="separate"/>
        </w:r>
        <w:r>
          <w:rPr>
            <w:rFonts w:asciiTheme="minorHAnsi" w:hAnsiTheme="minorHAnsi"/>
            <w:b w:val="0"/>
            <w:noProof/>
            <w:spacing w:val="60"/>
            <w:sz w:val="14"/>
            <w:lang w:val="fr-FR"/>
          </w:rPr>
          <w:t>43</w:t>
        </w:r>
        <w:r w:rsidRPr="00DF10BF">
          <w:rPr>
            <w:rFonts w:asciiTheme="minorHAnsi" w:hAnsiTheme="minorHAnsi"/>
            <w:b w:val="0"/>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p w:rsidR="00C255DF" w:rsidRPr="00BB0796" w:rsidRDefault="00F06F79" w:rsidP="00AE5743">
        <w:pPr>
          <w:rPr>
            <w:lang w:val="fr-FR"/>
          </w:rP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99</w:t>
    </w:r>
    <w:r>
      <w:rPr>
        <w:rStyle w:val="PageNumber"/>
      </w:rPr>
      <w:fldChar w:fldCharType="end"/>
    </w:r>
  </w:p>
  <w:p w:rsidR="00C255DF" w:rsidRDefault="00C255DF" w:rsidP="00D1541A">
    <w:pPr>
      <w:pStyle w:val="Footer"/>
      <w:spacing w:after="240"/>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99</w:t>
    </w:r>
    <w:r>
      <w:rPr>
        <w:rStyle w:val="PageNumber"/>
      </w:rPr>
      <w:fldChar w:fldCharType="end"/>
    </w:r>
  </w:p>
  <w:p w:rsidR="00C255DF" w:rsidRDefault="00C255DF">
    <w:pPr>
      <w:pStyle w:val="Footer"/>
      <w:spacing w:after="240"/>
      <w:ind w:right="360"/>
    </w:pPr>
  </w:p>
  <w:p w:rsidR="00C255DF" w:rsidRDefault="00C255DF"/>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1705906326"/>
      <w:docPartObj>
        <w:docPartGallery w:val="Page Numbers (Bottom of Page)"/>
        <w:docPartUnique/>
      </w:docPartObj>
    </w:sdtPr>
    <w:sdtEndPr>
      <w:rPr>
        <w:sz w:val="14"/>
      </w:rPr>
    </w:sdtEndPr>
    <w:sdtContent>
      <w:sdt>
        <w:sdtPr>
          <w:rPr>
            <w:rFonts w:asciiTheme="minorHAnsi" w:hAnsiTheme="minorHAnsi"/>
            <w:b w:val="0"/>
            <w:spacing w:val="60"/>
            <w:sz w:val="18"/>
            <w:lang w:val="fr-FR"/>
          </w:rPr>
          <w:id w:val="-1684662275"/>
          <w:docPartObj>
            <w:docPartGallery w:val="Page Numbers (Bottom of Page)"/>
            <w:docPartUnique/>
          </w:docPartObj>
        </w:sdtPr>
        <w:sdtEndPr>
          <w:rPr>
            <w:b/>
            <w:sz w:val="14"/>
          </w:rPr>
        </w:sdtEndPr>
        <w:sdtContent>
          <w:p w:rsidR="00C255DF" w:rsidRPr="003969E7" w:rsidRDefault="00C255DF" w:rsidP="007C607C">
            <w:pPr>
              <w:pStyle w:val="Heading3"/>
              <w:rPr>
                <w:rFonts w:asciiTheme="minorHAnsi" w:eastAsia="Times New Roman" w:hAnsiTheme="minorHAnsi"/>
                <w:b w:val="0"/>
                <w:spacing w:val="60"/>
                <w:sz w:val="14"/>
                <w:szCs w:val="24"/>
                <w:lang w:val="fr-FR"/>
              </w:rPr>
            </w:pPr>
            <w:r w:rsidRPr="00DF10BF">
              <w:rPr>
                <w:rFonts w:asciiTheme="minorHAnsi" w:hAnsiTheme="minorHAnsi"/>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spacing w:val="60"/>
                <w:sz w:val="14"/>
                <w:lang w:val="fr-FR"/>
              </w:rPr>
              <w:fldChar w:fldCharType="separate"/>
            </w:r>
            <w:r>
              <w:rPr>
                <w:rFonts w:asciiTheme="minorHAnsi" w:hAnsiTheme="minorHAnsi"/>
                <w:b w:val="0"/>
                <w:noProof/>
                <w:spacing w:val="60"/>
                <w:sz w:val="14"/>
                <w:lang w:val="fr-FR"/>
              </w:rPr>
              <w:t>200</w:t>
            </w:r>
            <w:r w:rsidRPr="00DF10BF">
              <w:rPr>
                <w:rFonts w:asciiTheme="minorHAnsi" w:hAnsiTheme="minorHAnsi"/>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1296263637"/>
      <w:docPartObj>
        <w:docPartGallery w:val="Page Numbers (Bottom of Page)"/>
        <w:docPartUnique/>
      </w:docPartObj>
    </w:sdtPr>
    <w:sdtEndPr>
      <w:rPr>
        <w:sz w:val="14"/>
      </w:rPr>
    </w:sdtEndPr>
    <w:sdtContent>
      <w:sdt>
        <w:sdtPr>
          <w:rPr>
            <w:rFonts w:asciiTheme="minorHAnsi" w:hAnsiTheme="minorHAnsi"/>
            <w:b w:val="0"/>
            <w:spacing w:val="60"/>
            <w:sz w:val="18"/>
            <w:lang w:val="fr-FR"/>
          </w:rPr>
          <w:id w:val="1919438245"/>
          <w:docPartObj>
            <w:docPartGallery w:val="Page Numbers (Bottom of Page)"/>
            <w:docPartUnique/>
          </w:docPartObj>
        </w:sdtPr>
        <w:sdtEndPr>
          <w:rPr>
            <w:b/>
            <w:sz w:val="14"/>
          </w:rPr>
        </w:sdtEndPr>
        <w:sdtContent>
          <w:p w:rsidR="00C255DF" w:rsidRPr="005942AD" w:rsidRDefault="00C255DF" w:rsidP="00D1541A">
            <w:pPr>
              <w:pStyle w:val="Heading3"/>
              <w:rPr>
                <w:rFonts w:asciiTheme="minorHAnsi" w:hAnsiTheme="minorHAnsi"/>
                <w:spacing w:val="60"/>
                <w:sz w:val="14"/>
                <w:lang w:val="fr-FR"/>
              </w:rPr>
            </w:pPr>
            <w:r w:rsidRPr="00DF10BF">
              <w:rPr>
                <w:rFonts w:asciiTheme="minorHAnsi" w:hAnsiTheme="minorHAnsi"/>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spacing w:val="60"/>
                <w:sz w:val="14"/>
                <w:lang w:val="fr-FR"/>
              </w:rPr>
              <w:fldChar w:fldCharType="separate"/>
            </w:r>
            <w:r>
              <w:rPr>
                <w:rFonts w:asciiTheme="minorHAnsi" w:hAnsiTheme="minorHAnsi"/>
                <w:b w:val="0"/>
                <w:noProof/>
                <w:spacing w:val="60"/>
                <w:sz w:val="14"/>
                <w:lang w:val="fr-FR"/>
              </w:rPr>
              <w:t>203</w:t>
            </w:r>
            <w:r w:rsidRPr="00DF10BF">
              <w:rPr>
                <w:rFonts w:asciiTheme="minorHAnsi" w:hAnsiTheme="minorHAnsi"/>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99</w:t>
    </w:r>
    <w:r>
      <w:rPr>
        <w:rStyle w:val="PageNumber"/>
      </w:rPr>
      <w:fldChar w:fldCharType="end"/>
    </w:r>
  </w:p>
  <w:p w:rsidR="00C255DF" w:rsidRDefault="00C255DF">
    <w:pPr>
      <w:pStyle w:val="Footer"/>
      <w:spacing w:after="240"/>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99</w:t>
    </w:r>
    <w:r>
      <w:rPr>
        <w:rStyle w:val="PageNumber"/>
      </w:rPr>
      <w:fldChar w:fldCharType="end"/>
    </w:r>
  </w:p>
  <w:p w:rsidR="00C255DF" w:rsidRDefault="00C255DF">
    <w:pPr>
      <w:pStyle w:val="Footer"/>
      <w:spacing w:after="240"/>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99</w:t>
    </w:r>
    <w:r>
      <w:rPr>
        <w:rStyle w:val="PageNumber"/>
      </w:rPr>
      <w:fldChar w:fldCharType="end"/>
    </w:r>
  </w:p>
  <w:p w:rsidR="00C255DF" w:rsidRDefault="00C255DF">
    <w:pPr>
      <w:pStyle w:val="Footer"/>
      <w:spacing w:after="240"/>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518124082"/>
      <w:docPartObj>
        <w:docPartGallery w:val="Page Numbers (Bottom of Page)"/>
        <w:docPartUnique/>
      </w:docPartObj>
    </w:sdtPr>
    <w:sdtEndPr>
      <w:rPr>
        <w:sz w:val="14"/>
      </w:rPr>
    </w:sdtEndPr>
    <w:sdtContent>
      <w:sdt>
        <w:sdtPr>
          <w:rPr>
            <w:rFonts w:asciiTheme="minorHAnsi" w:hAnsiTheme="minorHAnsi"/>
            <w:b w:val="0"/>
            <w:spacing w:val="60"/>
            <w:sz w:val="18"/>
            <w:lang w:val="fr-FR"/>
          </w:rPr>
          <w:id w:val="-751352173"/>
          <w:docPartObj>
            <w:docPartGallery w:val="Page Numbers (Bottom of Page)"/>
            <w:docPartUnique/>
          </w:docPartObj>
        </w:sdtPr>
        <w:sdtEndPr>
          <w:rPr>
            <w:b/>
            <w:sz w:val="14"/>
          </w:rPr>
        </w:sdtEndPr>
        <w:sdtContent>
          <w:p w:rsidR="00C255DF" w:rsidRDefault="00C255DF" w:rsidP="007C607C">
            <w:pPr>
              <w:pStyle w:val="Heading3"/>
            </w:pPr>
            <w:r w:rsidRPr="00DF10BF">
              <w:rPr>
                <w:rFonts w:asciiTheme="minorHAnsi" w:hAnsiTheme="minorHAnsi"/>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spacing w:val="60"/>
                <w:sz w:val="14"/>
                <w:lang w:val="fr-FR"/>
              </w:rPr>
              <w:fldChar w:fldCharType="separate"/>
            </w:r>
            <w:r>
              <w:rPr>
                <w:rFonts w:asciiTheme="minorHAnsi" w:hAnsiTheme="minorHAnsi"/>
                <w:b w:val="0"/>
                <w:noProof/>
                <w:spacing w:val="60"/>
                <w:sz w:val="14"/>
                <w:lang w:val="fr-FR"/>
              </w:rPr>
              <w:t>246</w:t>
            </w:r>
            <w:r w:rsidRPr="00DF10BF">
              <w:rPr>
                <w:rFonts w:asciiTheme="minorHAnsi" w:hAnsiTheme="minorHAnsi"/>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1435355042"/>
      <w:docPartObj>
        <w:docPartGallery w:val="Page Numbers (Bottom of Page)"/>
        <w:docPartUnique/>
      </w:docPartObj>
    </w:sdtPr>
    <w:sdtEndPr>
      <w:rPr>
        <w:sz w:val="14"/>
      </w:rPr>
    </w:sdtEndPr>
    <w:sdtContent>
      <w:p w:rsidR="00C255DF" w:rsidRPr="00DF10BF" w:rsidRDefault="00C255DF" w:rsidP="007C607C">
        <w:pPr>
          <w:pStyle w:val="Heading3"/>
          <w:rPr>
            <w:rFonts w:asciiTheme="minorHAnsi" w:hAnsiTheme="minorHAnsi"/>
            <w:b w:val="0"/>
            <w:spacing w:val="60"/>
            <w:sz w:val="14"/>
            <w:lang w:val="fr-FR"/>
          </w:rPr>
        </w:pPr>
      </w:p>
      <w:p w:rsidR="00C255DF" w:rsidRDefault="00F06F79" w:rsidP="007C607C">
        <w:pPr>
          <w:pStyle w:val="Heading3"/>
          <w:ind w:hanging="567"/>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1495324472"/>
      <w:docPartObj>
        <w:docPartGallery w:val="Page Numbers (Bottom of Page)"/>
        <w:docPartUnique/>
      </w:docPartObj>
    </w:sdtPr>
    <w:sdtEndPr>
      <w:rPr>
        <w:b w:val="0"/>
        <w:sz w:val="14"/>
      </w:rPr>
    </w:sdtEndPr>
    <w:sdtContent>
      <w:p w:rsidR="00C255DF" w:rsidRPr="00F030E8" w:rsidRDefault="00C255DF" w:rsidP="00F030E8">
        <w:pPr>
          <w:pStyle w:val="Heading3"/>
          <w:rPr>
            <w:rFonts w:asciiTheme="minorHAnsi" w:hAnsiTheme="minorHAnsi"/>
            <w:b w:val="0"/>
            <w:spacing w:val="60"/>
            <w:sz w:val="14"/>
            <w:lang w:val="fr-FR"/>
          </w:rPr>
        </w:pPr>
        <w:r w:rsidRPr="00DF10BF">
          <w:rPr>
            <w:rFonts w:asciiTheme="minorHAnsi" w:hAnsiTheme="minorHAnsi"/>
            <w:b w:val="0"/>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b w:val="0"/>
            <w:spacing w:val="60"/>
            <w:sz w:val="14"/>
            <w:lang w:val="fr-FR"/>
          </w:rPr>
          <w:fldChar w:fldCharType="separate"/>
        </w:r>
        <w:r>
          <w:rPr>
            <w:rFonts w:asciiTheme="minorHAnsi" w:hAnsiTheme="minorHAnsi"/>
            <w:b w:val="0"/>
            <w:noProof/>
            <w:spacing w:val="60"/>
            <w:sz w:val="14"/>
            <w:lang w:val="fr-FR"/>
          </w:rPr>
          <w:t>44</w:t>
        </w:r>
        <w:r w:rsidRPr="00DF10BF">
          <w:rPr>
            <w:rFonts w:asciiTheme="minorHAnsi" w:hAnsiTheme="minorHAnsi"/>
            <w:b w:val="0"/>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835068956"/>
      <w:docPartObj>
        <w:docPartGallery w:val="Page Numbers (Bottom of Page)"/>
        <w:docPartUnique/>
      </w:docPartObj>
    </w:sdtPr>
    <w:sdtEndPr>
      <w:rPr>
        <w:b w:val="0"/>
        <w:sz w:val="14"/>
      </w:rPr>
    </w:sdtEndPr>
    <w:sdtContent>
      <w:p w:rsidR="00C255DF" w:rsidRDefault="00C255DF" w:rsidP="007C607C">
        <w:pPr>
          <w:pStyle w:val="Heading3"/>
        </w:pPr>
        <w:r w:rsidRPr="00DF10BF">
          <w:rPr>
            <w:rFonts w:asciiTheme="minorHAnsi" w:hAnsiTheme="minorHAnsi"/>
            <w:b w:val="0"/>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b w:val="0"/>
            <w:spacing w:val="60"/>
            <w:sz w:val="14"/>
            <w:lang w:val="fr-FR"/>
          </w:rPr>
          <w:fldChar w:fldCharType="separate"/>
        </w:r>
        <w:r>
          <w:rPr>
            <w:rFonts w:asciiTheme="minorHAnsi" w:hAnsiTheme="minorHAnsi"/>
            <w:b w:val="0"/>
            <w:noProof/>
            <w:spacing w:val="60"/>
            <w:sz w:val="14"/>
            <w:lang w:val="fr-FR"/>
          </w:rPr>
          <w:t>54</w:t>
        </w:r>
        <w:r w:rsidRPr="00DF10BF">
          <w:rPr>
            <w:rFonts w:asciiTheme="minorHAnsi" w:hAnsiTheme="minorHAnsi"/>
            <w:b w:val="0"/>
            <w:spacing w:val="60"/>
            <w:sz w:val="14"/>
            <w:lang w:val="fr-FR"/>
          </w:rPr>
          <w:fldChar w:fldCharType="end"/>
        </w:r>
        <w:r>
          <w:rPr>
            <w:rFonts w:asciiTheme="minorHAnsi" w:hAnsiTheme="minorHAnsi"/>
            <w:b w:val="0"/>
            <w:spacing w:val="60"/>
            <w:sz w:val="14"/>
            <w:lang w:val="fr-FR"/>
          </w:rPr>
          <w:t xml:space="preserve"> | DOCUMENT DE REFERENCE 2018</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b w:val="0"/>
        <w:spacing w:val="60"/>
        <w:sz w:val="18"/>
        <w:lang w:val="fr-FR"/>
      </w:rPr>
      <w:id w:val="-379629255"/>
      <w:docPartObj>
        <w:docPartGallery w:val="Page Numbers (Bottom of Page)"/>
        <w:docPartUnique/>
      </w:docPartObj>
    </w:sdtPr>
    <w:sdtEndPr>
      <w:rPr>
        <w:b/>
        <w:sz w:val="14"/>
      </w:rPr>
    </w:sdtEndPr>
    <w:sdtContent>
      <w:p w:rsidR="00C255DF" w:rsidRDefault="00C255DF" w:rsidP="007C607C">
        <w:pPr>
          <w:pStyle w:val="Heading3"/>
        </w:pPr>
        <w:r w:rsidRPr="00DF10BF">
          <w:rPr>
            <w:rFonts w:asciiTheme="minorHAnsi" w:hAnsiTheme="minorHAnsi"/>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spacing w:val="60"/>
            <w:sz w:val="14"/>
            <w:lang w:val="fr-FR"/>
          </w:rPr>
          <w:fldChar w:fldCharType="separate"/>
        </w:r>
        <w:r>
          <w:rPr>
            <w:rFonts w:asciiTheme="minorHAnsi" w:hAnsiTheme="minorHAnsi"/>
            <w:b w:val="0"/>
            <w:noProof/>
            <w:spacing w:val="60"/>
            <w:sz w:val="14"/>
            <w:lang w:val="fr-FR"/>
          </w:rPr>
          <w:t>128</w:t>
        </w:r>
        <w:r w:rsidRPr="00DF10BF">
          <w:rPr>
            <w:rFonts w:asciiTheme="minorHAnsi" w:hAnsiTheme="minorHAnsi"/>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pacing w:val="60"/>
        <w:sz w:val="18"/>
        <w:lang w:val="fr-FR"/>
      </w:rPr>
      <w:id w:val="1612774871"/>
      <w:docPartObj>
        <w:docPartGallery w:val="Page Numbers (Bottom of Page)"/>
        <w:docPartUnique/>
      </w:docPartObj>
    </w:sdtPr>
    <w:sdtEndPr>
      <w:rPr>
        <w:sz w:val="14"/>
      </w:rPr>
    </w:sdtEndPr>
    <w:sdtContent>
      <w:sdt>
        <w:sdtPr>
          <w:rPr>
            <w:rFonts w:asciiTheme="minorHAnsi" w:hAnsiTheme="minorHAnsi"/>
            <w:b w:val="0"/>
            <w:spacing w:val="60"/>
            <w:sz w:val="18"/>
            <w:lang w:val="fr-FR"/>
          </w:rPr>
          <w:id w:val="-1921166693"/>
          <w:docPartObj>
            <w:docPartGallery w:val="Page Numbers (Bottom of Page)"/>
            <w:docPartUnique/>
          </w:docPartObj>
        </w:sdtPr>
        <w:sdtEndPr>
          <w:rPr>
            <w:b/>
            <w:sz w:val="14"/>
          </w:rPr>
        </w:sdtEndPr>
        <w:sdtContent>
          <w:p w:rsidR="00C255DF" w:rsidRDefault="00C255DF" w:rsidP="007C607C">
            <w:pPr>
              <w:pStyle w:val="Heading3"/>
            </w:pPr>
            <w:r w:rsidRPr="00DF10BF">
              <w:rPr>
                <w:rFonts w:asciiTheme="minorHAnsi" w:hAnsiTheme="minorHAnsi"/>
                <w:spacing w:val="60"/>
                <w:sz w:val="14"/>
                <w:lang w:val="fr-FR"/>
              </w:rPr>
              <w:fldChar w:fldCharType="begin"/>
            </w:r>
            <w:r w:rsidRPr="00DF10BF">
              <w:rPr>
                <w:rFonts w:asciiTheme="minorHAnsi" w:hAnsiTheme="minorHAnsi"/>
                <w:b w:val="0"/>
                <w:spacing w:val="60"/>
                <w:sz w:val="14"/>
                <w:lang w:val="fr-FR"/>
              </w:rPr>
              <w:instrText>PAGE   \* MERGEFORMAT</w:instrText>
            </w:r>
            <w:r w:rsidRPr="00DF10BF">
              <w:rPr>
                <w:rFonts w:asciiTheme="minorHAnsi" w:hAnsiTheme="minorHAnsi"/>
                <w:spacing w:val="60"/>
                <w:sz w:val="14"/>
                <w:lang w:val="fr-FR"/>
              </w:rPr>
              <w:fldChar w:fldCharType="separate"/>
            </w:r>
            <w:r>
              <w:rPr>
                <w:rFonts w:asciiTheme="minorHAnsi" w:hAnsiTheme="minorHAnsi"/>
                <w:b w:val="0"/>
                <w:noProof/>
                <w:spacing w:val="60"/>
                <w:sz w:val="14"/>
                <w:lang w:val="fr-FR"/>
              </w:rPr>
              <w:t>175</w:t>
            </w:r>
            <w:r w:rsidRPr="00DF10BF">
              <w:rPr>
                <w:rFonts w:asciiTheme="minorHAnsi" w:hAnsiTheme="minorHAnsi"/>
                <w:spacing w:val="60"/>
                <w:sz w:val="14"/>
                <w:lang w:val="fr-FR"/>
              </w:rPr>
              <w:fldChar w:fldCharType="end"/>
            </w:r>
            <w:r w:rsidRPr="00DF10BF">
              <w:rPr>
                <w:rFonts w:asciiTheme="minorHAnsi" w:hAnsiTheme="minorHAnsi"/>
                <w:b w:val="0"/>
                <w:spacing w:val="60"/>
                <w:sz w:val="14"/>
                <w:lang w:val="fr-FR"/>
              </w:rPr>
              <w:t xml:space="preserve"> | DOCUMENT DE REFERENCE 201</w:t>
            </w:r>
            <w:r>
              <w:rPr>
                <w:rFonts w:asciiTheme="minorHAnsi" w:hAnsiTheme="minorHAnsi"/>
                <w:b w:val="0"/>
                <w:spacing w:val="60"/>
                <w:sz w:val="14"/>
                <w:lang w:val="fr-FR"/>
              </w:rPr>
              <w:t>8</w:t>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55DF" w:rsidRDefault="00C255DF" w:rsidP="00F46C7B">
      <w:r>
        <w:separator/>
      </w:r>
    </w:p>
    <w:p w:rsidR="00C255DF" w:rsidRDefault="00C255DF"/>
  </w:footnote>
  <w:footnote w:type="continuationSeparator" w:id="0">
    <w:p w:rsidR="00C255DF" w:rsidRDefault="00C255DF" w:rsidP="00F46C7B">
      <w:r>
        <w:continuationSeparator/>
      </w:r>
    </w:p>
    <w:p w:rsidR="00C255DF" w:rsidRDefault="00C255DF"/>
  </w:footnote>
  <w:footnote w:id="1">
    <w:p w:rsidR="00C255DF" w:rsidRPr="00AE4368" w:rsidRDefault="00C255DF" w:rsidP="00F46C7B">
      <w:pPr>
        <w:pStyle w:val="FootnoteText"/>
        <w:rPr>
          <w:rFonts w:asciiTheme="minorHAnsi" w:hAnsiTheme="minorHAnsi"/>
          <w:sz w:val="18"/>
          <w:szCs w:val="18"/>
          <w:lang w:val="fr-FR"/>
        </w:rPr>
      </w:pPr>
      <w:r w:rsidRPr="00AE4368">
        <w:rPr>
          <w:rStyle w:val="FootnoteReference"/>
          <w:rFonts w:asciiTheme="minorHAnsi" w:hAnsiTheme="minorHAnsi"/>
          <w:sz w:val="18"/>
          <w:szCs w:val="18"/>
        </w:rPr>
        <w:footnoteRef/>
      </w:r>
      <w:r>
        <w:rPr>
          <w:rFonts w:asciiTheme="minorHAnsi" w:hAnsiTheme="minorHAnsi"/>
          <w:sz w:val="18"/>
          <w:szCs w:val="18"/>
          <w:lang w:val="fr-FR"/>
        </w:rPr>
        <w:t xml:space="preserve"> </w:t>
      </w:r>
      <w:r w:rsidRPr="00AE4368">
        <w:rPr>
          <w:rFonts w:asciiTheme="minorHAnsi" w:hAnsiTheme="minorHAnsi"/>
          <w:sz w:val="18"/>
          <w:szCs w:val="18"/>
          <w:lang w:val="fr-FR"/>
        </w:rPr>
        <w:t>Dénommée « plateforme épissage » dans le Document de Base du 19 Mai 2015</w:t>
      </w:r>
    </w:p>
  </w:footnote>
  <w:footnote w:id="2">
    <w:p w:rsidR="00C255DF" w:rsidRPr="00AE4368" w:rsidRDefault="00C255DF" w:rsidP="00F46C7B">
      <w:pPr>
        <w:pStyle w:val="FootnoteText"/>
        <w:rPr>
          <w:rFonts w:asciiTheme="minorHAnsi" w:hAnsiTheme="minorHAnsi"/>
          <w:sz w:val="18"/>
          <w:szCs w:val="18"/>
          <w:lang w:val="fr-FR"/>
        </w:rPr>
      </w:pPr>
      <w:r w:rsidRPr="00AE4368">
        <w:rPr>
          <w:rStyle w:val="FootnoteReference"/>
          <w:rFonts w:asciiTheme="minorHAnsi" w:hAnsiTheme="minorHAnsi"/>
          <w:sz w:val="18"/>
          <w:szCs w:val="18"/>
        </w:rPr>
        <w:footnoteRef/>
      </w:r>
      <w:r w:rsidRPr="00AE4368">
        <w:rPr>
          <w:rFonts w:asciiTheme="minorHAnsi" w:hAnsiTheme="minorHAnsi"/>
          <w:sz w:val="18"/>
          <w:szCs w:val="18"/>
          <w:lang w:val="fr-FR"/>
        </w:rPr>
        <w:t xml:space="preserve"> Dénommée « plateforme adjuvants » dans le Document de Base du 19 Mai 2015</w:t>
      </w:r>
    </w:p>
  </w:footnote>
  <w:footnote w:id="3">
    <w:p w:rsidR="00C255DF" w:rsidRPr="00033D1F" w:rsidRDefault="00C255DF" w:rsidP="00F46C7B">
      <w:pPr>
        <w:pStyle w:val="FootnoteText"/>
        <w:rPr>
          <w:sz w:val="16"/>
          <w:szCs w:val="16"/>
          <w:lang w:val="fr-FR"/>
        </w:rPr>
      </w:pPr>
      <w:r w:rsidRPr="00AE4368">
        <w:rPr>
          <w:rStyle w:val="FootnoteReference"/>
          <w:rFonts w:asciiTheme="minorHAnsi" w:hAnsiTheme="minorHAnsi"/>
          <w:sz w:val="18"/>
          <w:szCs w:val="18"/>
        </w:rPr>
        <w:footnoteRef/>
      </w:r>
      <w:r w:rsidRPr="00AE4368">
        <w:rPr>
          <w:rFonts w:asciiTheme="minorHAnsi" w:hAnsiTheme="minorHAnsi"/>
          <w:sz w:val="18"/>
          <w:szCs w:val="18"/>
          <w:lang w:val="fr-FR"/>
        </w:rPr>
        <w:t xml:space="preserve"> Projet existant au moment du Document de Base du 19 Mai 2015 mais non encore structuré en plateforme</w:t>
      </w:r>
    </w:p>
  </w:footnote>
  <w:footnote w:id="4">
    <w:p w:rsidR="00C255DF" w:rsidRPr="00382114" w:rsidRDefault="00C255DF" w:rsidP="00943434">
      <w:pPr>
        <w:pStyle w:val="FootnoteText"/>
        <w:rPr>
          <w:rFonts w:asciiTheme="minorHAnsi" w:hAnsiTheme="minorHAnsi"/>
        </w:rPr>
      </w:pPr>
      <w:r w:rsidRPr="00701CDA">
        <w:rPr>
          <w:rStyle w:val="FootnoteReference"/>
          <w:rFonts w:asciiTheme="minorHAnsi" w:eastAsia="SimSun" w:hAnsiTheme="minorHAnsi"/>
        </w:rPr>
        <w:footnoteRef/>
      </w:r>
      <w:r w:rsidRPr="00701CDA">
        <w:rPr>
          <w:rFonts w:asciiTheme="minorHAnsi" w:hAnsiTheme="minorHAnsi"/>
        </w:rPr>
        <w:t xml:space="preserve"> </w:t>
      </w:r>
      <w:r w:rsidRPr="00701CDA">
        <w:rPr>
          <w:rStyle w:val="reference-text"/>
          <w:rFonts w:asciiTheme="minorHAnsi" w:hAnsiTheme="minorHAnsi"/>
          <w:sz w:val="18"/>
        </w:rPr>
        <w:t>Mandell, Bennett, and Dolan (2010). Chapter 118. (cited in http://en.wikipedia.org/wiki/HIV/AIDS)</w:t>
      </w:r>
    </w:p>
  </w:footnote>
  <w:footnote w:id="5">
    <w:p w:rsidR="00C255DF" w:rsidRPr="004C730F" w:rsidRDefault="00C255DF" w:rsidP="00943434">
      <w:pPr>
        <w:pStyle w:val="FootnoteText"/>
      </w:pPr>
      <w:r>
        <w:rPr>
          <w:rStyle w:val="FootnoteReference"/>
          <w:rFonts w:eastAsia="SimSun"/>
        </w:rPr>
        <w:footnoteRef/>
      </w:r>
      <w:r>
        <w:t xml:space="preserve"> </w:t>
      </w:r>
      <w:r>
        <w:rPr>
          <w:rStyle w:val="reference-text"/>
          <w:rFonts w:asciiTheme="minorHAnsi" w:hAnsiTheme="minorHAnsi"/>
          <w:sz w:val="18"/>
        </w:rPr>
        <w:t>UNAIDS 2017</w:t>
      </w:r>
    </w:p>
  </w:footnote>
  <w:footnote w:id="6">
    <w:p w:rsidR="00C255DF" w:rsidRPr="00860311" w:rsidRDefault="00C255DF">
      <w:pPr>
        <w:pStyle w:val="FootnoteText"/>
      </w:pPr>
      <w:r>
        <w:rPr>
          <w:rStyle w:val="FootnoteReference"/>
        </w:rPr>
        <w:footnoteRef/>
      </w:r>
      <w:r>
        <w:t xml:space="preserve">  Global Data</w:t>
      </w:r>
    </w:p>
  </w:footnote>
  <w:footnote w:id="7">
    <w:p w:rsidR="00C255DF" w:rsidRPr="0026396C" w:rsidRDefault="00C255DF" w:rsidP="00943434">
      <w:pPr>
        <w:pStyle w:val="Heading4"/>
        <w:shd w:val="clear" w:color="auto" w:fill="FFFFFF"/>
        <w:spacing w:before="0" w:after="0"/>
        <w:rPr>
          <w:rFonts w:asciiTheme="minorHAnsi" w:hAnsiTheme="minorHAnsi" w:cs="Arial"/>
          <w:b w:val="0"/>
          <w:sz w:val="18"/>
          <w:szCs w:val="18"/>
        </w:rPr>
      </w:pPr>
      <w:r w:rsidRPr="0026396C">
        <w:rPr>
          <w:rStyle w:val="FootnoteReference"/>
          <w:rFonts w:asciiTheme="minorHAnsi" w:hAnsiTheme="minorHAnsi"/>
          <w:sz w:val="18"/>
          <w:szCs w:val="18"/>
        </w:rPr>
        <w:footnoteRef/>
      </w:r>
      <w:r w:rsidRPr="0026396C">
        <w:rPr>
          <w:rFonts w:asciiTheme="minorHAnsi" w:hAnsiTheme="minorHAnsi"/>
          <w:sz w:val="18"/>
          <w:szCs w:val="18"/>
        </w:rPr>
        <w:t xml:space="preserve"> </w:t>
      </w:r>
      <w:hyperlink r:id="rId1" w:tooltip="Antiviral therapy." w:history="1">
        <w:r w:rsidRPr="0026396C">
          <w:rPr>
            <w:rFonts w:asciiTheme="minorHAnsi" w:hAnsiTheme="minorHAnsi" w:cs="Arial"/>
            <w:b w:val="0"/>
            <w:sz w:val="18"/>
            <w:szCs w:val="18"/>
            <w:u w:val="single"/>
          </w:rPr>
          <w:t>Antivir Ther.</w:t>
        </w:r>
      </w:hyperlink>
      <w:r w:rsidRPr="0026396C">
        <w:rPr>
          <w:rFonts w:asciiTheme="minorHAnsi" w:hAnsiTheme="minorHAnsi" w:cs="Arial"/>
          <w:b w:val="0"/>
          <w:sz w:val="18"/>
          <w:szCs w:val="18"/>
        </w:rPr>
        <w:t xml:space="preserve"> 2013;18(6):831-6. doi: 10.3851/IMP2650. Epub 2013 Jun 5. - Implications of </w:t>
      </w:r>
      <w:r w:rsidRPr="0026396C">
        <w:rPr>
          <w:rStyle w:val="highlight2"/>
          <w:rFonts w:asciiTheme="minorHAnsi" w:hAnsiTheme="minorHAnsi" w:cs="Arial"/>
          <w:b w:val="0"/>
          <w:sz w:val="18"/>
          <w:szCs w:val="18"/>
        </w:rPr>
        <w:t>HIV</w:t>
      </w:r>
      <w:r w:rsidRPr="0026396C">
        <w:rPr>
          <w:rFonts w:asciiTheme="minorHAnsi" w:hAnsiTheme="minorHAnsi" w:cs="Arial"/>
          <w:b w:val="0"/>
          <w:sz w:val="18"/>
          <w:szCs w:val="18"/>
        </w:rPr>
        <w:t xml:space="preserve"> </w:t>
      </w:r>
      <w:r w:rsidRPr="0026396C">
        <w:rPr>
          <w:rStyle w:val="highlight2"/>
          <w:rFonts w:asciiTheme="minorHAnsi" w:hAnsiTheme="minorHAnsi" w:cs="Arial"/>
          <w:b w:val="0"/>
          <w:sz w:val="18"/>
          <w:szCs w:val="18"/>
        </w:rPr>
        <w:t>drug</w:t>
      </w:r>
      <w:r w:rsidRPr="0026396C">
        <w:rPr>
          <w:rFonts w:asciiTheme="minorHAnsi" w:hAnsiTheme="minorHAnsi" w:cs="Arial"/>
          <w:b w:val="0"/>
          <w:sz w:val="18"/>
          <w:szCs w:val="18"/>
        </w:rPr>
        <w:t xml:space="preserve"> </w:t>
      </w:r>
      <w:r w:rsidRPr="0026396C">
        <w:rPr>
          <w:rStyle w:val="highlight2"/>
          <w:rFonts w:asciiTheme="minorHAnsi" w:hAnsiTheme="minorHAnsi" w:cs="Arial"/>
          <w:b w:val="0"/>
          <w:sz w:val="18"/>
          <w:szCs w:val="18"/>
        </w:rPr>
        <w:t>resistance</w:t>
      </w:r>
      <w:r w:rsidRPr="0026396C">
        <w:rPr>
          <w:rFonts w:asciiTheme="minorHAnsi" w:hAnsiTheme="minorHAnsi" w:cs="Arial"/>
          <w:b w:val="0"/>
          <w:sz w:val="18"/>
          <w:szCs w:val="18"/>
        </w:rPr>
        <w:t xml:space="preserve"> on first- and second-line therapies in resource-limited settings</w:t>
      </w:r>
    </w:p>
    <w:p w:rsidR="00C255DF" w:rsidRPr="004366F1" w:rsidRDefault="00F06F79" w:rsidP="00943434">
      <w:pPr>
        <w:shd w:val="clear" w:color="auto" w:fill="FFFFFF"/>
        <w:rPr>
          <w:rFonts w:asciiTheme="minorHAnsi" w:hAnsiTheme="minorHAnsi"/>
          <w:sz w:val="18"/>
          <w:szCs w:val="18"/>
        </w:rPr>
      </w:pPr>
      <w:hyperlink r:id="rId2" w:history="1">
        <w:r w:rsidR="00C255DF" w:rsidRPr="0026396C">
          <w:rPr>
            <w:rFonts w:asciiTheme="minorHAnsi" w:hAnsiTheme="minorHAnsi" w:cs="Arial"/>
            <w:sz w:val="18"/>
            <w:szCs w:val="18"/>
            <w:u w:val="single"/>
          </w:rPr>
          <w:t>Pillay D</w:t>
        </w:r>
      </w:hyperlink>
      <w:r w:rsidR="00C255DF" w:rsidRPr="0026396C">
        <w:rPr>
          <w:rFonts w:asciiTheme="minorHAnsi" w:hAnsiTheme="minorHAnsi" w:cs="Arial"/>
          <w:sz w:val="18"/>
          <w:szCs w:val="18"/>
          <w:vertAlign w:val="superscript"/>
        </w:rPr>
        <w:t>1</w:t>
      </w:r>
      <w:r w:rsidR="00C255DF" w:rsidRPr="0026396C">
        <w:rPr>
          <w:rFonts w:asciiTheme="minorHAnsi" w:hAnsiTheme="minorHAnsi" w:cs="Arial"/>
          <w:sz w:val="18"/>
          <w:szCs w:val="18"/>
        </w:rPr>
        <w:t xml:space="preserve">, </w:t>
      </w:r>
      <w:hyperlink r:id="rId3" w:history="1">
        <w:r w:rsidR="00C255DF" w:rsidRPr="0026396C">
          <w:rPr>
            <w:rFonts w:asciiTheme="minorHAnsi" w:hAnsiTheme="minorHAnsi" w:cs="Arial"/>
            <w:sz w:val="18"/>
            <w:szCs w:val="18"/>
            <w:u w:val="single"/>
          </w:rPr>
          <w:t>Albert J</w:t>
        </w:r>
      </w:hyperlink>
      <w:r w:rsidR="00C255DF" w:rsidRPr="0026396C">
        <w:rPr>
          <w:rFonts w:asciiTheme="minorHAnsi" w:hAnsiTheme="minorHAnsi" w:cs="Arial"/>
          <w:sz w:val="18"/>
          <w:szCs w:val="18"/>
        </w:rPr>
        <w:t xml:space="preserve">, </w:t>
      </w:r>
      <w:hyperlink r:id="rId4" w:history="1">
        <w:r w:rsidR="00C255DF" w:rsidRPr="0026396C">
          <w:rPr>
            <w:rFonts w:asciiTheme="minorHAnsi" w:hAnsiTheme="minorHAnsi" w:cs="Arial"/>
            <w:sz w:val="18"/>
            <w:szCs w:val="18"/>
            <w:u w:val="single"/>
          </w:rPr>
          <w:t>Bertagnolio S</w:t>
        </w:r>
      </w:hyperlink>
      <w:r w:rsidR="00C255DF" w:rsidRPr="0026396C">
        <w:rPr>
          <w:rFonts w:asciiTheme="minorHAnsi" w:hAnsiTheme="minorHAnsi" w:cs="Arial"/>
          <w:sz w:val="18"/>
          <w:szCs w:val="18"/>
        </w:rPr>
        <w:t xml:space="preserve">, </w:t>
      </w:r>
      <w:hyperlink r:id="rId5" w:history="1">
        <w:r w:rsidR="00C255DF" w:rsidRPr="0026396C">
          <w:rPr>
            <w:rFonts w:asciiTheme="minorHAnsi" w:hAnsiTheme="minorHAnsi" w:cs="Arial"/>
            <w:sz w:val="18"/>
            <w:szCs w:val="18"/>
            <w:u w:val="single"/>
          </w:rPr>
          <w:t>Boucher C</w:t>
        </w:r>
      </w:hyperlink>
      <w:r w:rsidR="00C255DF" w:rsidRPr="0026396C">
        <w:rPr>
          <w:rFonts w:asciiTheme="minorHAnsi" w:hAnsiTheme="minorHAnsi" w:cs="Arial"/>
          <w:sz w:val="18"/>
          <w:szCs w:val="18"/>
        </w:rPr>
        <w:t xml:space="preserve">, </w:t>
      </w:r>
      <w:hyperlink r:id="rId6" w:history="1">
        <w:r w:rsidR="00C255DF" w:rsidRPr="004366F1">
          <w:rPr>
            <w:rFonts w:asciiTheme="minorHAnsi" w:hAnsiTheme="minorHAnsi" w:cs="Arial"/>
            <w:sz w:val="18"/>
            <w:szCs w:val="18"/>
            <w:u w:val="single"/>
          </w:rPr>
          <w:t>Brun-Vezinet F</w:t>
        </w:r>
      </w:hyperlink>
      <w:r w:rsidR="00C255DF" w:rsidRPr="0026396C">
        <w:rPr>
          <w:rFonts w:asciiTheme="minorHAnsi" w:hAnsiTheme="minorHAnsi" w:cs="Arial"/>
          <w:sz w:val="18"/>
          <w:szCs w:val="18"/>
        </w:rPr>
        <w:t xml:space="preserve">, </w:t>
      </w:r>
      <w:hyperlink r:id="rId7" w:history="1">
        <w:r w:rsidR="00C255DF" w:rsidRPr="0026396C">
          <w:rPr>
            <w:rFonts w:asciiTheme="minorHAnsi" w:hAnsiTheme="minorHAnsi" w:cs="Arial"/>
            <w:sz w:val="18"/>
            <w:szCs w:val="18"/>
            <w:u w:val="single"/>
          </w:rPr>
          <w:t>Clotet B</w:t>
        </w:r>
      </w:hyperlink>
      <w:r w:rsidR="00C255DF" w:rsidRPr="0026396C">
        <w:rPr>
          <w:rFonts w:asciiTheme="minorHAnsi" w:hAnsiTheme="minorHAnsi" w:cs="Arial"/>
          <w:sz w:val="18"/>
          <w:szCs w:val="18"/>
        </w:rPr>
        <w:t xml:space="preserve">, </w:t>
      </w:r>
      <w:hyperlink r:id="rId8" w:history="1">
        <w:r w:rsidR="00C255DF" w:rsidRPr="004366F1">
          <w:rPr>
            <w:rFonts w:asciiTheme="minorHAnsi" w:hAnsiTheme="minorHAnsi" w:cs="Arial"/>
            <w:sz w:val="18"/>
            <w:szCs w:val="18"/>
            <w:u w:val="single"/>
          </w:rPr>
          <w:t>Giaquinto C</w:t>
        </w:r>
      </w:hyperlink>
      <w:r w:rsidR="00C255DF" w:rsidRPr="004366F1">
        <w:rPr>
          <w:rFonts w:asciiTheme="minorHAnsi" w:hAnsiTheme="minorHAnsi" w:cs="Arial"/>
          <w:sz w:val="18"/>
          <w:szCs w:val="18"/>
        </w:rPr>
        <w:t xml:space="preserve">, </w:t>
      </w:r>
      <w:hyperlink r:id="rId9" w:history="1">
        <w:r w:rsidR="00C255DF" w:rsidRPr="004366F1">
          <w:rPr>
            <w:rFonts w:asciiTheme="minorHAnsi" w:hAnsiTheme="minorHAnsi" w:cs="Arial"/>
            <w:sz w:val="18"/>
            <w:szCs w:val="18"/>
            <w:u w:val="single"/>
          </w:rPr>
          <w:t>Perno CF</w:t>
        </w:r>
      </w:hyperlink>
      <w:r w:rsidR="00C255DF" w:rsidRPr="004366F1">
        <w:rPr>
          <w:rFonts w:asciiTheme="minorHAnsi" w:hAnsiTheme="minorHAnsi" w:cs="Arial"/>
          <w:sz w:val="18"/>
          <w:szCs w:val="18"/>
        </w:rPr>
        <w:t>.</w:t>
      </w:r>
    </w:p>
  </w:footnote>
  <w:footnote w:id="8">
    <w:p w:rsidR="00C255DF" w:rsidRPr="00382114" w:rsidRDefault="00C255DF" w:rsidP="00943434">
      <w:pPr>
        <w:pStyle w:val="FootnoteText"/>
        <w:rPr>
          <w:rFonts w:asciiTheme="minorHAnsi" w:hAnsiTheme="minorHAnsi"/>
        </w:rPr>
      </w:pPr>
      <w:r w:rsidRPr="004366F1">
        <w:rPr>
          <w:rStyle w:val="FootnoteReference"/>
          <w:rFonts w:asciiTheme="minorHAnsi" w:eastAsia="SimSun" w:hAnsiTheme="minorHAnsi"/>
          <w:sz w:val="18"/>
          <w:szCs w:val="18"/>
        </w:rPr>
        <w:footnoteRef/>
      </w:r>
      <w:r w:rsidRPr="004366F1">
        <w:rPr>
          <w:rFonts w:asciiTheme="minorHAnsi" w:hAnsiTheme="minorHAnsi"/>
          <w:sz w:val="18"/>
          <w:szCs w:val="18"/>
        </w:rPr>
        <w:t xml:space="preserve"> UNAIDS, Decision Resources, </w:t>
      </w:r>
      <w:r>
        <w:rPr>
          <w:rFonts w:asciiTheme="minorHAnsi" w:hAnsiTheme="minorHAnsi"/>
          <w:sz w:val="18"/>
          <w:szCs w:val="18"/>
        </w:rPr>
        <w:t>ABIVAX</w:t>
      </w:r>
    </w:p>
  </w:footnote>
  <w:footnote w:id="9">
    <w:p w:rsidR="00C255DF" w:rsidRPr="000B0F94" w:rsidRDefault="00C255DF" w:rsidP="000B0F94">
      <w:pPr>
        <w:rPr>
          <w:rFonts w:asciiTheme="minorHAnsi" w:hAnsiTheme="minorHAnsi"/>
          <w:sz w:val="16"/>
          <w:szCs w:val="16"/>
        </w:rPr>
      </w:pPr>
      <w:r w:rsidRPr="000B0F94">
        <w:rPr>
          <w:rStyle w:val="FootnoteReference"/>
          <w:sz w:val="16"/>
          <w:szCs w:val="16"/>
        </w:rPr>
        <w:footnoteRef/>
      </w:r>
      <w:r w:rsidRPr="000B0F94">
        <w:rPr>
          <w:sz w:val="16"/>
          <w:szCs w:val="16"/>
        </w:rPr>
        <w:t xml:space="preserve"> </w:t>
      </w:r>
      <w:r w:rsidRPr="000B0F94">
        <w:rPr>
          <w:rFonts w:asciiTheme="minorHAnsi" w:hAnsiTheme="minorHAnsi"/>
          <w:sz w:val="16"/>
          <w:szCs w:val="16"/>
        </w:rPr>
        <w:t>Decision Resources – HIV 2015 –  All right reserved</w:t>
      </w:r>
    </w:p>
    <w:p w:rsidR="00C255DF" w:rsidRPr="000B0F94" w:rsidRDefault="00C255DF">
      <w:pPr>
        <w:pStyle w:val="FootnoteText"/>
      </w:pPr>
    </w:p>
  </w:footnote>
  <w:footnote w:id="10">
    <w:p w:rsidR="00C255DF" w:rsidRPr="00A64BA1" w:rsidRDefault="00C255DF">
      <w:pPr>
        <w:pStyle w:val="FootnoteText"/>
      </w:pPr>
      <w:r>
        <w:rPr>
          <w:rStyle w:val="FootnoteReference"/>
        </w:rPr>
        <w:footnoteRef/>
      </w:r>
      <w:r>
        <w:t xml:space="preserve"> </w:t>
      </w:r>
      <w:r w:rsidRPr="006200D4">
        <w:rPr>
          <w:rStyle w:val="reference-text"/>
          <w:rFonts w:asciiTheme="minorHAnsi" w:hAnsiTheme="minorHAnsi"/>
          <w:sz w:val="18"/>
          <w:szCs w:val="18"/>
        </w:rPr>
        <w:t>Global Aids 201</w:t>
      </w:r>
      <w:r>
        <w:rPr>
          <w:rStyle w:val="reference-text"/>
          <w:rFonts w:asciiTheme="minorHAnsi" w:hAnsiTheme="minorHAnsi"/>
          <w:sz w:val="18"/>
          <w:szCs w:val="18"/>
        </w:rPr>
        <w:t>7</w:t>
      </w:r>
      <w:r w:rsidRPr="006200D4">
        <w:rPr>
          <w:rStyle w:val="reference-text"/>
          <w:rFonts w:asciiTheme="minorHAnsi" w:hAnsiTheme="minorHAnsi"/>
          <w:sz w:val="18"/>
          <w:szCs w:val="18"/>
        </w:rPr>
        <w:t xml:space="preserve"> UNAIDS</w:t>
      </w:r>
    </w:p>
  </w:footnote>
  <w:footnote w:id="11">
    <w:p w:rsidR="00C255DF" w:rsidRPr="006200D4" w:rsidRDefault="00C255DF" w:rsidP="00943434">
      <w:pPr>
        <w:pStyle w:val="FootnoteText"/>
        <w:rPr>
          <w:rFonts w:asciiTheme="minorHAnsi" w:hAnsiTheme="minorHAnsi"/>
          <w:sz w:val="18"/>
        </w:rPr>
      </w:pPr>
      <w:r w:rsidRPr="006200D4">
        <w:rPr>
          <w:rStyle w:val="FootnoteReference"/>
          <w:rFonts w:asciiTheme="minorHAnsi" w:eastAsia="SimSun" w:hAnsiTheme="minorHAnsi"/>
          <w:sz w:val="18"/>
        </w:rPr>
        <w:footnoteRef/>
      </w:r>
      <w:r w:rsidRPr="006200D4">
        <w:rPr>
          <w:rFonts w:asciiTheme="minorHAnsi" w:hAnsiTheme="minorHAnsi"/>
          <w:sz w:val="18"/>
        </w:rPr>
        <w:t xml:space="preserve"> The Economist – 2</w:t>
      </w:r>
      <w:r w:rsidRPr="006200D4">
        <w:rPr>
          <w:rFonts w:asciiTheme="minorHAnsi" w:hAnsiTheme="minorHAnsi"/>
          <w:sz w:val="18"/>
          <w:vertAlign w:val="superscript"/>
        </w:rPr>
        <w:t>nd</w:t>
      </w:r>
      <w:r w:rsidRPr="006200D4">
        <w:rPr>
          <w:rFonts w:asciiTheme="minorHAnsi" w:hAnsiTheme="minorHAnsi"/>
          <w:sz w:val="18"/>
        </w:rPr>
        <w:t xml:space="preserve"> June 2012- The business of HIV: Battling the virus</w:t>
      </w:r>
    </w:p>
  </w:footnote>
  <w:footnote w:id="12">
    <w:p w:rsidR="00C255DF" w:rsidRPr="006200D4" w:rsidRDefault="00C255DF" w:rsidP="00943434">
      <w:pPr>
        <w:pStyle w:val="FootnoteText"/>
        <w:spacing w:line="216" w:lineRule="auto"/>
        <w:rPr>
          <w:rFonts w:asciiTheme="minorHAnsi" w:hAnsiTheme="minorHAnsi"/>
          <w:lang w:val="fr-FR"/>
        </w:rPr>
      </w:pPr>
      <w:r w:rsidRPr="006200D4">
        <w:rPr>
          <w:rStyle w:val="FootnoteReference"/>
          <w:rFonts w:asciiTheme="minorHAnsi" w:eastAsia="SimSun" w:hAnsiTheme="minorHAnsi"/>
          <w:sz w:val="18"/>
        </w:rPr>
        <w:footnoteRef/>
      </w:r>
      <w:r w:rsidRPr="006200D4">
        <w:rPr>
          <w:rFonts w:asciiTheme="minorHAnsi" w:hAnsiTheme="minorHAnsi"/>
          <w:sz w:val="18"/>
          <w:lang w:val="fr-FR"/>
        </w:rPr>
        <w:t xml:space="preserve"> http://www.clintonhealthaccess.org/</w:t>
      </w:r>
    </w:p>
  </w:footnote>
  <w:footnote w:id="13">
    <w:p w:rsidR="00C255DF" w:rsidRPr="006200D4" w:rsidRDefault="00C255DF" w:rsidP="00B67A56">
      <w:pPr>
        <w:pStyle w:val="NormalWeb"/>
        <w:spacing w:before="0" w:beforeAutospacing="0" w:after="0" w:afterAutospacing="0" w:line="216" w:lineRule="auto"/>
        <w:rPr>
          <w:rFonts w:asciiTheme="minorHAnsi" w:hAnsiTheme="minorHAnsi"/>
          <w:sz w:val="18"/>
          <w:szCs w:val="18"/>
          <w:lang w:val="fr-FR"/>
        </w:rPr>
      </w:pPr>
      <w:r w:rsidRPr="006200D4">
        <w:rPr>
          <w:rStyle w:val="FootnoteReference"/>
          <w:rFonts w:asciiTheme="minorHAnsi" w:eastAsia="SimSun" w:hAnsiTheme="minorHAnsi"/>
          <w:sz w:val="18"/>
          <w:szCs w:val="18"/>
        </w:rPr>
        <w:footnoteRef/>
      </w:r>
      <w:r w:rsidRPr="006200D4">
        <w:rPr>
          <w:rFonts w:asciiTheme="minorHAnsi" w:hAnsiTheme="minorHAnsi"/>
          <w:sz w:val="18"/>
          <w:szCs w:val="18"/>
          <w:lang w:val="fr-FR"/>
        </w:rPr>
        <w:t xml:space="preserve"> La </w:t>
      </w:r>
      <w:r w:rsidRPr="006200D4">
        <w:rPr>
          <w:rFonts w:asciiTheme="minorHAnsi" w:hAnsiTheme="minorHAnsi"/>
          <w:b/>
          <w:bCs/>
          <w:sz w:val="18"/>
          <w:szCs w:val="18"/>
          <w:lang w:val="fr-FR"/>
        </w:rPr>
        <w:t>protéomique</w:t>
      </w:r>
      <w:r w:rsidRPr="006200D4">
        <w:rPr>
          <w:rFonts w:asciiTheme="minorHAnsi" w:hAnsiTheme="minorHAnsi"/>
          <w:sz w:val="18"/>
          <w:szCs w:val="18"/>
          <w:lang w:val="fr-FR"/>
        </w:rPr>
        <w:t xml:space="preserve"> est l’étude les protéomes, c'est-à-dire l'ensemble des protéines d'une cellule, d'un tissu, d'un organe ou d'un organisme à un moment donné et sous des conditions données. Dans la pratique, la protéomique s'attache à identifier les protéines extraites d'une culture cellulaire, d'un tissu ou d'un fluide biologique, leur localisation dans les compartiments cellulaires, leurs éventuelles modifications post-traductionnelles ainsi que leur quantité. Elle permet de quantifier les variations de leur taux d'expression en fonction du temps, de leur environnement, de leur état de développement, de leur état physiologique et pathologique, de l'espèce d'origine. Elle étudie aussi les interactions que les protéines ont avec d'autres protéines, avec l'ADN ou l'ARN, ou d'autres substances.</w:t>
      </w:r>
    </w:p>
  </w:footnote>
  <w:footnote w:id="14">
    <w:p w:rsidR="00C255DF" w:rsidRPr="00DB76EC" w:rsidRDefault="00C255DF" w:rsidP="00B67A56">
      <w:pPr>
        <w:pStyle w:val="FootnoteText"/>
        <w:spacing w:line="216" w:lineRule="auto"/>
        <w:rPr>
          <w:rFonts w:asciiTheme="minorHAnsi" w:hAnsiTheme="minorHAnsi"/>
          <w:lang w:val="fr-FR"/>
        </w:rPr>
      </w:pPr>
      <w:r w:rsidRPr="006200D4">
        <w:rPr>
          <w:rStyle w:val="FootnoteReference"/>
          <w:rFonts w:asciiTheme="minorHAnsi" w:eastAsia="SimSun" w:hAnsiTheme="minorHAnsi"/>
          <w:sz w:val="18"/>
          <w:szCs w:val="18"/>
        </w:rPr>
        <w:footnoteRef/>
      </w:r>
      <w:r w:rsidRPr="006200D4">
        <w:rPr>
          <w:rFonts w:asciiTheme="minorHAnsi" w:hAnsiTheme="minorHAnsi"/>
          <w:sz w:val="18"/>
          <w:szCs w:val="18"/>
          <w:lang w:val="fr-FR"/>
        </w:rPr>
        <w:t xml:space="preserve"> La bioinformatique est constituée par l'ensemble des concepts et des techniques nécessaires à l'interprétation informatique de l'information biologique</w:t>
      </w:r>
    </w:p>
  </w:footnote>
  <w:footnote w:id="15">
    <w:p w:rsidR="00C255DF" w:rsidRPr="00AE4368" w:rsidRDefault="00C255DF" w:rsidP="00F77970">
      <w:pPr>
        <w:pStyle w:val="FootnoteText"/>
        <w:rPr>
          <w:rFonts w:asciiTheme="minorHAnsi" w:hAnsiTheme="minorHAnsi"/>
          <w:sz w:val="18"/>
          <w:szCs w:val="18"/>
          <w:lang w:val="fr-FR"/>
        </w:rPr>
      </w:pPr>
      <w:r w:rsidRPr="00AE4368">
        <w:rPr>
          <w:rStyle w:val="FootnoteReference"/>
          <w:rFonts w:asciiTheme="minorHAnsi" w:hAnsiTheme="minorHAnsi"/>
          <w:sz w:val="18"/>
          <w:szCs w:val="18"/>
        </w:rPr>
        <w:footnoteRef/>
      </w:r>
      <w:r>
        <w:rPr>
          <w:rFonts w:asciiTheme="minorHAnsi" w:hAnsiTheme="minorHAnsi"/>
          <w:sz w:val="18"/>
          <w:szCs w:val="18"/>
          <w:lang w:val="fr-FR"/>
        </w:rPr>
        <w:t xml:space="preserve"> </w:t>
      </w:r>
      <w:r w:rsidRPr="00AE4368">
        <w:rPr>
          <w:rFonts w:asciiTheme="minorHAnsi" w:hAnsiTheme="minorHAnsi"/>
          <w:sz w:val="18"/>
          <w:szCs w:val="18"/>
          <w:lang w:val="fr-FR"/>
        </w:rPr>
        <w:t>Dénommée « plateforme épissage » dans le Document de Base du 19 Mai 2015</w:t>
      </w:r>
    </w:p>
  </w:footnote>
  <w:footnote w:id="16">
    <w:p w:rsidR="00C255DF" w:rsidRPr="00AE4368" w:rsidRDefault="00C255DF" w:rsidP="00F77970">
      <w:pPr>
        <w:pStyle w:val="FootnoteText"/>
        <w:rPr>
          <w:rFonts w:asciiTheme="minorHAnsi" w:hAnsiTheme="minorHAnsi"/>
          <w:sz w:val="18"/>
          <w:szCs w:val="18"/>
          <w:lang w:val="fr-FR"/>
        </w:rPr>
      </w:pPr>
      <w:r w:rsidRPr="00AE4368">
        <w:rPr>
          <w:rStyle w:val="FootnoteReference"/>
          <w:rFonts w:asciiTheme="minorHAnsi" w:hAnsiTheme="minorHAnsi"/>
          <w:sz w:val="18"/>
          <w:szCs w:val="18"/>
        </w:rPr>
        <w:footnoteRef/>
      </w:r>
      <w:r w:rsidRPr="00AE4368">
        <w:rPr>
          <w:rFonts w:asciiTheme="minorHAnsi" w:hAnsiTheme="minorHAnsi"/>
          <w:sz w:val="18"/>
          <w:szCs w:val="18"/>
          <w:lang w:val="fr-FR"/>
        </w:rPr>
        <w:t xml:space="preserve"> Dénommée « plateforme adjuvants » dans le Document de Base du 19 Mai 2015</w:t>
      </w:r>
    </w:p>
  </w:footnote>
  <w:footnote w:id="17">
    <w:p w:rsidR="00C255DF" w:rsidRPr="00033D1F" w:rsidRDefault="00C255DF" w:rsidP="00F77970">
      <w:pPr>
        <w:pStyle w:val="FootnoteText"/>
        <w:rPr>
          <w:sz w:val="16"/>
          <w:szCs w:val="16"/>
          <w:lang w:val="fr-FR"/>
        </w:rPr>
      </w:pPr>
      <w:r w:rsidRPr="00AE4368">
        <w:rPr>
          <w:rStyle w:val="FootnoteReference"/>
          <w:rFonts w:asciiTheme="minorHAnsi" w:hAnsiTheme="minorHAnsi"/>
          <w:sz w:val="18"/>
          <w:szCs w:val="18"/>
        </w:rPr>
        <w:footnoteRef/>
      </w:r>
      <w:r w:rsidRPr="00AE4368">
        <w:rPr>
          <w:rFonts w:asciiTheme="minorHAnsi" w:hAnsiTheme="minorHAnsi"/>
          <w:sz w:val="18"/>
          <w:szCs w:val="18"/>
          <w:lang w:val="fr-FR"/>
        </w:rPr>
        <w:t xml:space="preserve"> Projet existant au moment du Document de Base du 19 Mai 2015 mais non encore structuré en plateforme</w:t>
      </w:r>
    </w:p>
  </w:footnote>
  <w:footnote w:id="18">
    <w:p w:rsidR="00C255DF" w:rsidRPr="002B1746" w:rsidRDefault="00C255DF" w:rsidP="00B740A8">
      <w:pPr>
        <w:rPr>
          <w:lang w:val="fr-FR"/>
        </w:rPr>
      </w:pPr>
    </w:p>
  </w:footnote>
  <w:footnote w:id="19">
    <w:p w:rsidR="00C255DF" w:rsidRPr="002B1746" w:rsidRDefault="00C255DF" w:rsidP="00B740A8">
      <w:pPr>
        <w:rPr>
          <w:lang w:val="fr-FR"/>
        </w:rPr>
      </w:pPr>
    </w:p>
    <w:p w:rsidR="00C255DF" w:rsidRPr="002B1746" w:rsidRDefault="00C255DF" w:rsidP="00B740A8">
      <w:pPr>
        <w:rPr>
          <w:lang w:val="fr-FR"/>
        </w:rPr>
      </w:pPr>
    </w:p>
  </w:footnote>
  <w:footnote w:id="20">
    <w:p w:rsidR="00C255DF" w:rsidRPr="00AE4368" w:rsidRDefault="00C255DF" w:rsidP="00C73365">
      <w:pPr>
        <w:pStyle w:val="FootnoteText"/>
        <w:rPr>
          <w:rFonts w:asciiTheme="minorHAnsi" w:hAnsiTheme="minorHAnsi"/>
          <w:sz w:val="18"/>
          <w:szCs w:val="18"/>
          <w:lang w:val="fr-FR"/>
        </w:rPr>
      </w:pPr>
      <w:r w:rsidRPr="00AE4368">
        <w:rPr>
          <w:rStyle w:val="FootnoteReference"/>
          <w:rFonts w:asciiTheme="minorHAnsi" w:hAnsiTheme="minorHAnsi"/>
          <w:sz w:val="18"/>
          <w:szCs w:val="18"/>
        </w:rPr>
        <w:footnoteRef/>
      </w:r>
      <w:r>
        <w:rPr>
          <w:rFonts w:asciiTheme="minorHAnsi" w:hAnsiTheme="minorHAnsi"/>
          <w:sz w:val="18"/>
          <w:szCs w:val="18"/>
          <w:lang w:val="fr-FR"/>
        </w:rPr>
        <w:t xml:space="preserve"> </w:t>
      </w:r>
      <w:r w:rsidRPr="00AE4368">
        <w:rPr>
          <w:rFonts w:asciiTheme="minorHAnsi" w:hAnsiTheme="minorHAnsi"/>
          <w:sz w:val="18"/>
          <w:szCs w:val="18"/>
          <w:lang w:val="fr-FR"/>
        </w:rPr>
        <w:t>Dénommée « plateforme épissage » dans le Document de Base du 19 Mai 2015</w:t>
      </w:r>
    </w:p>
  </w:footnote>
  <w:footnote w:id="21">
    <w:p w:rsidR="00C255DF" w:rsidRPr="00AE4368" w:rsidRDefault="00C255DF" w:rsidP="00C73365">
      <w:pPr>
        <w:pStyle w:val="FootnoteText"/>
        <w:rPr>
          <w:rFonts w:asciiTheme="minorHAnsi" w:hAnsiTheme="minorHAnsi"/>
          <w:sz w:val="18"/>
          <w:szCs w:val="18"/>
          <w:lang w:val="fr-FR"/>
        </w:rPr>
      </w:pPr>
      <w:r w:rsidRPr="00AE4368">
        <w:rPr>
          <w:rStyle w:val="FootnoteReference"/>
          <w:rFonts w:asciiTheme="minorHAnsi" w:hAnsiTheme="minorHAnsi"/>
          <w:sz w:val="18"/>
          <w:szCs w:val="18"/>
        </w:rPr>
        <w:footnoteRef/>
      </w:r>
      <w:r w:rsidRPr="00AE4368">
        <w:rPr>
          <w:rFonts w:asciiTheme="minorHAnsi" w:hAnsiTheme="minorHAnsi"/>
          <w:sz w:val="18"/>
          <w:szCs w:val="18"/>
          <w:lang w:val="fr-FR"/>
        </w:rPr>
        <w:t xml:space="preserve"> Dénommée « plateforme adjuvants » dans le Document de Base du 19 Mai 2015</w:t>
      </w:r>
    </w:p>
  </w:footnote>
  <w:footnote w:id="22">
    <w:p w:rsidR="00C255DF" w:rsidRPr="00033D1F" w:rsidRDefault="00C255DF" w:rsidP="00C73365">
      <w:pPr>
        <w:pStyle w:val="FootnoteText"/>
        <w:rPr>
          <w:sz w:val="16"/>
          <w:szCs w:val="16"/>
          <w:lang w:val="fr-FR"/>
        </w:rPr>
      </w:pPr>
      <w:r w:rsidRPr="00AE4368">
        <w:rPr>
          <w:rStyle w:val="FootnoteReference"/>
          <w:rFonts w:asciiTheme="minorHAnsi" w:hAnsiTheme="minorHAnsi"/>
          <w:sz w:val="18"/>
          <w:szCs w:val="18"/>
        </w:rPr>
        <w:footnoteRef/>
      </w:r>
      <w:r w:rsidRPr="00AE4368">
        <w:rPr>
          <w:rFonts w:asciiTheme="minorHAnsi" w:hAnsiTheme="minorHAnsi"/>
          <w:sz w:val="18"/>
          <w:szCs w:val="18"/>
          <w:lang w:val="fr-FR"/>
        </w:rPr>
        <w:t xml:space="preserve"> Projet existant au moment du Document de Base du 19 Mai 2015 mais non encore structuré en plateforme</w:t>
      </w:r>
    </w:p>
  </w:footnote>
  <w:footnote w:id="23">
    <w:p w:rsidR="00C255DF" w:rsidRPr="00570C92" w:rsidRDefault="00C255DF" w:rsidP="00B740A8">
      <w:pPr>
        <w:rPr>
          <w:rFonts w:asciiTheme="minorHAnsi" w:hAnsiTheme="minorHAnsi"/>
          <w:sz w:val="18"/>
          <w:szCs w:val="18"/>
          <w:lang w:val="fr-FR"/>
        </w:rPr>
      </w:pPr>
    </w:p>
  </w:footnote>
  <w:footnote w:id="24">
    <w:p w:rsidR="00C255DF" w:rsidRPr="001157A8" w:rsidRDefault="00C255DF" w:rsidP="00B740A8">
      <w:pPr>
        <w:rPr>
          <w:rFonts w:asciiTheme="minorHAnsi" w:hAnsiTheme="minorHAnsi"/>
          <w:color w:val="FFFFFF" w:themeColor="background1"/>
          <w:sz w:val="18"/>
          <w:szCs w:val="18"/>
          <w:lang w:val="fr-FR"/>
        </w:rPr>
      </w:pPr>
      <w:r w:rsidRPr="006200D4">
        <w:rPr>
          <w:rStyle w:val="FootnoteReference"/>
          <w:rFonts w:asciiTheme="minorHAnsi" w:hAnsiTheme="minorHAnsi"/>
          <w:color w:val="FFFFFF" w:themeColor="background1"/>
          <w:sz w:val="18"/>
          <w:szCs w:val="18"/>
          <w:lang w:val="fr-FR"/>
        </w:rPr>
        <w:t>36</w:t>
      </w:r>
      <w:r w:rsidRPr="006200D4">
        <w:rPr>
          <w:rFonts w:asciiTheme="minorHAnsi" w:hAnsiTheme="minorHAnsi"/>
          <w:color w:val="FFFFFF" w:themeColor="background1"/>
          <w:sz w:val="18"/>
          <w:szCs w:val="18"/>
          <w:lang w:val="fr-FR"/>
        </w:rPr>
        <w:t xml:space="preserve"> Monsieur Pau a exercé le 52 BSA 2014-6 lui donnant droit à 5.200 actions de la Société.</w:t>
      </w:r>
    </w:p>
  </w:footnote>
  <w:footnote w:id="25">
    <w:p w:rsidR="00C255DF" w:rsidRPr="006200D4" w:rsidRDefault="00C255DF" w:rsidP="00F46C7B">
      <w:pPr>
        <w:pStyle w:val="FootnoteText"/>
        <w:rPr>
          <w:rFonts w:asciiTheme="minorHAnsi" w:hAnsiTheme="minorHAnsi"/>
          <w:sz w:val="18"/>
          <w:szCs w:val="18"/>
          <w:lang w:val="fr-FR"/>
        </w:rPr>
      </w:pPr>
      <w:r w:rsidRPr="006200D4">
        <w:rPr>
          <w:rStyle w:val="FootnoteReference"/>
          <w:rFonts w:asciiTheme="minorHAnsi" w:hAnsiTheme="minorHAnsi"/>
          <w:sz w:val="18"/>
          <w:szCs w:val="18"/>
          <w:lang w:val="fr-FR"/>
        </w:rPr>
        <w:t>34</w:t>
      </w:r>
      <w:r w:rsidRPr="006200D4">
        <w:rPr>
          <w:rFonts w:asciiTheme="minorHAnsi" w:hAnsiTheme="minorHAnsi"/>
          <w:sz w:val="18"/>
          <w:szCs w:val="18"/>
          <w:lang w:val="fr-FR"/>
        </w:rPr>
        <w:t xml:space="preserve"> Etant précisé que le montant de subventions perçu en EC1 a été de 410.139 euros contre un montant maximum initialement prévu de 428 000 euros en raison de dépenses réalisées inférieures au budget initial prévu pour la réalisation de cette étape-clé. La différence a été reportée sur EC2 dans le cadre du réaménagement du projet accepté par </w:t>
      </w:r>
      <w:r>
        <w:rPr>
          <w:rFonts w:asciiTheme="minorHAnsi" w:hAnsiTheme="minorHAnsi"/>
          <w:sz w:val="18"/>
          <w:szCs w:val="18"/>
          <w:lang w:val="fr-FR"/>
        </w:rPr>
        <w:t>Bpifrance</w:t>
      </w:r>
      <w:r w:rsidRPr="006200D4">
        <w:rPr>
          <w:rFonts w:asciiTheme="minorHAnsi" w:hAnsiTheme="minorHAnsi"/>
          <w:sz w:val="18"/>
          <w:szCs w:val="18"/>
          <w:lang w:val="fr-FR"/>
        </w:rPr>
        <w:t xml:space="preserve"> le 18 février 2015.</w:t>
      </w:r>
    </w:p>
  </w:footnote>
  <w:footnote w:id="26">
    <w:p w:rsidR="00C255DF" w:rsidRPr="001157A8" w:rsidRDefault="00C255DF" w:rsidP="00F46C7B">
      <w:pPr>
        <w:pStyle w:val="FootnoteText"/>
        <w:rPr>
          <w:rFonts w:asciiTheme="minorHAnsi" w:hAnsiTheme="minorHAnsi"/>
          <w:sz w:val="18"/>
          <w:szCs w:val="18"/>
          <w:lang w:val="fr-FR"/>
        </w:rPr>
      </w:pPr>
      <w:r w:rsidRPr="006200D4">
        <w:rPr>
          <w:rStyle w:val="FootnoteReference"/>
          <w:rFonts w:asciiTheme="minorHAnsi" w:hAnsiTheme="minorHAnsi"/>
          <w:sz w:val="18"/>
          <w:szCs w:val="18"/>
          <w:lang w:val="fr-FR"/>
        </w:rPr>
        <w:t>35</w:t>
      </w:r>
      <w:r w:rsidRPr="006200D4">
        <w:rPr>
          <w:rFonts w:asciiTheme="minorHAnsi" w:hAnsiTheme="minorHAnsi"/>
          <w:sz w:val="18"/>
          <w:szCs w:val="18"/>
          <w:lang w:val="fr-FR"/>
        </w:rPr>
        <w:t xml:space="preserve"> Etant précisé que le montant d’avances remboursables perçu en EC1 a été de 1.008.340 euros contre un montant maximum initialement prévu de 1 364 000 euros en raison de dépenses réalisées inférieures au budget initial prévu pour la réalisation de cette étape-clé. La différence a été reportée sur EC2 dans le cadre du réaménagement du projet accepté par </w:t>
      </w:r>
      <w:r>
        <w:rPr>
          <w:rFonts w:asciiTheme="minorHAnsi" w:hAnsiTheme="minorHAnsi"/>
          <w:sz w:val="18"/>
          <w:szCs w:val="18"/>
          <w:lang w:val="fr-FR"/>
        </w:rPr>
        <w:t>Bpifrance</w:t>
      </w:r>
      <w:r w:rsidRPr="006200D4">
        <w:rPr>
          <w:rFonts w:asciiTheme="minorHAnsi" w:hAnsiTheme="minorHAnsi"/>
          <w:sz w:val="18"/>
          <w:szCs w:val="18"/>
          <w:lang w:val="fr-FR"/>
        </w:rPr>
        <w:t xml:space="preserve"> le 18 février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rsidP="00D1541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p w:rsidR="00C255DF" w:rsidRDefault="00C255D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DF" w:rsidRDefault="00C255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6E6A60D4"/>
    <w:lvl w:ilvl="0">
      <w:start w:val="1"/>
      <w:numFmt w:val="bullet"/>
      <w:pStyle w:val="ConmainL9"/>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55C80A0"/>
    <w:lvl w:ilvl="0">
      <w:start w:val="1"/>
      <w:numFmt w:val="bullet"/>
      <w:pStyle w:val="ConmainL8"/>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2BFCDCB2"/>
    <w:lvl w:ilvl="0">
      <w:start w:val="1"/>
      <w:numFmt w:val="bullet"/>
      <w:pStyle w:val="ConmainL2"/>
      <w:lvlText w:val=""/>
      <w:lvlJc w:val="left"/>
      <w:pPr>
        <w:tabs>
          <w:tab w:val="num" w:pos="360"/>
        </w:tabs>
        <w:ind w:left="360" w:hanging="360"/>
      </w:pPr>
      <w:rPr>
        <w:rFonts w:ascii="Symbol" w:hAnsi="Symbol" w:hint="default"/>
      </w:rPr>
    </w:lvl>
  </w:abstractNum>
  <w:abstractNum w:abstractNumId="3" w15:restartNumberingAfterBreak="0">
    <w:nsid w:val="013A2D5A"/>
    <w:multiLevelType w:val="hybridMultilevel"/>
    <w:tmpl w:val="31B69A2C"/>
    <w:lvl w:ilvl="0" w:tplc="040C0001">
      <w:start w:val="1"/>
      <w:numFmt w:val="bullet"/>
      <w:lvlText w:val=""/>
      <w:lvlJc w:val="left"/>
      <w:pPr>
        <w:ind w:left="1724" w:hanging="360"/>
      </w:pPr>
      <w:rPr>
        <w:rFonts w:ascii="Symbol" w:hAnsi="Symbol" w:hint="default"/>
      </w:rPr>
    </w:lvl>
    <w:lvl w:ilvl="1" w:tplc="040C0003" w:tentative="1">
      <w:start w:val="1"/>
      <w:numFmt w:val="bullet"/>
      <w:lvlText w:val="o"/>
      <w:lvlJc w:val="left"/>
      <w:pPr>
        <w:ind w:left="2444" w:hanging="360"/>
      </w:pPr>
      <w:rPr>
        <w:rFonts w:ascii="Courier New" w:hAnsi="Courier New" w:cs="Courier New" w:hint="default"/>
      </w:rPr>
    </w:lvl>
    <w:lvl w:ilvl="2" w:tplc="040C0005" w:tentative="1">
      <w:start w:val="1"/>
      <w:numFmt w:val="bullet"/>
      <w:lvlText w:val=""/>
      <w:lvlJc w:val="left"/>
      <w:pPr>
        <w:ind w:left="3164" w:hanging="360"/>
      </w:pPr>
      <w:rPr>
        <w:rFonts w:ascii="Wingdings" w:hAnsi="Wingdings" w:hint="default"/>
      </w:rPr>
    </w:lvl>
    <w:lvl w:ilvl="3" w:tplc="040C0001" w:tentative="1">
      <w:start w:val="1"/>
      <w:numFmt w:val="bullet"/>
      <w:lvlText w:val=""/>
      <w:lvlJc w:val="left"/>
      <w:pPr>
        <w:ind w:left="3884" w:hanging="360"/>
      </w:pPr>
      <w:rPr>
        <w:rFonts w:ascii="Symbol" w:hAnsi="Symbol" w:hint="default"/>
      </w:rPr>
    </w:lvl>
    <w:lvl w:ilvl="4" w:tplc="040C0003" w:tentative="1">
      <w:start w:val="1"/>
      <w:numFmt w:val="bullet"/>
      <w:lvlText w:val="o"/>
      <w:lvlJc w:val="left"/>
      <w:pPr>
        <w:ind w:left="4604" w:hanging="360"/>
      </w:pPr>
      <w:rPr>
        <w:rFonts w:ascii="Courier New" w:hAnsi="Courier New" w:cs="Courier New" w:hint="default"/>
      </w:rPr>
    </w:lvl>
    <w:lvl w:ilvl="5" w:tplc="040C0005" w:tentative="1">
      <w:start w:val="1"/>
      <w:numFmt w:val="bullet"/>
      <w:lvlText w:val=""/>
      <w:lvlJc w:val="left"/>
      <w:pPr>
        <w:ind w:left="5324" w:hanging="360"/>
      </w:pPr>
      <w:rPr>
        <w:rFonts w:ascii="Wingdings" w:hAnsi="Wingdings" w:hint="default"/>
      </w:rPr>
    </w:lvl>
    <w:lvl w:ilvl="6" w:tplc="040C0001" w:tentative="1">
      <w:start w:val="1"/>
      <w:numFmt w:val="bullet"/>
      <w:lvlText w:val=""/>
      <w:lvlJc w:val="left"/>
      <w:pPr>
        <w:ind w:left="6044" w:hanging="360"/>
      </w:pPr>
      <w:rPr>
        <w:rFonts w:ascii="Symbol" w:hAnsi="Symbol" w:hint="default"/>
      </w:rPr>
    </w:lvl>
    <w:lvl w:ilvl="7" w:tplc="040C0003" w:tentative="1">
      <w:start w:val="1"/>
      <w:numFmt w:val="bullet"/>
      <w:lvlText w:val="o"/>
      <w:lvlJc w:val="left"/>
      <w:pPr>
        <w:ind w:left="6764" w:hanging="360"/>
      </w:pPr>
      <w:rPr>
        <w:rFonts w:ascii="Courier New" w:hAnsi="Courier New" w:cs="Courier New" w:hint="default"/>
      </w:rPr>
    </w:lvl>
    <w:lvl w:ilvl="8" w:tplc="040C0005" w:tentative="1">
      <w:start w:val="1"/>
      <w:numFmt w:val="bullet"/>
      <w:lvlText w:val=""/>
      <w:lvlJc w:val="left"/>
      <w:pPr>
        <w:ind w:left="7484" w:hanging="360"/>
      </w:pPr>
      <w:rPr>
        <w:rFonts w:ascii="Wingdings" w:hAnsi="Wingdings" w:hint="default"/>
      </w:rPr>
    </w:lvl>
  </w:abstractNum>
  <w:abstractNum w:abstractNumId="4" w15:restartNumberingAfterBreak="0">
    <w:nsid w:val="0216274D"/>
    <w:multiLevelType w:val="multilevel"/>
    <w:tmpl w:val="C6BA72C4"/>
    <w:lvl w:ilvl="0">
      <w:start w:val="1"/>
      <w:numFmt w:val="decimal"/>
      <w:pStyle w:val="BulletedLis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 w15:restartNumberingAfterBreak="0">
    <w:nsid w:val="02176D90"/>
    <w:multiLevelType w:val="hybridMultilevel"/>
    <w:tmpl w:val="63760C76"/>
    <w:lvl w:ilvl="0" w:tplc="BEDCAA8C">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A3837"/>
    <w:multiLevelType w:val="hybridMultilevel"/>
    <w:tmpl w:val="A7169822"/>
    <w:lvl w:ilvl="0" w:tplc="0774342A">
      <w:numFmt w:val="bullet"/>
      <w:lvlText w:val="-"/>
      <w:lvlJc w:val="left"/>
      <w:pPr>
        <w:ind w:left="720" w:hanging="360"/>
      </w:pPr>
      <w:rPr>
        <w:rFonts w:ascii="Times New Roman" w:hAnsi="Times New Roman" w:hint="default"/>
        <w:b/>
      </w:rPr>
    </w:lvl>
    <w:lvl w:ilvl="1" w:tplc="0774342A">
      <w:numFmt w:val="bullet"/>
      <w:lvlText w:val="-"/>
      <w:lvlJc w:val="left"/>
      <w:pPr>
        <w:ind w:left="1440" w:hanging="360"/>
      </w:pPr>
      <w:rPr>
        <w:rFonts w:ascii="Times New Roman" w:hAnsi="Times New Roman" w:hint="default"/>
        <w: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2843880"/>
    <w:multiLevelType w:val="hybridMultilevel"/>
    <w:tmpl w:val="83D64D52"/>
    <w:lvl w:ilvl="0" w:tplc="4B7C42D0">
      <w:start w:val="16"/>
      <w:numFmt w:val="bullet"/>
      <w:lvlText w:val="-"/>
      <w:lvlJc w:val="left"/>
      <w:pPr>
        <w:ind w:left="720" w:hanging="360"/>
      </w:pPr>
      <w:rPr>
        <w:rFonts w:ascii="Georgia" w:eastAsia="Times New Roman" w:hAnsi="Georgia"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02AA54B8"/>
    <w:multiLevelType w:val="hybridMultilevel"/>
    <w:tmpl w:val="CFA8D68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3CA0E1E"/>
    <w:multiLevelType w:val="multilevel"/>
    <w:tmpl w:val="4990A0AE"/>
    <w:name w:val="zzmpLONNotes||LON Notes|3|5|1|1|2|32||1|2|32||1|2|32||1|2|32||1|2|32||1|2|32||mpNA||mpNA||mpNA||"/>
    <w:lvl w:ilvl="0">
      <w:numFmt w:val="bullet"/>
      <w:pStyle w:val="LONNotesL1"/>
      <w:lvlText w:val="-"/>
      <w:lvlJc w:val="left"/>
      <w:pPr>
        <w:tabs>
          <w:tab w:val="num" w:pos="992"/>
        </w:tabs>
        <w:ind w:left="992" w:hanging="992"/>
      </w:pPr>
      <w:rPr>
        <w:rFonts w:hint="default"/>
        <w:sz w:val="22"/>
        <w:u w:val="none"/>
      </w:rPr>
    </w:lvl>
    <w:lvl w:ilvl="1">
      <w:start w:val="1"/>
      <w:numFmt w:val="lowerLetter"/>
      <w:pStyle w:val="LONNotesL2"/>
      <w:lvlText w:val="(%2)"/>
      <w:lvlJc w:val="left"/>
      <w:pPr>
        <w:tabs>
          <w:tab w:val="num" w:pos="1984"/>
        </w:tabs>
        <w:ind w:left="1984" w:hanging="992"/>
      </w:pPr>
      <w:rPr>
        <w:rFonts w:ascii="Times New Roman" w:hAnsi="Times New Roman" w:cs="Times New Roman"/>
        <w:sz w:val="22"/>
        <w:u w:val="none"/>
      </w:rPr>
    </w:lvl>
    <w:lvl w:ilvl="2">
      <w:start w:val="1"/>
      <w:numFmt w:val="lowerRoman"/>
      <w:pStyle w:val="LONNotesL3"/>
      <w:lvlText w:val="(%3)"/>
      <w:lvlJc w:val="left"/>
      <w:pPr>
        <w:tabs>
          <w:tab w:val="num" w:pos="2976"/>
        </w:tabs>
        <w:ind w:left="2976" w:hanging="992"/>
      </w:pPr>
      <w:rPr>
        <w:rFonts w:ascii="Times New Roman" w:hAnsi="Times New Roman" w:cs="Times New Roman"/>
        <w:sz w:val="22"/>
        <w:u w:val="none"/>
      </w:rPr>
    </w:lvl>
    <w:lvl w:ilvl="3">
      <w:start w:val="1"/>
      <w:numFmt w:val="decimal"/>
      <w:pStyle w:val="LONNotesL4"/>
      <w:lvlText w:val="(%4)"/>
      <w:lvlJc w:val="left"/>
      <w:pPr>
        <w:tabs>
          <w:tab w:val="num" w:pos="3968"/>
        </w:tabs>
        <w:ind w:left="3969" w:hanging="993"/>
      </w:pPr>
      <w:rPr>
        <w:rFonts w:ascii="Times New Roman" w:hAnsi="Times New Roman" w:cs="Times New Roman"/>
        <w:sz w:val="22"/>
        <w:u w:val="none"/>
      </w:rPr>
    </w:lvl>
    <w:lvl w:ilvl="4">
      <w:start w:val="1"/>
      <w:numFmt w:val="bullet"/>
      <w:lvlRestart w:val="0"/>
      <w:pStyle w:val="LONNotesL5"/>
      <w:lvlText w:val="·"/>
      <w:lvlJc w:val="left"/>
      <w:pPr>
        <w:tabs>
          <w:tab w:val="num" w:pos="1984"/>
        </w:tabs>
        <w:ind w:left="1984" w:hanging="992"/>
      </w:pPr>
      <w:rPr>
        <w:rFonts w:ascii="Symbol" w:hAnsi="Symbol" w:hint="default"/>
        <w:b w:val="0"/>
        <w:i w:val="0"/>
        <w:caps w:val="0"/>
        <w:color w:val="auto"/>
        <w:sz w:val="22"/>
        <w:u w:val="none"/>
      </w:rPr>
    </w:lvl>
    <w:lvl w:ilvl="5">
      <w:start w:val="1"/>
      <w:numFmt w:val="bullet"/>
      <w:lvlRestart w:val="0"/>
      <w:pStyle w:val="LONNotesL6"/>
      <w:lvlText w:val="·"/>
      <w:lvlJc w:val="left"/>
      <w:pPr>
        <w:tabs>
          <w:tab w:val="num" w:pos="2976"/>
        </w:tabs>
        <w:ind w:left="2976" w:hanging="992"/>
      </w:pPr>
      <w:rPr>
        <w:rFonts w:ascii="Symbol" w:hAnsi="Symbol" w:hint="default"/>
        <w:b w:val="0"/>
        <w:i w:val="0"/>
        <w:caps w:val="0"/>
        <w:color w:val="auto"/>
        <w:sz w:val="22"/>
        <w:u w:val="none"/>
      </w:r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0" w15:restartNumberingAfterBreak="0">
    <w:nsid w:val="053D1B73"/>
    <w:multiLevelType w:val="hybridMultilevel"/>
    <w:tmpl w:val="857C7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59B3735"/>
    <w:multiLevelType w:val="hybridMultilevel"/>
    <w:tmpl w:val="686A36E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 w15:restartNumberingAfterBreak="0">
    <w:nsid w:val="05B23692"/>
    <w:multiLevelType w:val="hybridMultilevel"/>
    <w:tmpl w:val="8B3E4C1E"/>
    <w:lvl w:ilvl="0" w:tplc="040C0001">
      <w:start w:val="1"/>
      <w:numFmt w:val="bullet"/>
      <w:lvlText w:val=""/>
      <w:lvlJc w:val="left"/>
      <w:pPr>
        <w:ind w:left="851" w:hanging="360"/>
      </w:pPr>
      <w:rPr>
        <w:rFonts w:ascii="Symbol" w:hAnsi="Symbol" w:hint="default"/>
        <w:color w:val="auto"/>
      </w:rPr>
    </w:lvl>
    <w:lvl w:ilvl="1" w:tplc="040C0003" w:tentative="1">
      <w:start w:val="1"/>
      <w:numFmt w:val="bullet"/>
      <w:lvlText w:val="o"/>
      <w:lvlJc w:val="left"/>
      <w:pPr>
        <w:ind w:left="1571" w:hanging="360"/>
      </w:pPr>
      <w:rPr>
        <w:rFonts w:ascii="Courier New" w:hAnsi="Courier New" w:hint="default"/>
      </w:rPr>
    </w:lvl>
    <w:lvl w:ilvl="2" w:tplc="040C0005" w:tentative="1">
      <w:start w:val="1"/>
      <w:numFmt w:val="bullet"/>
      <w:lvlText w:val=""/>
      <w:lvlJc w:val="left"/>
      <w:pPr>
        <w:ind w:left="2291" w:hanging="360"/>
      </w:pPr>
      <w:rPr>
        <w:rFonts w:ascii="Wingdings" w:hAnsi="Wingdings" w:hint="default"/>
      </w:rPr>
    </w:lvl>
    <w:lvl w:ilvl="3" w:tplc="040C0001" w:tentative="1">
      <w:start w:val="1"/>
      <w:numFmt w:val="bullet"/>
      <w:lvlText w:val=""/>
      <w:lvlJc w:val="left"/>
      <w:pPr>
        <w:ind w:left="3011" w:hanging="360"/>
      </w:pPr>
      <w:rPr>
        <w:rFonts w:ascii="Symbol" w:hAnsi="Symbol" w:hint="default"/>
      </w:rPr>
    </w:lvl>
    <w:lvl w:ilvl="4" w:tplc="040C0003" w:tentative="1">
      <w:start w:val="1"/>
      <w:numFmt w:val="bullet"/>
      <w:lvlText w:val="o"/>
      <w:lvlJc w:val="left"/>
      <w:pPr>
        <w:ind w:left="3731" w:hanging="360"/>
      </w:pPr>
      <w:rPr>
        <w:rFonts w:ascii="Courier New" w:hAnsi="Courier New" w:hint="default"/>
      </w:rPr>
    </w:lvl>
    <w:lvl w:ilvl="5" w:tplc="040C0005" w:tentative="1">
      <w:start w:val="1"/>
      <w:numFmt w:val="bullet"/>
      <w:lvlText w:val=""/>
      <w:lvlJc w:val="left"/>
      <w:pPr>
        <w:ind w:left="4451" w:hanging="360"/>
      </w:pPr>
      <w:rPr>
        <w:rFonts w:ascii="Wingdings" w:hAnsi="Wingdings" w:hint="default"/>
      </w:rPr>
    </w:lvl>
    <w:lvl w:ilvl="6" w:tplc="040C0001" w:tentative="1">
      <w:start w:val="1"/>
      <w:numFmt w:val="bullet"/>
      <w:lvlText w:val=""/>
      <w:lvlJc w:val="left"/>
      <w:pPr>
        <w:ind w:left="5171" w:hanging="360"/>
      </w:pPr>
      <w:rPr>
        <w:rFonts w:ascii="Symbol" w:hAnsi="Symbol" w:hint="default"/>
      </w:rPr>
    </w:lvl>
    <w:lvl w:ilvl="7" w:tplc="040C0003" w:tentative="1">
      <w:start w:val="1"/>
      <w:numFmt w:val="bullet"/>
      <w:lvlText w:val="o"/>
      <w:lvlJc w:val="left"/>
      <w:pPr>
        <w:ind w:left="5891" w:hanging="360"/>
      </w:pPr>
      <w:rPr>
        <w:rFonts w:ascii="Courier New" w:hAnsi="Courier New" w:hint="default"/>
      </w:rPr>
    </w:lvl>
    <w:lvl w:ilvl="8" w:tplc="040C0005" w:tentative="1">
      <w:start w:val="1"/>
      <w:numFmt w:val="bullet"/>
      <w:lvlText w:val=""/>
      <w:lvlJc w:val="left"/>
      <w:pPr>
        <w:ind w:left="6611" w:hanging="360"/>
      </w:pPr>
      <w:rPr>
        <w:rFonts w:ascii="Wingdings" w:hAnsi="Wingdings" w:hint="default"/>
      </w:rPr>
    </w:lvl>
  </w:abstractNum>
  <w:abstractNum w:abstractNumId="13" w15:restartNumberingAfterBreak="0">
    <w:nsid w:val="065C2926"/>
    <w:multiLevelType w:val="hybridMultilevel"/>
    <w:tmpl w:val="AF48071A"/>
    <w:lvl w:ilvl="0" w:tplc="040C0001">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6981A9F"/>
    <w:multiLevelType w:val="hybridMultilevel"/>
    <w:tmpl w:val="FD6237D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06B62854"/>
    <w:multiLevelType w:val="hybridMultilevel"/>
    <w:tmpl w:val="CC52E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8097D2A"/>
    <w:multiLevelType w:val="hybridMultilevel"/>
    <w:tmpl w:val="0BB69A7C"/>
    <w:lvl w:ilvl="0" w:tplc="EBC6AD12">
      <w:start w:val="1"/>
      <w:numFmt w:val="lowerRoman"/>
      <w:lvlText w:val="(%1)"/>
      <w:lvlJc w:val="left"/>
      <w:pPr>
        <w:ind w:left="1080" w:hanging="720"/>
      </w:pPr>
      <w:rPr>
        <w:rFonts w:cs="Times New Roman" w:hint="default"/>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7" w15:restartNumberingAfterBreak="0">
    <w:nsid w:val="09581BA6"/>
    <w:multiLevelType w:val="hybridMultilevel"/>
    <w:tmpl w:val="B3C4190E"/>
    <w:lvl w:ilvl="0" w:tplc="31F4C65A">
      <w:start w:val="1"/>
      <w:numFmt w:val="bullet"/>
      <w:pStyle w:val="ListBullet2"/>
      <w:lvlText w:val="o"/>
      <w:lvlJc w:val="left"/>
      <w:pPr>
        <w:ind w:left="1316" w:hanging="360"/>
      </w:pPr>
      <w:rPr>
        <w:rFonts w:ascii="Courier New" w:hAnsi="Courier New" w:hint="default"/>
        <w:sz w:val="20"/>
      </w:rPr>
    </w:lvl>
    <w:lvl w:ilvl="1" w:tplc="04090003" w:tentative="1">
      <w:start w:val="1"/>
      <w:numFmt w:val="bullet"/>
      <w:lvlText w:val="o"/>
      <w:lvlJc w:val="left"/>
      <w:pPr>
        <w:ind w:left="2036" w:hanging="360"/>
      </w:pPr>
      <w:rPr>
        <w:rFonts w:ascii="Courier New" w:hAnsi="Courier New" w:hint="default"/>
      </w:rPr>
    </w:lvl>
    <w:lvl w:ilvl="2" w:tplc="04090005" w:tentative="1">
      <w:start w:val="1"/>
      <w:numFmt w:val="bullet"/>
      <w:lvlText w:val=""/>
      <w:lvlJc w:val="left"/>
      <w:pPr>
        <w:ind w:left="2756" w:hanging="360"/>
      </w:pPr>
      <w:rPr>
        <w:rFonts w:ascii="Wingdings" w:hAnsi="Wingdings" w:hint="default"/>
      </w:rPr>
    </w:lvl>
    <w:lvl w:ilvl="3" w:tplc="04090001" w:tentative="1">
      <w:start w:val="1"/>
      <w:numFmt w:val="bullet"/>
      <w:lvlText w:val=""/>
      <w:lvlJc w:val="left"/>
      <w:pPr>
        <w:ind w:left="3476" w:hanging="360"/>
      </w:pPr>
      <w:rPr>
        <w:rFonts w:ascii="Symbol" w:hAnsi="Symbol" w:hint="default"/>
      </w:rPr>
    </w:lvl>
    <w:lvl w:ilvl="4" w:tplc="04090003" w:tentative="1">
      <w:start w:val="1"/>
      <w:numFmt w:val="bullet"/>
      <w:lvlText w:val="o"/>
      <w:lvlJc w:val="left"/>
      <w:pPr>
        <w:ind w:left="4196" w:hanging="360"/>
      </w:pPr>
      <w:rPr>
        <w:rFonts w:ascii="Courier New" w:hAnsi="Courier New" w:hint="default"/>
      </w:rPr>
    </w:lvl>
    <w:lvl w:ilvl="5" w:tplc="04090005" w:tentative="1">
      <w:start w:val="1"/>
      <w:numFmt w:val="bullet"/>
      <w:lvlText w:val=""/>
      <w:lvlJc w:val="left"/>
      <w:pPr>
        <w:ind w:left="4916" w:hanging="360"/>
      </w:pPr>
      <w:rPr>
        <w:rFonts w:ascii="Wingdings" w:hAnsi="Wingdings" w:hint="default"/>
      </w:rPr>
    </w:lvl>
    <w:lvl w:ilvl="6" w:tplc="04090001" w:tentative="1">
      <w:start w:val="1"/>
      <w:numFmt w:val="bullet"/>
      <w:lvlText w:val=""/>
      <w:lvlJc w:val="left"/>
      <w:pPr>
        <w:ind w:left="5636" w:hanging="360"/>
      </w:pPr>
      <w:rPr>
        <w:rFonts w:ascii="Symbol" w:hAnsi="Symbol" w:hint="default"/>
      </w:rPr>
    </w:lvl>
    <w:lvl w:ilvl="7" w:tplc="04090003" w:tentative="1">
      <w:start w:val="1"/>
      <w:numFmt w:val="bullet"/>
      <w:lvlText w:val="o"/>
      <w:lvlJc w:val="left"/>
      <w:pPr>
        <w:ind w:left="6356" w:hanging="360"/>
      </w:pPr>
      <w:rPr>
        <w:rFonts w:ascii="Courier New" w:hAnsi="Courier New" w:hint="default"/>
      </w:rPr>
    </w:lvl>
    <w:lvl w:ilvl="8" w:tplc="04090005" w:tentative="1">
      <w:start w:val="1"/>
      <w:numFmt w:val="bullet"/>
      <w:lvlText w:val=""/>
      <w:lvlJc w:val="left"/>
      <w:pPr>
        <w:ind w:left="7076" w:hanging="360"/>
      </w:pPr>
      <w:rPr>
        <w:rFonts w:ascii="Wingdings" w:hAnsi="Wingdings" w:hint="default"/>
      </w:rPr>
    </w:lvl>
  </w:abstractNum>
  <w:abstractNum w:abstractNumId="18" w15:restartNumberingAfterBreak="0">
    <w:nsid w:val="09BA5844"/>
    <w:multiLevelType w:val="hybridMultilevel"/>
    <w:tmpl w:val="BCD00C5A"/>
    <w:lvl w:ilvl="0" w:tplc="343EA4A8">
      <w:start w:val="2007"/>
      <w:numFmt w:val="bullet"/>
      <w:lvlText w:val="-"/>
      <w:lvlJc w:val="left"/>
      <w:pPr>
        <w:ind w:left="720" w:hanging="360"/>
      </w:pPr>
      <w:rPr>
        <w:rFonts w:ascii="Garamond" w:hAnsi="Garamond" w:cs="Times New Roman"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9DC6AC5"/>
    <w:multiLevelType w:val="multilevel"/>
    <w:tmpl w:val="AA9EEC5C"/>
    <w:lvl w:ilvl="0">
      <w:start w:val="1"/>
      <w:numFmt w:val="decimal"/>
      <w:isLgl/>
      <w:lvlText w:val="%1."/>
      <w:lvlJc w:val="left"/>
      <w:pPr>
        <w:tabs>
          <w:tab w:val="num" w:pos="720"/>
        </w:tabs>
        <w:ind w:left="720" w:hanging="720"/>
      </w:pPr>
      <w:rPr>
        <w:rFonts w:asciiTheme="minorHAnsi" w:hAnsiTheme="minorHAnsi" w:cs="Times New Roman" w:hint="default"/>
        <w:b/>
        <w:i w:val="0"/>
        <w:caps w:val="0"/>
        <w:sz w:val="22"/>
        <w:szCs w:val="22"/>
        <w:u w:val="none"/>
      </w:rPr>
    </w:lvl>
    <w:lvl w:ilvl="1">
      <w:start w:val="1"/>
      <w:numFmt w:val="decimal"/>
      <w:isLgl/>
      <w:lvlText w:val="%1.%2"/>
      <w:lvlJc w:val="left"/>
      <w:pPr>
        <w:tabs>
          <w:tab w:val="num" w:pos="720"/>
        </w:tabs>
        <w:ind w:left="720" w:hanging="720"/>
      </w:pPr>
      <w:rPr>
        <w:rFonts w:cs="Times New Roman"/>
        <w:b/>
        <w:bCs w:val="0"/>
        <w:i w:val="0"/>
        <w:iCs w:val="0"/>
        <w:caps w:val="0"/>
        <w:smallCaps w:val="0"/>
        <w:strike w:val="0"/>
        <w:dstrike w:val="0"/>
        <w:vanish w:val="0"/>
        <w:color w:val="7030A0"/>
        <w:spacing w:val="0"/>
        <w:kern w:val="0"/>
        <w:position w:val="0"/>
        <w:sz w:val="22"/>
        <w:szCs w:val="22"/>
        <w:u w:val="none"/>
        <w:effect w:val="none"/>
        <w:vertAlign w:val="baseline"/>
      </w:rPr>
    </w:lvl>
    <w:lvl w:ilvl="2">
      <w:start w:val="1"/>
      <w:numFmt w:val="decimal"/>
      <w:lvlText w:val="%1.%2.%3"/>
      <w:lvlJc w:val="left"/>
      <w:pPr>
        <w:tabs>
          <w:tab w:val="num" w:pos="1260"/>
        </w:tabs>
        <w:ind w:left="1980" w:hanging="720"/>
      </w:pPr>
      <w:rPr>
        <w:rFonts w:cs="Times New Roman"/>
        <w:b/>
        <w:bCs w:val="0"/>
        <w:i w:val="0"/>
        <w:iCs w:val="0"/>
        <w:caps w:val="0"/>
        <w:smallCaps w:val="0"/>
        <w:strike w:val="0"/>
        <w:dstrike w:val="0"/>
        <w:vanish w:val="0"/>
        <w:color w:val="7030A0"/>
        <w:spacing w:val="0"/>
        <w:kern w:val="0"/>
        <w:position w:val="0"/>
        <w:sz w:val="22"/>
        <w:szCs w:val="22"/>
        <w:u w:val="none"/>
        <w:effect w:val="none"/>
        <w:vertAlign w:val="baseline"/>
      </w:rPr>
    </w:lvl>
    <w:lvl w:ilvl="3">
      <w:start w:val="1"/>
      <w:numFmt w:val="decimal"/>
      <w:lvlText w:val="%1.%2.%3.%4"/>
      <w:lvlJc w:val="left"/>
      <w:pPr>
        <w:tabs>
          <w:tab w:val="num" w:pos="2520"/>
        </w:tabs>
        <w:ind w:left="2520" w:hanging="1080"/>
      </w:pPr>
      <w:rPr>
        <w:rFonts w:asciiTheme="minorHAnsi" w:hAnsiTheme="minorHAnsi" w:cs="Times New Roman" w:hint="default"/>
        <w:b w:val="0"/>
        <w:i w:val="0"/>
        <w:caps w:val="0"/>
        <w:color w:val="000000" w:themeColor="text1"/>
        <w:sz w:val="22"/>
        <w:szCs w:val="22"/>
        <w:u w:val="none"/>
      </w:rPr>
    </w:lvl>
    <w:lvl w:ilvl="4">
      <w:start w:val="1"/>
      <w:numFmt w:val="decimal"/>
      <w:lvlText w:val="%1.%2.%3.%4.%5"/>
      <w:lvlJc w:val="left"/>
      <w:pPr>
        <w:tabs>
          <w:tab w:val="num" w:pos="3600"/>
        </w:tabs>
        <w:ind w:left="3600" w:hanging="1080"/>
      </w:pPr>
      <w:rPr>
        <w:rFonts w:asciiTheme="minorHAnsi" w:hAnsiTheme="minorHAnsi" w:cs="Times New Roman" w:hint="default"/>
        <w:b w:val="0"/>
        <w:i w:val="0"/>
        <w:caps w:val="0"/>
        <w:sz w:val="22"/>
        <w:szCs w:val="22"/>
        <w:u w:val="none"/>
      </w:rPr>
    </w:lvl>
    <w:lvl w:ilvl="5">
      <w:start w:val="1"/>
      <w:numFmt w:val="lowerLetter"/>
      <w:lvlText w:val="(%6)"/>
      <w:lvlJc w:val="left"/>
      <w:pPr>
        <w:tabs>
          <w:tab w:val="num" w:pos="3600"/>
        </w:tabs>
        <w:ind w:left="3600" w:hanging="720"/>
      </w:pPr>
      <w:rPr>
        <w:rFonts w:ascii="Times New Roman" w:hAnsi="Times New Roman" w:cs="Times New Roman" w:hint="default"/>
        <w:b w:val="0"/>
        <w:i w:val="0"/>
        <w:caps w:val="0"/>
        <w:sz w:val="24"/>
        <w:u w:val="none"/>
      </w:rPr>
    </w:lvl>
    <w:lvl w:ilvl="6">
      <w:start w:val="1"/>
      <w:numFmt w:val="lowerRoman"/>
      <w:lvlText w:val="(%7)"/>
      <w:lvlJc w:val="left"/>
      <w:pPr>
        <w:tabs>
          <w:tab w:val="num" w:pos="1440"/>
        </w:tabs>
        <w:ind w:left="1440" w:hanging="720"/>
      </w:pPr>
      <w:rPr>
        <w:rFonts w:ascii="Times New Roman" w:hAnsi="Times New Roman" w:cs="Times New Roman" w:hint="default"/>
        <w:b w:val="0"/>
        <w:i w:val="0"/>
        <w:caps w:val="0"/>
        <w:sz w:val="24"/>
        <w:u w:val="none"/>
      </w:rPr>
    </w:lvl>
    <w:lvl w:ilvl="7">
      <w:start w:val="1"/>
      <w:numFmt w:val="upperLetter"/>
      <w:lvlText w:val="(%8)"/>
      <w:lvlJc w:val="left"/>
      <w:pPr>
        <w:tabs>
          <w:tab w:val="num" w:pos="2880"/>
        </w:tabs>
        <w:ind w:left="2880" w:hanging="720"/>
      </w:pPr>
      <w:rPr>
        <w:rFonts w:ascii="Times New Roman" w:hAnsi="Times New Roman" w:cs="Times New Roman" w:hint="default"/>
        <w:b w:val="0"/>
        <w:i w:val="0"/>
        <w:caps w:val="0"/>
        <w:sz w:val="24"/>
        <w:u w:val="none"/>
      </w:rPr>
    </w:lvl>
    <w:lvl w:ilvl="8">
      <w:start w:val="1"/>
      <w:numFmt w:val="none"/>
      <w:lvlRestart w:val="0"/>
      <w:suff w:val="nothing"/>
      <w:lvlText w:val=""/>
      <w:lvlJc w:val="left"/>
      <w:rPr>
        <w:rFonts w:ascii="Times New Roman" w:hAnsi="Times New Roman" w:cs="Times New Roman" w:hint="default"/>
        <w:b w:val="0"/>
        <w:i w:val="0"/>
        <w:caps w:val="0"/>
        <w:sz w:val="24"/>
        <w:u w:val="none"/>
      </w:rPr>
    </w:lvl>
  </w:abstractNum>
  <w:abstractNum w:abstractNumId="20" w15:restartNumberingAfterBreak="0">
    <w:nsid w:val="0B346A00"/>
    <w:multiLevelType w:val="hybridMultilevel"/>
    <w:tmpl w:val="1B482146"/>
    <w:lvl w:ilvl="0" w:tplc="00F4EED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0B491970"/>
    <w:multiLevelType w:val="multilevel"/>
    <w:tmpl w:val="89667812"/>
    <w:styleLink w:val="ArticleSection1"/>
    <w:lvl w:ilvl="0">
      <w:start w:val="1"/>
      <w:numFmt w:val="decimal"/>
      <w:lvlText w:val="%1."/>
      <w:lvlJc w:val="left"/>
      <w:pPr>
        <w:tabs>
          <w:tab w:val="num" w:pos="360"/>
        </w:tabs>
        <w:ind w:left="936" w:hanging="936"/>
      </w:pPr>
      <w:rPr>
        <w:rFonts w:ascii="(normal text)" w:hAnsi="(normal text)" w:cs="Times New Roman" w:hint="default"/>
        <w:b/>
        <w:i w:val="0"/>
        <w:caps w:val="0"/>
        <w:smallCaps w:val="0"/>
        <w:strike w:val="0"/>
        <w:dstrike w:val="0"/>
        <w:vanish w:val="0"/>
        <w:color w:val="auto"/>
        <w:spacing w:val="0"/>
        <w:w w:val="100"/>
        <w:kern w:val="0"/>
        <w:position w:val="0"/>
        <w:sz w:val="24"/>
        <w:szCs w:val="24"/>
        <w:u w:val="none"/>
        <w:effect w:val="none"/>
        <w:vertAlign w:val="baseline"/>
      </w:rPr>
    </w:lvl>
    <w:lvl w:ilvl="1">
      <w:start w:val="1"/>
      <w:numFmt w:val="decimal"/>
      <w:isLgl/>
      <w:lvlText w:val="%1.%2."/>
      <w:lvlJc w:val="left"/>
      <w:pPr>
        <w:ind w:left="936" w:hanging="936"/>
      </w:pPr>
      <w:rPr>
        <w:rFonts w:ascii="(normal text)" w:hAnsi="(normal text)" w:cs="Times New Roman" w:hint="default"/>
        <w:b/>
        <w:i w:val="0"/>
        <w:caps w:val="0"/>
        <w:smallCaps w:val="0"/>
        <w:strike w:val="0"/>
        <w:dstrike w:val="0"/>
        <w:vanish w:val="0"/>
        <w:color w:val="auto"/>
        <w:spacing w:val="0"/>
        <w:w w:val="100"/>
        <w:kern w:val="0"/>
        <w:position w:val="0"/>
        <w:sz w:val="24"/>
        <w:szCs w:val="24"/>
        <w:u w:val="none"/>
        <w:effect w:val="none"/>
        <w:vertAlign w:val="baseline"/>
      </w:rPr>
    </w:lvl>
    <w:lvl w:ilvl="2">
      <w:start w:val="1"/>
      <w:numFmt w:val="decimal"/>
      <w:isLgl/>
      <w:lvlText w:val="%1.%2.%3."/>
      <w:lvlJc w:val="left"/>
      <w:pPr>
        <w:ind w:left="964" w:hanging="964"/>
      </w:pPr>
      <w:rPr>
        <w:rFonts w:ascii="(normal text)" w:hAnsi="(normal text)" w:cs="Times New Roman" w:hint="default"/>
        <w:b/>
        <w:i w:val="0"/>
        <w:caps w:val="0"/>
        <w:smallCaps w:val="0"/>
        <w:strike w:val="0"/>
        <w:dstrike w:val="0"/>
        <w:vanish w:val="0"/>
        <w:color w:val="auto"/>
        <w:spacing w:val="0"/>
        <w:w w:val="100"/>
        <w:kern w:val="0"/>
        <w:position w:val="0"/>
        <w:sz w:val="22"/>
        <w:szCs w:val="22"/>
        <w:u w:val="none"/>
        <w:effect w:val="none"/>
        <w:vertAlign w:val="baseline"/>
      </w:rPr>
    </w:lvl>
    <w:lvl w:ilvl="3">
      <w:start w:val="1"/>
      <w:numFmt w:val="decimal"/>
      <w:isLgl/>
      <w:lvlText w:val="%1.%2.%3.%4."/>
      <w:lvlJc w:val="left"/>
      <w:pPr>
        <w:ind w:left="936" w:hanging="964"/>
      </w:pPr>
      <w:rPr>
        <w:rFonts w:ascii="(normal text)" w:hAnsi="(normal text)" w:cs="Times New Roman" w:hint="default"/>
        <w:b w:val="0"/>
        <w:i/>
        <w:caps w:val="0"/>
        <w:smallCaps w:val="0"/>
        <w:strike w:val="0"/>
        <w:dstrike w:val="0"/>
        <w:vanish w:val="0"/>
        <w:color w:val="auto"/>
        <w:spacing w:val="0"/>
        <w:w w:val="100"/>
        <w:kern w:val="0"/>
        <w:position w:val="0"/>
        <w:sz w:val="24"/>
        <w:szCs w:val="24"/>
        <w:u w:val="none"/>
        <w:effect w:val="none"/>
        <w:vertAlign w:val="baseline"/>
      </w:rPr>
    </w:lvl>
    <w:lvl w:ilvl="4">
      <w:start w:val="1"/>
      <w:numFmt w:val="decimal"/>
      <w:isLgl/>
      <w:lvlText w:val="%1.%2.%3.%4.%5."/>
      <w:lvlJc w:val="left"/>
      <w:pPr>
        <w:ind w:left="964" w:hanging="964"/>
      </w:pPr>
      <w:rPr>
        <w:rFonts w:ascii="(normal text)" w:hAnsi="(normal text)" w:cs="Times New Roman" w:hint="default"/>
        <w:b w:val="0"/>
        <w:i/>
        <w:caps w:val="0"/>
        <w:smallCaps w:val="0"/>
        <w:strike w:val="0"/>
        <w:dstrike w:val="0"/>
        <w:vanish w:val="0"/>
        <w:color w:val="auto"/>
        <w:spacing w:val="0"/>
        <w:w w:val="100"/>
        <w:kern w:val="0"/>
        <w:position w:val="0"/>
        <w:sz w:val="22"/>
        <w:u w:val="none"/>
        <w:effect w:val="none"/>
        <w:vertAlign w:val="baseline"/>
      </w:rPr>
    </w:lvl>
    <w:lvl w:ilvl="5">
      <w:start w:val="1"/>
      <w:numFmt w:val="none"/>
      <w:suff w:val="nothing"/>
      <w:lvlText w:val=""/>
      <w:lvlJc w:val="left"/>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6">
      <w:start w:val="1"/>
      <w:numFmt w:val="none"/>
      <w:suff w:val="nothing"/>
      <w:lvlText w:val=""/>
      <w:lvlJc w:val="left"/>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7">
      <w:start w:val="1"/>
      <w:numFmt w:val="none"/>
      <w:suff w:val="nothing"/>
      <w:lvlText w:val=""/>
      <w:lvlJc w:val="left"/>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8">
      <w:start w:val="1"/>
      <w:numFmt w:val="none"/>
      <w:suff w:val="nothing"/>
      <w:lvlText w:val=""/>
      <w:lvlJc w:val="left"/>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abstractNum>
  <w:abstractNum w:abstractNumId="22" w15:restartNumberingAfterBreak="0">
    <w:nsid w:val="0BCE20DB"/>
    <w:multiLevelType w:val="multilevel"/>
    <w:tmpl w:val="B95EBC64"/>
    <w:lvl w:ilvl="0">
      <w:start w:val="1"/>
      <w:numFmt w:val="upperRoman"/>
      <w:pStyle w:val="ListeIGras"/>
      <w:lvlText w:val="(%1)"/>
      <w:lvlJc w:val="left"/>
      <w:pPr>
        <w:tabs>
          <w:tab w:val="num" w:pos="851"/>
        </w:tabs>
        <w:ind w:left="851" w:hanging="851"/>
      </w:pPr>
      <w:rPr>
        <w:rFonts w:cs="Times New Roman" w:hint="default"/>
        <w:b/>
        <w:i w:val="0"/>
      </w:rPr>
    </w:lvl>
    <w:lvl w:ilvl="1">
      <w:start w:val="1"/>
      <w:numFmt w:val="lowerLetter"/>
      <w:lvlText w:val="%2."/>
      <w:lvlJc w:val="left"/>
      <w:pPr>
        <w:ind w:left="2148" w:hanging="360"/>
      </w:pPr>
      <w:rPr>
        <w:rFonts w:cs="Times New Roman" w:hint="default"/>
      </w:rPr>
    </w:lvl>
    <w:lvl w:ilvl="2">
      <w:start w:val="1"/>
      <w:numFmt w:val="lowerRoman"/>
      <w:lvlText w:val="%3."/>
      <w:lvlJc w:val="right"/>
      <w:pPr>
        <w:ind w:left="2868" w:hanging="180"/>
      </w:pPr>
      <w:rPr>
        <w:rFonts w:cs="Times New Roman" w:hint="default"/>
      </w:rPr>
    </w:lvl>
    <w:lvl w:ilvl="3">
      <w:start w:val="1"/>
      <w:numFmt w:val="decimal"/>
      <w:lvlText w:val="%4."/>
      <w:lvlJc w:val="left"/>
      <w:pPr>
        <w:ind w:left="3588" w:hanging="360"/>
      </w:pPr>
      <w:rPr>
        <w:rFonts w:cs="Times New Roman" w:hint="default"/>
      </w:rPr>
    </w:lvl>
    <w:lvl w:ilvl="4">
      <w:start w:val="1"/>
      <w:numFmt w:val="lowerLetter"/>
      <w:lvlText w:val="%5."/>
      <w:lvlJc w:val="left"/>
      <w:pPr>
        <w:ind w:left="4308" w:hanging="360"/>
      </w:pPr>
      <w:rPr>
        <w:rFonts w:cs="Times New Roman" w:hint="default"/>
      </w:rPr>
    </w:lvl>
    <w:lvl w:ilvl="5">
      <w:start w:val="1"/>
      <w:numFmt w:val="lowerRoman"/>
      <w:lvlText w:val="%6."/>
      <w:lvlJc w:val="right"/>
      <w:pPr>
        <w:ind w:left="5028" w:hanging="180"/>
      </w:pPr>
      <w:rPr>
        <w:rFonts w:cs="Times New Roman" w:hint="default"/>
      </w:rPr>
    </w:lvl>
    <w:lvl w:ilvl="6">
      <w:start w:val="1"/>
      <w:numFmt w:val="decimal"/>
      <w:lvlText w:val="%7."/>
      <w:lvlJc w:val="left"/>
      <w:pPr>
        <w:ind w:left="5748" w:hanging="360"/>
      </w:pPr>
      <w:rPr>
        <w:rFonts w:cs="Times New Roman" w:hint="default"/>
      </w:rPr>
    </w:lvl>
    <w:lvl w:ilvl="7">
      <w:start w:val="1"/>
      <w:numFmt w:val="lowerLetter"/>
      <w:lvlText w:val="%8."/>
      <w:lvlJc w:val="left"/>
      <w:pPr>
        <w:ind w:left="6468" w:hanging="360"/>
      </w:pPr>
      <w:rPr>
        <w:rFonts w:cs="Times New Roman" w:hint="default"/>
      </w:rPr>
    </w:lvl>
    <w:lvl w:ilvl="8">
      <w:start w:val="1"/>
      <w:numFmt w:val="lowerRoman"/>
      <w:lvlText w:val="%9."/>
      <w:lvlJc w:val="right"/>
      <w:pPr>
        <w:ind w:left="7188" w:hanging="180"/>
      </w:pPr>
      <w:rPr>
        <w:rFonts w:cs="Times New Roman" w:hint="default"/>
      </w:rPr>
    </w:lvl>
  </w:abstractNum>
  <w:abstractNum w:abstractNumId="23" w15:restartNumberingAfterBreak="0">
    <w:nsid w:val="0C4A1442"/>
    <w:multiLevelType w:val="hybridMultilevel"/>
    <w:tmpl w:val="DA6877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EDA00C0"/>
    <w:multiLevelType w:val="hybridMultilevel"/>
    <w:tmpl w:val="CA00F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EF9295A"/>
    <w:multiLevelType w:val="multilevel"/>
    <w:tmpl w:val="E50EE838"/>
    <w:styleLink w:val="StyleAvecpuces11pt"/>
    <w:lvl w:ilvl="0">
      <w:start w:val="1"/>
      <w:numFmt w:val="bullet"/>
      <w:lvlText w:val=""/>
      <w:lvlJc w:val="left"/>
      <w:pPr>
        <w:tabs>
          <w:tab w:val="num" w:pos="1080"/>
        </w:tabs>
        <w:ind w:left="1080" w:hanging="360"/>
      </w:pPr>
      <w:rPr>
        <w:rFonts w:ascii="Calibri" w:hAnsi="Calibri"/>
        <w:sz w:val="22"/>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0F002908"/>
    <w:multiLevelType w:val="hybridMultilevel"/>
    <w:tmpl w:val="45BA4BE6"/>
    <w:lvl w:ilvl="0" w:tplc="40D8F91A">
      <w:start w:val="1"/>
      <w:numFmt w:val="bullet"/>
      <w:lvlText w:val=""/>
      <w:lvlJc w:val="left"/>
      <w:pPr>
        <w:ind w:left="1428" w:hanging="360"/>
      </w:pPr>
      <w:rPr>
        <w:rFonts w:ascii="Symbol" w:hAnsi="Symbol" w:hint="default"/>
        <w:color w:val="auto"/>
        <w:sz w:val="20"/>
      </w:rPr>
    </w:lvl>
    <w:lvl w:ilvl="1" w:tplc="040C0003" w:tentative="1">
      <w:start w:val="1"/>
      <w:numFmt w:val="bullet"/>
      <w:lvlText w:val="o"/>
      <w:lvlJc w:val="left"/>
      <w:pPr>
        <w:ind w:left="2148" w:hanging="360"/>
      </w:pPr>
      <w:rPr>
        <w:rFonts w:ascii="Courier New" w:hAnsi="Courier New" w:hint="default"/>
      </w:rPr>
    </w:lvl>
    <w:lvl w:ilvl="2" w:tplc="040C0005">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15:restartNumberingAfterBreak="0">
    <w:nsid w:val="101773FA"/>
    <w:multiLevelType w:val="hybridMultilevel"/>
    <w:tmpl w:val="268E802A"/>
    <w:lvl w:ilvl="0" w:tplc="0774342A">
      <w:numFmt w:val="bullet"/>
      <w:lvlText w:val="-"/>
      <w:lvlJc w:val="left"/>
      <w:pPr>
        <w:ind w:left="720" w:hanging="360"/>
      </w:pPr>
      <w:rPr>
        <w:rFonts w:ascii="Times New Roman" w:hAnsi="Times New Roman" w:hint="default"/>
        <w:b/>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3153061"/>
    <w:multiLevelType w:val="hybridMultilevel"/>
    <w:tmpl w:val="68864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8631EA"/>
    <w:multiLevelType w:val="multilevel"/>
    <w:tmpl w:val="6966EA60"/>
    <w:lvl w:ilvl="0">
      <w:start w:val="1"/>
      <w:numFmt w:val="decimal"/>
      <w:pStyle w:val="TITREA193"/>
      <w:lvlText w:val="%1"/>
      <w:lvlJc w:val="left"/>
      <w:pPr>
        <w:tabs>
          <w:tab w:val="num" w:pos="2268"/>
        </w:tabs>
        <w:ind w:left="2268" w:hanging="510"/>
      </w:pPr>
      <w:rPr>
        <w:rFonts w:ascii="Arial" w:hAnsi="Arial" w:cs="Times New Roman" w:hint="default"/>
        <w:b w:val="0"/>
        <w:i/>
        <w:sz w:val="24"/>
      </w:rPr>
    </w:lvl>
    <w:lvl w:ilvl="1">
      <w:start w:val="1"/>
      <w:numFmt w:val="decimal"/>
      <w:lvlText w:val="%1.%2"/>
      <w:lvlJc w:val="left"/>
      <w:pPr>
        <w:tabs>
          <w:tab w:val="num" w:pos="1980"/>
        </w:tabs>
        <w:ind w:left="1980" w:hanging="705"/>
      </w:pPr>
      <w:rPr>
        <w:rFonts w:cs="Times New Roman" w:hint="default"/>
        <w:b w:val="0"/>
        <w:i w:val="0"/>
      </w:rPr>
    </w:lvl>
    <w:lvl w:ilvl="2">
      <w:start w:val="1"/>
      <w:numFmt w:val="decimal"/>
      <w:lvlText w:val="%1.%2.%3"/>
      <w:lvlJc w:val="left"/>
      <w:pPr>
        <w:tabs>
          <w:tab w:val="num" w:pos="2478"/>
        </w:tabs>
        <w:ind w:left="2268" w:hanging="510"/>
      </w:pPr>
      <w:rPr>
        <w:rFonts w:cs="Times New Roman" w:hint="default"/>
      </w:rPr>
    </w:lvl>
    <w:lvl w:ilvl="3">
      <w:start w:val="1"/>
      <w:numFmt w:val="decimal"/>
      <w:lvlText w:val="%1.%2.%3.%4"/>
      <w:lvlJc w:val="left"/>
      <w:pPr>
        <w:tabs>
          <w:tab w:val="num" w:pos="3411"/>
        </w:tabs>
        <w:ind w:left="3411" w:hanging="720"/>
      </w:pPr>
      <w:rPr>
        <w:rFonts w:cs="Times New Roman" w:hint="default"/>
      </w:rPr>
    </w:lvl>
    <w:lvl w:ilvl="4">
      <w:start w:val="1"/>
      <w:numFmt w:val="decimal"/>
      <w:lvlText w:val="%1.%2.%3.%4.%5"/>
      <w:lvlJc w:val="left"/>
      <w:pPr>
        <w:tabs>
          <w:tab w:val="num" w:pos="4479"/>
        </w:tabs>
        <w:ind w:left="4479" w:hanging="1080"/>
      </w:pPr>
      <w:rPr>
        <w:rFonts w:cs="Times New Roman" w:hint="default"/>
      </w:rPr>
    </w:lvl>
    <w:lvl w:ilvl="5">
      <w:start w:val="1"/>
      <w:numFmt w:val="decimal"/>
      <w:lvlText w:val="%1.%2.%3.%4.%5.%6"/>
      <w:lvlJc w:val="left"/>
      <w:pPr>
        <w:tabs>
          <w:tab w:val="num" w:pos="5187"/>
        </w:tabs>
        <w:ind w:left="5187" w:hanging="1080"/>
      </w:pPr>
      <w:rPr>
        <w:rFonts w:cs="Times New Roman" w:hint="default"/>
      </w:rPr>
    </w:lvl>
    <w:lvl w:ilvl="6">
      <w:start w:val="1"/>
      <w:numFmt w:val="decimal"/>
      <w:lvlText w:val="%1.%2.%3.%4.%5.%6.%7"/>
      <w:lvlJc w:val="left"/>
      <w:pPr>
        <w:tabs>
          <w:tab w:val="num" w:pos="6255"/>
        </w:tabs>
        <w:ind w:left="6255" w:hanging="1440"/>
      </w:pPr>
      <w:rPr>
        <w:rFonts w:cs="Times New Roman" w:hint="default"/>
      </w:rPr>
    </w:lvl>
    <w:lvl w:ilvl="7">
      <w:start w:val="1"/>
      <w:numFmt w:val="decimal"/>
      <w:lvlText w:val="%1.%2.%3.%4.%5.%6.%7.%8"/>
      <w:lvlJc w:val="left"/>
      <w:pPr>
        <w:tabs>
          <w:tab w:val="num" w:pos="6963"/>
        </w:tabs>
        <w:ind w:left="6963" w:hanging="1440"/>
      </w:pPr>
      <w:rPr>
        <w:rFonts w:cs="Times New Roman" w:hint="default"/>
      </w:rPr>
    </w:lvl>
    <w:lvl w:ilvl="8">
      <w:start w:val="1"/>
      <w:numFmt w:val="decimal"/>
      <w:lvlText w:val="%1.%2.%3.%4.%5.%6.%7.%8.%9"/>
      <w:lvlJc w:val="left"/>
      <w:pPr>
        <w:tabs>
          <w:tab w:val="num" w:pos="8031"/>
        </w:tabs>
        <w:ind w:left="8031" w:hanging="1800"/>
      </w:pPr>
      <w:rPr>
        <w:rFonts w:cs="Times New Roman" w:hint="default"/>
      </w:rPr>
    </w:lvl>
  </w:abstractNum>
  <w:abstractNum w:abstractNumId="30" w15:restartNumberingAfterBreak="0">
    <w:nsid w:val="149830AD"/>
    <w:multiLevelType w:val="multilevel"/>
    <w:tmpl w:val="D8F0268A"/>
    <w:lvl w:ilvl="0">
      <w:start w:val="1"/>
      <w:numFmt w:val="decimal"/>
      <w:lvlText w:val="%1."/>
      <w:lvlJc w:val="left"/>
      <w:pPr>
        <w:tabs>
          <w:tab w:val="num" w:pos="567"/>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pStyle w:val="PRt4"/>
      <w:lvlText w:val="%1.%2.%3.%4."/>
      <w:lvlJc w:val="left"/>
      <w:pPr>
        <w:tabs>
          <w:tab w:val="num" w:pos="2160"/>
        </w:tabs>
        <w:ind w:left="1728" w:hanging="648"/>
      </w:pPr>
      <w:rPr>
        <w:rFonts w:cs="Times New Roman" w:hint="default"/>
        <w:sz w:val="22"/>
        <w:szCs w:val="22"/>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31" w15:restartNumberingAfterBreak="0">
    <w:nsid w:val="14D31AE0"/>
    <w:multiLevelType w:val="hybridMultilevel"/>
    <w:tmpl w:val="6136B5D2"/>
    <w:lvl w:ilvl="0" w:tplc="040C0001">
      <w:start w:val="1"/>
      <w:numFmt w:val="bullet"/>
      <w:lvlText w:val=""/>
      <w:lvlJc w:val="left"/>
      <w:pPr>
        <w:ind w:left="851" w:hanging="360"/>
      </w:pPr>
      <w:rPr>
        <w:rFonts w:ascii="Symbol" w:hAnsi="Symbol" w:hint="default"/>
        <w:color w:val="auto"/>
      </w:rPr>
    </w:lvl>
    <w:lvl w:ilvl="1" w:tplc="040C0003" w:tentative="1">
      <w:start w:val="1"/>
      <w:numFmt w:val="bullet"/>
      <w:lvlText w:val="o"/>
      <w:lvlJc w:val="left"/>
      <w:pPr>
        <w:ind w:left="1571" w:hanging="360"/>
      </w:pPr>
      <w:rPr>
        <w:rFonts w:ascii="Courier New" w:hAnsi="Courier New" w:hint="default"/>
      </w:rPr>
    </w:lvl>
    <w:lvl w:ilvl="2" w:tplc="040C0005" w:tentative="1">
      <w:start w:val="1"/>
      <w:numFmt w:val="bullet"/>
      <w:lvlText w:val=""/>
      <w:lvlJc w:val="left"/>
      <w:pPr>
        <w:ind w:left="2291" w:hanging="360"/>
      </w:pPr>
      <w:rPr>
        <w:rFonts w:ascii="Wingdings" w:hAnsi="Wingdings" w:hint="default"/>
      </w:rPr>
    </w:lvl>
    <w:lvl w:ilvl="3" w:tplc="040C0001">
      <w:start w:val="1"/>
      <w:numFmt w:val="bullet"/>
      <w:lvlText w:val=""/>
      <w:lvlJc w:val="left"/>
      <w:pPr>
        <w:ind w:left="3011" w:hanging="360"/>
      </w:pPr>
      <w:rPr>
        <w:rFonts w:ascii="Symbol" w:hAnsi="Symbol" w:hint="default"/>
      </w:rPr>
    </w:lvl>
    <w:lvl w:ilvl="4" w:tplc="040C0003" w:tentative="1">
      <w:start w:val="1"/>
      <w:numFmt w:val="bullet"/>
      <w:lvlText w:val="o"/>
      <w:lvlJc w:val="left"/>
      <w:pPr>
        <w:ind w:left="3731" w:hanging="360"/>
      </w:pPr>
      <w:rPr>
        <w:rFonts w:ascii="Courier New" w:hAnsi="Courier New" w:hint="default"/>
      </w:rPr>
    </w:lvl>
    <w:lvl w:ilvl="5" w:tplc="040C0005" w:tentative="1">
      <w:start w:val="1"/>
      <w:numFmt w:val="bullet"/>
      <w:lvlText w:val=""/>
      <w:lvlJc w:val="left"/>
      <w:pPr>
        <w:ind w:left="4451" w:hanging="360"/>
      </w:pPr>
      <w:rPr>
        <w:rFonts w:ascii="Wingdings" w:hAnsi="Wingdings" w:hint="default"/>
      </w:rPr>
    </w:lvl>
    <w:lvl w:ilvl="6" w:tplc="040C0001" w:tentative="1">
      <w:start w:val="1"/>
      <w:numFmt w:val="bullet"/>
      <w:lvlText w:val=""/>
      <w:lvlJc w:val="left"/>
      <w:pPr>
        <w:ind w:left="5171" w:hanging="360"/>
      </w:pPr>
      <w:rPr>
        <w:rFonts w:ascii="Symbol" w:hAnsi="Symbol" w:hint="default"/>
      </w:rPr>
    </w:lvl>
    <w:lvl w:ilvl="7" w:tplc="040C0003" w:tentative="1">
      <w:start w:val="1"/>
      <w:numFmt w:val="bullet"/>
      <w:lvlText w:val="o"/>
      <w:lvlJc w:val="left"/>
      <w:pPr>
        <w:ind w:left="5891" w:hanging="360"/>
      </w:pPr>
      <w:rPr>
        <w:rFonts w:ascii="Courier New" w:hAnsi="Courier New" w:hint="default"/>
      </w:rPr>
    </w:lvl>
    <w:lvl w:ilvl="8" w:tplc="040C0005" w:tentative="1">
      <w:start w:val="1"/>
      <w:numFmt w:val="bullet"/>
      <w:lvlText w:val=""/>
      <w:lvlJc w:val="left"/>
      <w:pPr>
        <w:ind w:left="6611" w:hanging="360"/>
      </w:pPr>
      <w:rPr>
        <w:rFonts w:ascii="Wingdings" w:hAnsi="Wingdings" w:hint="default"/>
      </w:rPr>
    </w:lvl>
  </w:abstractNum>
  <w:abstractNum w:abstractNumId="32" w15:restartNumberingAfterBreak="0">
    <w:nsid w:val="185A62A9"/>
    <w:multiLevelType w:val="hybridMultilevel"/>
    <w:tmpl w:val="6C86DF8C"/>
    <w:lvl w:ilvl="0" w:tplc="0774342A">
      <w:numFmt w:val="bullet"/>
      <w:lvlText w:val="-"/>
      <w:lvlJc w:val="left"/>
      <w:pPr>
        <w:ind w:left="720" w:hanging="360"/>
      </w:pPr>
      <w:rPr>
        <w:rFonts w:ascii="Times New Roman" w:hAnsi="Times New Roman" w:hint="default"/>
        <w:b/>
      </w:rPr>
    </w:lvl>
    <w:lvl w:ilvl="1" w:tplc="0774342A">
      <w:numFmt w:val="bullet"/>
      <w:lvlText w:val="-"/>
      <w:lvlJc w:val="left"/>
      <w:pPr>
        <w:ind w:left="1440" w:hanging="360"/>
      </w:pPr>
      <w:rPr>
        <w:rFonts w:ascii="Times New Roman" w:hAnsi="Times New Roman" w:hint="default"/>
        <w: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8620A88"/>
    <w:multiLevelType w:val="hybridMultilevel"/>
    <w:tmpl w:val="8D86BAC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4" w15:restartNumberingAfterBreak="0">
    <w:nsid w:val="1A560989"/>
    <w:multiLevelType w:val="hybridMultilevel"/>
    <w:tmpl w:val="A9A25B44"/>
    <w:lvl w:ilvl="0" w:tplc="040C000F">
      <w:start w:val="1"/>
      <w:numFmt w:val="decimal"/>
      <w:lvlText w:val="%1."/>
      <w:lvlJc w:val="left"/>
      <w:pPr>
        <w:ind w:left="720" w:hanging="360"/>
      </w:pPr>
      <w:rPr>
        <w:rFonts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D1A24B6"/>
    <w:multiLevelType w:val="multilevel"/>
    <w:tmpl w:val="47B699E8"/>
    <w:lvl w:ilvl="0">
      <w:start w:val="1"/>
      <w:numFmt w:val="decimal"/>
      <w:lvlText w:val="%1."/>
      <w:lvlJc w:val="left"/>
      <w:pPr>
        <w:ind w:left="720" w:hanging="360"/>
      </w:pPr>
    </w:lvl>
    <w:lvl w:ilvl="1">
      <w:start w:val="1"/>
      <w:numFmt w:val="decimal"/>
      <w:pStyle w:val="Style2"/>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1D2E36A8"/>
    <w:multiLevelType w:val="hybridMultilevel"/>
    <w:tmpl w:val="8AC2C8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D406530"/>
    <w:multiLevelType w:val="hybridMultilevel"/>
    <w:tmpl w:val="661EF166"/>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8" w15:restartNumberingAfterBreak="0">
    <w:nsid w:val="1E223C42"/>
    <w:multiLevelType w:val="hybridMultilevel"/>
    <w:tmpl w:val="E356F574"/>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533E4C"/>
    <w:multiLevelType w:val="multilevel"/>
    <w:tmpl w:val="040C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0" w15:restartNumberingAfterBreak="0">
    <w:nsid w:val="21EE4FD5"/>
    <w:multiLevelType w:val="hybridMultilevel"/>
    <w:tmpl w:val="C19E5FC8"/>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2DE5CC3"/>
    <w:multiLevelType w:val="hybridMultilevel"/>
    <w:tmpl w:val="C832A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2F95A8C"/>
    <w:multiLevelType w:val="hybridMultilevel"/>
    <w:tmpl w:val="3056BB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73B3476"/>
    <w:multiLevelType w:val="hybridMultilevel"/>
    <w:tmpl w:val="A80EB4AE"/>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7D70E22"/>
    <w:multiLevelType w:val="multilevel"/>
    <w:tmpl w:val="9C1EDA64"/>
    <w:lvl w:ilvl="0">
      <w:start w:val="11"/>
      <w:numFmt w:val="decimal"/>
      <w:lvlText w:val="%1"/>
      <w:lvlJc w:val="left"/>
      <w:pPr>
        <w:ind w:left="384" w:hanging="384"/>
      </w:pPr>
      <w:rPr>
        <w:rFonts w:hint="default"/>
      </w:rPr>
    </w:lvl>
    <w:lvl w:ilvl="1">
      <w:start w:val="1"/>
      <w:numFmt w:val="decimal"/>
      <w:lvlText w:val="%1.%2"/>
      <w:lvlJc w:val="left"/>
      <w:pPr>
        <w:ind w:left="1574" w:hanging="384"/>
      </w:pPr>
      <w:rPr>
        <w:rFonts w:hint="default"/>
      </w:rPr>
    </w:lvl>
    <w:lvl w:ilvl="2">
      <w:start w:val="1"/>
      <w:numFmt w:val="decimal"/>
      <w:lvlText w:val="%1.%2.%3"/>
      <w:lvlJc w:val="left"/>
      <w:pPr>
        <w:ind w:left="3100" w:hanging="720"/>
      </w:pPr>
      <w:rPr>
        <w:rFonts w:hint="default"/>
      </w:rPr>
    </w:lvl>
    <w:lvl w:ilvl="3">
      <w:start w:val="1"/>
      <w:numFmt w:val="decimal"/>
      <w:lvlText w:val="%1.%2.%3.%4"/>
      <w:lvlJc w:val="left"/>
      <w:pPr>
        <w:ind w:left="4290" w:hanging="720"/>
      </w:pPr>
      <w:rPr>
        <w:rFonts w:hint="default"/>
      </w:rPr>
    </w:lvl>
    <w:lvl w:ilvl="4">
      <w:start w:val="1"/>
      <w:numFmt w:val="decimal"/>
      <w:lvlText w:val="%1.%2.%3.%4.%5"/>
      <w:lvlJc w:val="left"/>
      <w:pPr>
        <w:ind w:left="5840" w:hanging="1080"/>
      </w:pPr>
      <w:rPr>
        <w:rFonts w:hint="default"/>
      </w:rPr>
    </w:lvl>
    <w:lvl w:ilvl="5">
      <w:start w:val="1"/>
      <w:numFmt w:val="decimal"/>
      <w:lvlText w:val="%1.%2.%3.%4.%5.%6"/>
      <w:lvlJc w:val="left"/>
      <w:pPr>
        <w:ind w:left="7030" w:hanging="1080"/>
      </w:pPr>
      <w:rPr>
        <w:rFonts w:hint="default"/>
      </w:rPr>
    </w:lvl>
    <w:lvl w:ilvl="6">
      <w:start w:val="1"/>
      <w:numFmt w:val="decimal"/>
      <w:lvlText w:val="%1.%2.%3.%4.%5.%6.%7"/>
      <w:lvlJc w:val="left"/>
      <w:pPr>
        <w:ind w:left="8580" w:hanging="1440"/>
      </w:pPr>
      <w:rPr>
        <w:rFonts w:hint="default"/>
      </w:rPr>
    </w:lvl>
    <w:lvl w:ilvl="7">
      <w:start w:val="1"/>
      <w:numFmt w:val="decimal"/>
      <w:lvlText w:val="%1.%2.%3.%4.%5.%6.%7.%8"/>
      <w:lvlJc w:val="left"/>
      <w:pPr>
        <w:ind w:left="9770" w:hanging="1440"/>
      </w:pPr>
      <w:rPr>
        <w:rFonts w:hint="default"/>
      </w:rPr>
    </w:lvl>
    <w:lvl w:ilvl="8">
      <w:start w:val="1"/>
      <w:numFmt w:val="decimal"/>
      <w:lvlText w:val="%1.%2.%3.%4.%5.%6.%7.%8.%9"/>
      <w:lvlJc w:val="left"/>
      <w:pPr>
        <w:ind w:left="11320" w:hanging="1800"/>
      </w:pPr>
      <w:rPr>
        <w:rFonts w:hint="default"/>
      </w:rPr>
    </w:lvl>
  </w:abstractNum>
  <w:abstractNum w:abstractNumId="45" w15:restartNumberingAfterBreak="0">
    <w:nsid w:val="2C3A6162"/>
    <w:multiLevelType w:val="hybridMultilevel"/>
    <w:tmpl w:val="578AE5EE"/>
    <w:lvl w:ilvl="0" w:tplc="1696BD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DB66137"/>
    <w:multiLevelType w:val="hybridMultilevel"/>
    <w:tmpl w:val="A41AF1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E900415"/>
    <w:multiLevelType w:val="multilevel"/>
    <w:tmpl w:val="C5B694EE"/>
    <w:name w:val="zzmpBullets||Bullets|2|1|1|1|0|32||1|4|32||1|4|32||1|4|32||1|4|32||1|4|32||1|4|32||1|4|32||1|4|32||"/>
    <w:lvl w:ilvl="0">
      <w:start w:val="1"/>
      <w:numFmt w:val="bullet"/>
      <w:pStyle w:val="BulletsL1"/>
      <w:lvlText w:val=""/>
      <w:lvlJc w:val="left"/>
      <w:pPr>
        <w:tabs>
          <w:tab w:val="num" w:pos="992"/>
        </w:tabs>
        <w:ind w:left="992" w:hanging="992"/>
      </w:pPr>
      <w:rPr>
        <w:rFonts w:ascii="Wingdings" w:hAnsi="Wingdings" w:hint="default"/>
        <w:b w:val="0"/>
        <w:i w:val="0"/>
        <w:caps/>
        <w:smallCaps w:val="0"/>
        <w:u w:val="none"/>
      </w:rPr>
    </w:lvl>
    <w:lvl w:ilvl="1">
      <w:start w:val="1"/>
      <w:numFmt w:val="bullet"/>
      <w:pStyle w:val="BulletsL2"/>
      <w:lvlText w:val=""/>
      <w:lvlJc w:val="left"/>
      <w:pPr>
        <w:tabs>
          <w:tab w:val="num" w:pos="1985"/>
        </w:tabs>
        <w:ind w:left="1985" w:hanging="993"/>
      </w:pPr>
      <w:rPr>
        <w:rFonts w:ascii="Wingdings" w:hAnsi="Wingdings" w:hint="default"/>
        <w:b w:val="0"/>
        <w:i w:val="0"/>
        <w:caps w:val="0"/>
        <w:u w:val="none"/>
      </w:rPr>
    </w:lvl>
    <w:lvl w:ilvl="2">
      <w:start w:val="1"/>
      <w:numFmt w:val="bullet"/>
      <w:lvlRestart w:val="0"/>
      <w:pStyle w:val="BulletsL3"/>
      <w:lvlText w:val="·"/>
      <w:lvlJc w:val="left"/>
      <w:pPr>
        <w:tabs>
          <w:tab w:val="num" w:pos="2977"/>
        </w:tabs>
        <w:ind w:left="2977" w:hanging="992"/>
      </w:pPr>
      <w:rPr>
        <w:rFonts w:ascii="Symbol" w:hAnsi="Symbol" w:hint="default"/>
        <w:b w:val="0"/>
        <w:i w:val="0"/>
        <w:caps w:val="0"/>
        <w:u w:val="none"/>
      </w:rPr>
    </w:lvl>
    <w:lvl w:ilvl="3">
      <w:start w:val="1"/>
      <w:numFmt w:val="bullet"/>
      <w:lvlRestart w:val="0"/>
      <w:pStyle w:val="BulletsL4"/>
      <w:lvlText w:val="·"/>
      <w:lvlJc w:val="left"/>
      <w:pPr>
        <w:tabs>
          <w:tab w:val="num" w:pos="3969"/>
        </w:tabs>
        <w:ind w:left="3969" w:hanging="992"/>
      </w:pPr>
      <w:rPr>
        <w:rFonts w:ascii="Symbol" w:hAnsi="Symbol" w:hint="default"/>
        <w:b w:val="0"/>
        <w:i w:val="0"/>
        <w:caps w:val="0"/>
        <w:u w:val="none"/>
      </w:rPr>
    </w:lvl>
    <w:lvl w:ilvl="4">
      <w:start w:val="1"/>
      <w:numFmt w:val="bullet"/>
      <w:lvlRestart w:val="0"/>
      <w:pStyle w:val="BulletsL5"/>
      <w:lvlText w:val="·"/>
      <w:lvlJc w:val="left"/>
      <w:pPr>
        <w:tabs>
          <w:tab w:val="num" w:pos="4961"/>
        </w:tabs>
        <w:ind w:left="4961" w:hanging="992"/>
      </w:pPr>
      <w:rPr>
        <w:rFonts w:ascii="Symbol" w:hAnsi="Symbol" w:hint="default"/>
        <w:b w:val="0"/>
        <w:i w:val="0"/>
        <w:caps w:val="0"/>
        <w:u w:val="none"/>
      </w:rPr>
    </w:lvl>
    <w:lvl w:ilvl="5">
      <w:start w:val="1"/>
      <w:numFmt w:val="bullet"/>
      <w:lvlRestart w:val="0"/>
      <w:pStyle w:val="BulletsL6"/>
      <w:lvlText w:val="·"/>
      <w:lvlJc w:val="left"/>
      <w:pPr>
        <w:tabs>
          <w:tab w:val="num" w:pos="5954"/>
        </w:tabs>
        <w:ind w:left="5954" w:hanging="993"/>
      </w:pPr>
      <w:rPr>
        <w:rFonts w:ascii="Symbol" w:hAnsi="Symbol" w:hint="default"/>
        <w:b w:val="0"/>
        <w:i w:val="0"/>
        <w:caps w:val="0"/>
        <w:u w:val="none"/>
      </w:rPr>
    </w:lvl>
    <w:lvl w:ilvl="6">
      <w:start w:val="1"/>
      <w:numFmt w:val="bullet"/>
      <w:lvlRestart w:val="0"/>
      <w:pStyle w:val="BulletsL7"/>
      <w:lvlText w:val="–"/>
      <w:lvlJc w:val="left"/>
      <w:pPr>
        <w:tabs>
          <w:tab w:val="num" w:pos="992"/>
        </w:tabs>
        <w:ind w:left="992" w:hanging="992"/>
      </w:pPr>
      <w:rPr>
        <w:rFonts w:ascii="Calibri" w:hAnsi="Calibri" w:hint="default"/>
        <w:b w:val="0"/>
        <w:i w:val="0"/>
        <w:caps w:val="0"/>
        <w:u w:val="none"/>
      </w:rPr>
    </w:lvl>
    <w:lvl w:ilvl="7">
      <w:start w:val="1"/>
      <w:numFmt w:val="bullet"/>
      <w:lvlRestart w:val="0"/>
      <w:pStyle w:val="BulletsL8"/>
      <w:lvlText w:val="–"/>
      <w:lvlJc w:val="left"/>
      <w:pPr>
        <w:tabs>
          <w:tab w:val="num" w:pos="1985"/>
        </w:tabs>
        <w:ind w:left="1985" w:hanging="993"/>
      </w:pPr>
      <w:rPr>
        <w:rFonts w:ascii="Calibri" w:hAnsi="Calibri" w:hint="default"/>
        <w:b w:val="0"/>
        <w:i w:val="0"/>
        <w:caps w:val="0"/>
        <w:u w:val="none"/>
      </w:rPr>
    </w:lvl>
    <w:lvl w:ilvl="8">
      <w:start w:val="1"/>
      <w:numFmt w:val="bullet"/>
      <w:lvlRestart w:val="0"/>
      <w:pStyle w:val="BulletsL9"/>
      <w:lvlText w:val="–"/>
      <w:lvlJc w:val="left"/>
      <w:pPr>
        <w:tabs>
          <w:tab w:val="num" w:pos="2977"/>
        </w:tabs>
        <w:ind w:left="2977" w:hanging="992"/>
      </w:pPr>
      <w:rPr>
        <w:rFonts w:ascii="Calibri" w:hAnsi="Calibri" w:hint="default"/>
        <w:b w:val="0"/>
        <w:i w:val="0"/>
        <w:caps w:val="0"/>
        <w:u w:val="none"/>
      </w:rPr>
    </w:lvl>
  </w:abstractNum>
  <w:abstractNum w:abstractNumId="48" w15:restartNumberingAfterBreak="0">
    <w:nsid w:val="2F5043D2"/>
    <w:multiLevelType w:val="hybridMultilevel"/>
    <w:tmpl w:val="49EEB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2F964734"/>
    <w:multiLevelType w:val="hybridMultilevel"/>
    <w:tmpl w:val="9334AE4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FA761FE"/>
    <w:multiLevelType w:val="multilevel"/>
    <w:tmpl w:val="E466AE46"/>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413"/>
        </w:tabs>
        <w:ind w:left="1413" w:hanging="705"/>
      </w:pPr>
      <w:rPr>
        <w:rFonts w:cs="Times New Roman" w:hint="default"/>
        <w:b w:val="0"/>
        <w:i w:val="0"/>
      </w:rPr>
    </w:lvl>
    <w:lvl w:ilvl="2">
      <w:start w:val="1"/>
      <w:numFmt w:val="decimal"/>
      <w:lvlText w:val="%1.%2.%3"/>
      <w:lvlJc w:val="left"/>
      <w:pPr>
        <w:tabs>
          <w:tab w:val="num" w:pos="2136"/>
        </w:tabs>
        <w:ind w:left="2136" w:hanging="720"/>
      </w:pPr>
      <w:rPr>
        <w:rFonts w:cs="Times New Roman" w:hint="default"/>
      </w:rPr>
    </w:lvl>
    <w:lvl w:ilvl="3">
      <w:start w:val="1"/>
      <w:numFmt w:val="decimal"/>
      <w:pStyle w:val="font5"/>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51" w15:restartNumberingAfterBreak="0">
    <w:nsid w:val="319C6513"/>
    <w:multiLevelType w:val="hybridMultilevel"/>
    <w:tmpl w:val="922C2B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32023BE9"/>
    <w:multiLevelType w:val="hybridMultilevel"/>
    <w:tmpl w:val="14902148"/>
    <w:lvl w:ilvl="0" w:tplc="D270BAA4">
      <w:start w:val="1"/>
      <w:numFmt w:val="bullet"/>
      <w:lvlText w:val="►"/>
      <w:lvlJc w:val="left"/>
      <w:pPr>
        <w:ind w:left="360" w:hanging="360"/>
      </w:pPr>
      <w:rPr>
        <w:rFonts w:ascii="Arial Narrow" w:hAnsi="Arial Narrow" w:hint="default"/>
        <w:color w:val="4F81BD"/>
      </w:rPr>
    </w:lvl>
    <w:lvl w:ilvl="1" w:tplc="040C0003">
      <w:start w:val="1"/>
      <w:numFmt w:val="bullet"/>
      <w:pStyle w:val="DDBBullet2"/>
      <w:lvlText w:val="–"/>
      <w:lvlJc w:val="left"/>
      <w:pPr>
        <w:ind w:left="1080" w:hanging="360"/>
      </w:pPr>
      <w:rPr>
        <w:rFonts w:ascii="Arial" w:hAnsi="Arial" w:hint="default"/>
        <w:color w:val="0070C0"/>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32FC25D3"/>
    <w:multiLevelType w:val="hybridMultilevel"/>
    <w:tmpl w:val="94343C26"/>
    <w:lvl w:ilvl="0" w:tplc="3A7636EA">
      <w:start w:val="1"/>
      <w:numFmt w:val="bullet"/>
      <w:pStyle w:val="COVER-Bullet1"/>
      <w:lvlText w:val="►"/>
      <w:lvlJc w:val="left"/>
      <w:pPr>
        <w:ind w:left="720" w:hanging="360"/>
      </w:pPr>
      <w:rPr>
        <w:rFonts w:ascii="Arial Narrow" w:hAnsi="Arial Narrow" w:hint="default"/>
        <w:color w:val="4F81BD"/>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7950F23"/>
    <w:multiLevelType w:val="hybridMultilevel"/>
    <w:tmpl w:val="BC9E8A2A"/>
    <w:lvl w:ilvl="0" w:tplc="403A60C2">
      <w:start w:val="1"/>
      <w:numFmt w:val="bullet"/>
      <w:pStyle w:val="ListBullet3"/>
      <w:lvlText w:val=""/>
      <w:lvlJc w:val="left"/>
      <w:pPr>
        <w:ind w:left="1911" w:hanging="360"/>
      </w:pPr>
      <w:rPr>
        <w:rFonts w:ascii="Wingdings" w:hAnsi="Wingdings" w:hint="default"/>
        <w:color w:val="000080"/>
      </w:rPr>
    </w:lvl>
    <w:lvl w:ilvl="1" w:tplc="04090003" w:tentative="1">
      <w:start w:val="1"/>
      <w:numFmt w:val="bullet"/>
      <w:lvlText w:val="o"/>
      <w:lvlJc w:val="left"/>
      <w:pPr>
        <w:ind w:left="2631" w:hanging="360"/>
      </w:pPr>
      <w:rPr>
        <w:rFonts w:ascii="Courier New" w:hAnsi="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55" w15:restartNumberingAfterBreak="0">
    <w:nsid w:val="394F4982"/>
    <w:multiLevelType w:val="hybridMultilevel"/>
    <w:tmpl w:val="9DEA808A"/>
    <w:lvl w:ilvl="0" w:tplc="75EEB83A">
      <w:start w:val="799"/>
      <w:numFmt w:val="bullet"/>
      <w:lvlText w:val="-"/>
      <w:lvlJc w:val="left"/>
      <w:pPr>
        <w:ind w:left="720" w:hanging="360"/>
      </w:pPr>
      <w:rPr>
        <w:rFonts w:ascii="DilleniaUPC" w:eastAsia="Times New Roman" w:hAnsi="DilleniaUPC"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9C573F2"/>
    <w:multiLevelType w:val="hybridMultilevel"/>
    <w:tmpl w:val="BB903DAA"/>
    <w:lvl w:ilvl="0" w:tplc="0774342A">
      <w:numFmt w:val="bullet"/>
      <w:lvlText w:val="-"/>
      <w:lvlJc w:val="left"/>
      <w:pPr>
        <w:ind w:left="720" w:hanging="360"/>
      </w:pPr>
      <w:rPr>
        <w:rFonts w:ascii="Times New Roman" w:hAnsi="Times New Roman" w:hint="default"/>
        <w:b/>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3AAA5813"/>
    <w:multiLevelType w:val="hybridMultilevel"/>
    <w:tmpl w:val="E428800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3B863A26"/>
    <w:multiLevelType w:val="hybridMultilevel"/>
    <w:tmpl w:val="F7F8A49A"/>
    <w:lvl w:ilvl="0" w:tplc="4CFE0D2A">
      <w:numFmt w:val="bullet"/>
      <w:lvlText w:val="-"/>
      <w:lvlJc w:val="left"/>
      <w:pPr>
        <w:ind w:left="720" w:hanging="360"/>
      </w:pPr>
      <w:rPr>
        <w:rFonts w:ascii="Times New Roman" w:hAnsi="Times New Roman" w:hint="default"/>
        <w:b/>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3DF636A4"/>
    <w:multiLevelType w:val="hybridMultilevel"/>
    <w:tmpl w:val="C8248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E1568D5"/>
    <w:multiLevelType w:val="hybridMultilevel"/>
    <w:tmpl w:val="ED0456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3E8F26C2"/>
    <w:multiLevelType w:val="hybridMultilevel"/>
    <w:tmpl w:val="292288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EAC03EF"/>
    <w:multiLevelType w:val="hybridMultilevel"/>
    <w:tmpl w:val="14C645C8"/>
    <w:lvl w:ilvl="0" w:tplc="040C0001">
      <w:start w:val="1"/>
      <w:numFmt w:val="bullet"/>
      <w:lvlText w:val=""/>
      <w:lvlJc w:val="left"/>
      <w:pPr>
        <w:ind w:left="851" w:hanging="360"/>
      </w:pPr>
      <w:rPr>
        <w:rFonts w:ascii="Symbol" w:hAnsi="Symbol" w:hint="default"/>
        <w:color w:val="auto"/>
      </w:rPr>
    </w:lvl>
    <w:lvl w:ilvl="1" w:tplc="040C0003" w:tentative="1">
      <w:start w:val="1"/>
      <w:numFmt w:val="bullet"/>
      <w:lvlText w:val="o"/>
      <w:lvlJc w:val="left"/>
      <w:pPr>
        <w:ind w:left="1571" w:hanging="360"/>
      </w:pPr>
      <w:rPr>
        <w:rFonts w:ascii="Courier New" w:hAnsi="Courier New" w:hint="default"/>
      </w:rPr>
    </w:lvl>
    <w:lvl w:ilvl="2" w:tplc="040C0005" w:tentative="1">
      <w:start w:val="1"/>
      <w:numFmt w:val="bullet"/>
      <w:lvlText w:val=""/>
      <w:lvlJc w:val="left"/>
      <w:pPr>
        <w:ind w:left="2291" w:hanging="360"/>
      </w:pPr>
      <w:rPr>
        <w:rFonts w:ascii="Wingdings" w:hAnsi="Wingdings" w:hint="default"/>
      </w:rPr>
    </w:lvl>
    <w:lvl w:ilvl="3" w:tplc="040C0001" w:tentative="1">
      <w:start w:val="1"/>
      <w:numFmt w:val="bullet"/>
      <w:lvlText w:val=""/>
      <w:lvlJc w:val="left"/>
      <w:pPr>
        <w:ind w:left="3011" w:hanging="360"/>
      </w:pPr>
      <w:rPr>
        <w:rFonts w:ascii="Symbol" w:hAnsi="Symbol" w:hint="default"/>
      </w:rPr>
    </w:lvl>
    <w:lvl w:ilvl="4" w:tplc="040C0003" w:tentative="1">
      <w:start w:val="1"/>
      <w:numFmt w:val="bullet"/>
      <w:lvlText w:val="o"/>
      <w:lvlJc w:val="left"/>
      <w:pPr>
        <w:ind w:left="3731" w:hanging="360"/>
      </w:pPr>
      <w:rPr>
        <w:rFonts w:ascii="Courier New" w:hAnsi="Courier New" w:hint="default"/>
      </w:rPr>
    </w:lvl>
    <w:lvl w:ilvl="5" w:tplc="040C0005" w:tentative="1">
      <w:start w:val="1"/>
      <w:numFmt w:val="bullet"/>
      <w:lvlText w:val=""/>
      <w:lvlJc w:val="left"/>
      <w:pPr>
        <w:ind w:left="4451" w:hanging="360"/>
      </w:pPr>
      <w:rPr>
        <w:rFonts w:ascii="Wingdings" w:hAnsi="Wingdings" w:hint="default"/>
      </w:rPr>
    </w:lvl>
    <w:lvl w:ilvl="6" w:tplc="040C0001" w:tentative="1">
      <w:start w:val="1"/>
      <w:numFmt w:val="bullet"/>
      <w:lvlText w:val=""/>
      <w:lvlJc w:val="left"/>
      <w:pPr>
        <w:ind w:left="5171" w:hanging="360"/>
      </w:pPr>
      <w:rPr>
        <w:rFonts w:ascii="Symbol" w:hAnsi="Symbol" w:hint="default"/>
      </w:rPr>
    </w:lvl>
    <w:lvl w:ilvl="7" w:tplc="040C0003" w:tentative="1">
      <w:start w:val="1"/>
      <w:numFmt w:val="bullet"/>
      <w:lvlText w:val="o"/>
      <w:lvlJc w:val="left"/>
      <w:pPr>
        <w:ind w:left="5891" w:hanging="360"/>
      </w:pPr>
      <w:rPr>
        <w:rFonts w:ascii="Courier New" w:hAnsi="Courier New" w:hint="default"/>
      </w:rPr>
    </w:lvl>
    <w:lvl w:ilvl="8" w:tplc="040C0005" w:tentative="1">
      <w:start w:val="1"/>
      <w:numFmt w:val="bullet"/>
      <w:lvlText w:val=""/>
      <w:lvlJc w:val="left"/>
      <w:pPr>
        <w:ind w:left="6611" w:hanging="360"/>
      </w:pPr>
      <w:rPr>
        <w:rFonts w:ascii="Wingdings" w:hAnsi="Wingdings" w:hint="default"/>
      </w:rPr>
    </w:lvl>
  </w:abstractNum>
  <w:abstractNum w:abstractNumId="63" w15:restartNumberingAfterBreak="0">
    <w:nsid w:val="40745AEE"/>
    <w:multiLevelType w:val="hybridMultilevel"/>
    <w:tmpl w:val="55CCD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1A87DB0"/>
    <w:multiLevelType w:val="hybridMultilevel"/>
    <w:tmpl w:val="49CC7EEA"/>
    <w:lvl w:ilvl="0" w:tplc="040C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1B911CF"/>
    <w:multiLevelType w:val="hybridMultilevel"/>
    <w:tmpl w:val="A802F1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45546CA6"/>
    <w:multiLevelType w:val="hybridMultilevel"/>
    <w:tmpl w:val="1102D944"/>
    <w:lvl w:ilvl="0" w:tplc="B7689B08">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47420547"/>
    <w:multiLevelType w:val="hybridMultilevel"/>
    <w:tmpl w:val="4B9AA420"/>
    <w:lvl w:ilvl="0" w:tplc="040C0001">
      <w:start w:val="1"/>
      <w:numFmt w:val="bullet"/>
      <w:lvlText w:val=""/>
      <w:lvlJc w:val="left"/>
      <w:pPr>
        <w:ind w:left="706" w:hanging="360"/>
      </w:pPr>
      <w:rPr>
        <w:rFonts w:ascii="Symbol" w:hAnsi="Symbol" w:hint="default"/>
      </w:rPr>
    </w:lvl>
    <w:lvl w:ilvl="1" w:tplc="040C0003">
      <w:start w:val="1"/>
      <w:numFmt w:val="bullet"/>
      <w:lvlText w:val="o"/>
      <w:lvlJc w:val="left"/>
      <w:pPr>
        <w:ind w:left="1426" w:hanging="360"/>
      </w:pPr>
      <w:rPr>
        <w:rFonts w:ascii="Courier New" w:hAnsi="Courier New" w:hint="default"/>
      </w:rPr>
    </w:lvl>
    <w:lvl w:ilvl="2" w:tplc="040C0005">
      <w:start w:val="1"/>
      <w:numFmt w:val="bullet"/>
      <w:lvlText w:val=""/>
      <w:lvlJc w:val="left"/>
      <w:pPr>
        <w:ind w:left="2146" w:hanging="360"/>
      </w:pPr>
      <w:rPr>
        <w:rFonts w:ascii="Wingdings" w:hAnsi="Wingdings" w:hint="default"/>
      </w:rPr>
    </w:lvl>
    <w:lvl w:ilvl="3" w:tplc="040C0001" w:tentative="1">
      <w:start w:val="1"/>
      <w:numFmt w:val="bullet"/>
      <w:lvlText w:val=""/>
      <w:lvlJc w:val="left"/>
      <w:pPr>
        <w:ind w:left="2866" w:hanging="360"/>
      </w:pPr>
      <w:rPr>
        <w:rFonts w:ascii="Symbol" w:hAnsi="Symbol" w:hint="default"/>
      </w:rPr>
    </w:lvl>
    <w:lvl w:ilvl="4" w:tplc="040C0003" w:tentative="1">
      <w:start w:val="1"/>
      <w:numFmt w:val="bullet"/>
      <w:lvlText w:val="o"/>
      <w:lvlJc w:val="left"/>
      <w:pPr>
        <w:ind w:left="3586" w:hanging="360"/>
      </w:pPr>
      <w:rPr>
        <w:rFonts w:ascii="Courier New" w:hAnsi="Courier New" w:hint="default"/>
      </w:rPr>
    </w:lvl>
    <w:lvl w:ilvl="5" w:tplc="040C0005" w:tentative="1">
      <w:start w:val="1"/>
      <w:numFmt w:val="bullet"/>
      <w:lvlText w:val=""/>
      <w:lvlJc w:val="left"/>
      <w:pPr>
        <w:ind w:left="4306" w:hanging="360"/>
      </w:pPr>
      <w:rPr>
        <w:rFonts w:ascii="Wingdings" w:hAnsi="Wingdings" w:hint="default"/>
      </w:rPr>
    </w:lvl>
    <w:lvl w:ilvl="6" w:tplc="040C0001" w:tentative="1">
      <w:start w:val="1"/>
      <w:numFmt w:val="bullet"/>
      <w:lvlText w:val=""/>
      <w:lvlJc w:val="left"/>
      <w:pPr>
        <w:ind w:left="5026" w:hanging="360"/>
      </w:pPr>
      <w:rPr>
        <w:rFonts w:ascii="Symbol" w:hAnsi="Symbol" w:hint="default"/>
      </w:rPr>
    </w:lvl>
    <w:lvl w:ilvl="7" w:tplc="040C0003" w:tentative="1">
      <w:start w:val="1"/>
      <w:numFmt w:val="bullet"/>
      <w:lvlText w:val="o"/>
      <w:lvlJc w:val="left"/>
      <w:pPr>
        <w:ind w:left="5746" w:hanging="360"/>
      </w:pPr>
      <w:rPr>
        <w:rFonts w:ascii="Courier New" w:hAnsi="Courier New" w:hint="default"/>
      </w:rPr>
    </w:lvl>
    <w:lvl w:ilvl="8" w:tplc="040C0005" w:tentative="1">
      <w:start w:val="1"/>
      <w:numFmt w:val="bullet"/>
      <w:lvlText w:val=""/>
      <w:lvlJc w:val="left"/>
      <w:pPr>
        <w:ind w:left="6466" w:hanging="360"/>
      </w:pPr>
      <w:rPr>
        <w:rFonts w:ascii="Wingdings" w:hAnsi="Wingdings" w:hint="default"/>
      </w:rPr>
    </w:lvl>
  </w:abstractNum>
  <w:abstractNum w:abstractNumId="68" w15:restartNumberingAfterBreak="0">
    <w:nsid w:val="47722FC1"/>
    <w:multiLevelType w:val="hybridMultilevel"/>
    <w:tmpl w:val="6E0070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78E5C97"/>
    <w:multiLevelType w:val="multilevel"/>
    <w:tmpl w:val="3FEE1BB4"/>
    <w:lvl w:ilvl="0">
      <w:start w:val="1"/>
      <w:numFmt w:val="decimal"/>
      <w:pStyle w:val="MMTopic1"/>
      <w:suff w:val="space"/>
      <w:lvlText w:val="%1"/>
      <w:lvlJc w:val="left"/>
      <w:rPr>
        <w:rFonts w:cs="Times New Roman"/>
      </w:rPr>
    </w:lvl>
    <w:lvl w:ilvl="1">
      <w:start w:val="1"/>
      <w:numFmt w:val="decimal"/>
      <w:pStyle w:val="MMTopic2"/>
      <w:suff w:val="space"/>
      <w:lvlText w:val="%1.%2"/>
      <w:lvlJc w:val="left"/>
      <w:rPr>
        <w:rFonts w:cs="Times New Roman"/>
      </w:rPr>
    </w:lvl>
    <w:lvl w:ilvl="2">
      <w:start w:val="1"/>
      <w:numFmt w:val="decimal"/>
      <w:pStyle w:val="MMTopic3"/>
      <w:suff w:val="space"/>
      <w:lvlText w:val="%1.%2.%3"/>
      <w:lvlJc w:val="left"/>
      <w:rPr>
        <w:rFonts w:cs="Times New Roman"/>
      </w:rPr>
    </w:lvl>
    <w:lvl w:ilvl="3">
      <w:start w:val="1"/>
      <w:numFmt w:val="decimal"/>
      <w:pStyle w:val="MMTopic4"/>
      <w:suff w:val="space"/>
      <w:lvlText w:val="%1.%2.%3.%4"/>
      <w:lvlJc w:val="left"/>
      <w:rPr>
        <w:rFonts w:cs="Times New Roman"/>
      </w:rPr>
    </w:lvl>
    <w:lvl w:ilvl="4">
      <w:start w:val="1"/>
      <w:numFmt w:val="decimal"/>
      <w:pStyle w:val="MMTopic5"/>
      <w:suff w:val="space"/>
      <w:lvlText w:val="%1.%2.%3.%4.%5"/>
      <w:lvlJc w:val="left"/>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0" w15:restartNumberingAfterBreak="0">
    <w:nsid w:val="4A684665"/>
    <w:multiLevelType w:val="hybridMultilevel"/>
    <w:tmpl w:val="9250A8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A992447"/>
    <w:multiLevelType w:val="hybridMultilevel"/>
    <w:tmpl w:val="EFDC6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D090666"/>
    <w:multiLevelType w:val="hybridMultilevel"/>
    <w:tmpl w:val="909EA1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D1439EE"/>
    <w:multiLevelType w:val="multilevel"/>
    <w:tmpl w:val="28465462"/>
    <w:lvl w:ilvl="0">
      <w:start w:val="1"/>
      <w:numFmt w:val="decimal"/>
      <w:pStyle w:val="TITREA192"/>
      <w:lvlText w:val="%1"/>
      <w:lvlJc w:val="left"/>
      <w:pPr>
        <w:tabs>
          <w:tab w:val="num" w:pos="1272"/>
        </w:tabs>
        <w:ind w:left="1272" w:hanging="705"/>
      </w:pPr>
      <w:rPr>
        <w:rFonts w:cs="Times New Roman" w:hint="default"/>
      </w:rPr>
    </w:lvl>
    <w:lvl w:ilvl="1">
      <w:start w:val="1"/>
      <w:numFmt w:val="decimal"/>
      <w:lvlText w:val="%1.%2"/>
      <w:lvlJc w:val="left"/>
      <w:pPr>
        <w:tabs>
          <w:tab w:val="num" w:pos="1980"/>
        </w:tabs>
        <w:ind w:left="1980" w:hanging="705"/>
      </w:pPr>
      <w:rPr>
        <w:rFonts w:cs="Times New Roman" w:hint="default"/>
        <w:b w:val="0"/>
        <w:i w:val="0"/>
      </w:rPr>
    </w:lvl>
    <w:lvl w:ilvl="2">
      <w:start w:val="1"/>
      <w:numFmt w:val="decimal"/>
      <w:lvlText w:val="%1.%2.%3"/>
      <w:lvlJc w:val="left"/>
      <w:pPr>
        <w:tabs>
          <w:tab w:val="num" w:pos="2703"/>
        </w:tabs>
        <w:ind w:left="2703" w:hanging="720"/>
      </w:pPr>
      <w:rPr>
        <w:rFonts w:cs="Times New Roman" w:hint="default"/>
      </w:rPr>
    </w:lvl>
    <w:lvl w:ilvl="3">
      <w:start w:val="1"/>
      <w:numFmt w:val="decimal"/>
      <w:lvlText w:val="%1.%2.%3.%4"/>
      <w:lvlJc w:val="left"/>
      <w:pPr>
        <w:tabs>
          <w:tab w:val="num" w:pos="3411"/>
        </w:tabs>
        <w:ind w:left="3411" w:hanging="720"/>
      </w:pPr>
      <w:rPr>
        <w:rFonts w:cs="Times New Roman" w:hint="default"/>
      </w:rPr>
    </w:lvl>
    <w:lvl w:ilvl="4">
      <w:start w:val="1"/>
      <w:numFmt w:val="decimal"/>
      <w:lvlText w:val="%1.%2.%3.%4.%5"/>
      <w:lvlJc w:val="left"/>
      <w:pPr>
        <w:tabs>
          <w:tab w:val="num" w:pos="4479"/>
        </w:tabs>
        <w:ind w:left="4479" w:hanging="1080"/>
      </w:pPr>
      <w:rPr>
        <w:rFonts w:cs="Times New Roman" w:hint="default"/>
      </w:rPr>
    </w:lvl>
    <w:lvl w:ilvl="5">
      <w:start w:val="1"/>
      <w:numFmt w:val="decimal"/>
      <w:lvlText w:val="%1.%2.%3.%4.%5.%6"/>
      <w:lvlJc w:val="left"/>
      <w:pPr>
        <w:tabs>
          <w:tab w:val="num" w:pos="5187"/>
        </w:tabs>
        <w:ind w:left="5187" w:hanging="1080"/>
      </w:pPr>
      <w:rPr>
        <w:rFonts w:cs="Times New Roman" w:hint="default"/>
      </w:rPr>
    </w:lvl>
    <w:lvl w:ilvl="6">
      <w:start w:val="1"/>
      <w:numFmt w:val="decimal"/>
      <w:lvlText w:val="%1.%2.%3.%4.%5.%6.%7"/>
      <w:lvlJc w:val="left"/>
      <w:pPr>
        <w:tabs>
          <w:tab w:val="num" w:pos="6255"/>
        </w:tabs>
        <w:ind w:left="6255" w:hanging="1440"/>
      </w:pPr>
      <w:rPr>
        <w:rFonts w:cs="Times New Roman" w:hint="default"/>
      </w:rPr>
    </w:lvl>
    <w:lvl w:ilvl="7">
      <w:start w:val="1"/>
      <w:numFmt w:val="decimal"/>
      <w:lvlText w:val="%1.%2.%3.%4.%5.%6.%7.%8"/>
      <w:lvlJc w:val="left"/>
      <w:pPr>
        <w:tabs>
          <w:tab w:val="num" w:pos="6963"/>
        </w:tabs>
        <w:ind w:left="6963" w:hanging="1440"/>
      </w:pPr>
      <w:rPr>
        <w:rFonts w:cs="Times New Roman" w:hint="default"/>
      </w:rPr>
    </w:lvl>
    <w:lvl w:ilvl="8">
      <w:start w:val="1"/>
      <w:numFmt w:val="decimal"/>
      <w:lvlText w:val="%1.%2.%3.%4.%5.%6.%7.%8.%9"/>
      <w:lvlJc w:val="left"/>
      <w:pPr>
        <w:tabs>
          <w:tab w:val="num" w:pos="8031"/>
        </w:tabs>
        <w:ind w:left="8031" w:hanging="1800"/>
      </w:pPr>
      <w:rPr>
        <w:rFonts w:cs="Times New Roman" w:hint="default"/>
      </w:rPr>
    </w:lvl>
  </w:abstractNum>
  <w:abstractNum w:abstractNumId="74" w15:restartNumberingAfterBreak="0">
    <w:nsid w:val="507279FE"/>
    <w:multiLevelType w:val="multilevel"/>
    <w:tmpl w:val="422CE14A"/>
    <w:styleLink w:val="StyleAvecpuces3"/>
    <w:lvl w:ilvl="0">
      <w:start w:val="18"/>
      <w:numFmt w:val="bullet"/>
      <w:lvlText w:val="-"/>
      <w:lvlJc w:val="left"/>
      <w:pPr>
        <w:tabs>
          <w:tab w:val="num" w:pos="720"/>
        </w:tabs>
        <w:ind w:left="720" w:hanging="360"/>
      </w:pPr>
      <w:rPr>
        <w:rFonts w:ascii="Times New Roman" w:hAnsi="Times New Roman"/>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1381AAD"/>
    <w:multiLevelType w:val="hybridMultilevel"/>
    <w:tmpl w:val="A9A25B44"/>
    <w:lvl w:ilvl="0" w:tplc="040C000F">
      <w:start w:val="1"/>
      <w:numFmt w:val="decimal"/>
      <w:lvlText w:val="%1."/>
      <w:lvlJc w:val="left"/>
      <w:pPr>
        <w:ind w:left="720" w:hanging="360"/>
      </w:pPr>
      <w:rPr>
        <w:rFonts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2041B82"/>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7" w15:restartNumberingAfterBreak="0">
    <w:nsid w:val="537F65CA"/>
    <w:multiLevelType w:val="hybridMultilevel"/>
    <w:tmpl w:val="78D066B6"/>
    <w:lvl w:ilvl="0" w:tplc="0774342A">
      <w:numFmt w:val="bullet"/>
      <w:lvlText w:val="-"/>
      <w:lvlJc w:val="left"/>
      <w:pPr>
        <w:ind w:left="720" w:hanging="360"/>
      </w:pPr>
      <w:rPr>
        <w:rFonts w:ascii="Times New Roman" w:hAnsi="Times New Roman" w:hint="default"/>
        <w:b/>
      </w:rPr>
    </w:lvl>
    <w:lvl w:ilvl="1" w:tplc="0774342A">
      <w:numFmt w:val="bullet"/>
      <w:lvlText w:val="-"/>
      <w:lvlJc w:val="left"/>
      <w:pPr>
        <w:ind w:left="1440" w:hanging="360"/>
      </w:pPr>
      <w:rPr>
        <w:rFonts w:ascii="Times New Roman" w:hAnsi="Times New Roman" w:hint="default"/>
        <w: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555C6779"/>
    <w:multiLevelType w:val="hybridMultilevel"/>
    <w:tmpl w:val="B5B8DFEA"/>
    <w:lvl w:ilvl="0" w:tplc="F604B560">
      <w:start w:val="1"/>
      <w:numFmt w:val="decimal"/>
      <w:lvlText w:val="(%1)"/>
      <w:lvlJc w:val="left"/>
      <w:pPr>
        <w:ind w:left="720" w:hanging="360"/>
      </w:pPr>
      <w:rPr>
        <w:rFonts w:hint="default"/>
        <w:i/>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70B7B4A"/>
    <w:multiLevelType w:val="hybridMultilevel"/>
    <w:tmpl w:val="14FA2922"/>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9170AA9"/>
    <w:multiLevelType w:val="hybridMultilevel"/>
    <w:tmpl w:val="2E840492"/>
    <w:lvl w:ilvl="0" w:tplc="040C0001">
      <w:start w:val="1"/>
      <w:numFmt w:val="bullet"/>
      <w:lvlText w:val=""/>
      <w:lvlJc w:val="left"/>
      <w:pPr>
        <w:tabs>
          <w:tab w:val="num" w:pos="706"/>
        </w:tabs>
        <w:ind w:left="706" w:hanging="360"/>
      </w:pPr>
      <w:rPr>
        <w:rFonts w:ascii="Symbol" w:hAnsi="Symbol" w:hint="default"/>
      </w:rPr>
    </w:lvl>
    <w:lvl w:ilvl="1" w:tplc="040C0003">
      <w:start w:val="1"/>
      <w:numFmt w:val="bullet"/>
      <w:lvlText w:val="o"/>
      <w:lvlJc w:val="left"/>
      <w:pPr>
        <w:ind w:left="1426" w:hanging="360"/>
      </w:pPr>
      <w:rPr>
        <w:rFonts w:ascii="Courier New" w:hAnsi="Courier New" w:hint="default"/>
      </w:rPr>
    </w:lvl>
    <w:lvl w:ilvl="2" w:tplc="040C0005">
      <w:start w:val="1"/>
      <w:numFmt w:val="bullet"/>
      <w:lvlText w:val=""/>
      <w:lvlJc w:val="left"/>
      <w:pPr>
        <w:ind w:left="2146" w:hanging="360"/>
      </w:pPr>
      <w:rPr>
        <w:rFonts w:ascii="Wingdings" w:hAnsi="Wingdings" w:hint="default"/>
      </w:rPr>
    </w:lvl>
    <w:lvl w:ilvl="3" w:tplc="040C0001" w:tentative="1">
      <w:start w:val="1"/>
      <w:numFmt w:val="bullet"/>
      <w:lvlText w:val=""/>
      <w:lvlJc w:val="left"/>
      <w:pPr>
        <w:ind w:left="2866" w:hanging="360"/>
      </w:pPr>
      <w:rPr>
        <w:rFonts w:ascii="Symbol" w:hAnsi="Symbol" w:hint="default"/>
      </w:rPr>
    </w:lvl>
    <w:lvl w:ilvl="4" w:tplc="040C0003" w:tentative="1">
      <w:start w:val="1"/>
      <w:numFmt w:val="bullet"/>
      <w:lvlText w:val="o"/>
      <w:lvlJc w:val="left"/>
      <w:pPr>
        <w:ind w:left="3586" w:hanging="360"/>
      </w:pPr>
      <w:rPr>
        <w:rFonts w:ascii="Courier New" w:hAnsi="Courier New" w:hint="default"/>
      </w:rPr>
    </w:lvl>
    <w:lvl w:ilvl="5" w:tplc="040C0005" w:tentative="1">
      <w:start w:val="1"/>
      <w:numFmt w:val="bullet"/>
      <w:lvlText w:val=""/>
      <w:lvlJc w:val="left"/>
      <w:pPr>
        <w:ind w:left="4306" w:hanging="360"/>
      </w:pPr>
      <w:rPr>
        <w:rFonts w:ascii="Wingdings" w:hAnsi="Wingdings" w:hint="default"/>
      </w:rPr>
    </w:lvl>
    <w:lvl w:ilvl="6" w:tplc="040C0001" w:tentative="1">
      <w:start w:val="1"/>
      <w:numFmt w:val="bullet"/>
      <w:lvlText w:val=""/>
      <w:lvlJc w:val="left"/>
      <w:pPr>
        <w:ind w:left="5026" w:hanging="360"/>
      </w:pPr>
      <w:rPr>
        <w:rFonts w:ascii="Symbol" w:hAnsi="Symbol" w:hint="default"/>
      </w:rPr>
    </w:lvl>
    <w:lvl w:ilvl="7" w:tplc="040C0003" w:tentative="1">
      <w:start w:val="1"/>
      <w:numFmt w:val="bullet"/>
      <w:lvlText w:val="o"/>
      <w:lvlJc w:val="left"/>
      <w:pPr>
        <w:ind w:left="5746" w:hanging="360"/>
      </w:pPr>
      <w:rPr>
        <w:rFonts w:ascii="Courier New" w:hAnsi="Courier New" w:hint="default"/>
      </w:rPr>
    </w:lvl>
    <w:lvl w:ilvl="8" w:tplc="040C0005" w:tentative="1">
      <w:start w:val="1"/>
      <w:numFmt w:val="bullet"/>
      <w:lvlText w:val=""/>
      <w:lvlJc w:val="left"/>
      <w:pPr>
        <w:ind w:left="6466" w:hanging="360"/>
      </w:pPr>
      <w:rPr>
        <w:rFonts w:ascii="Wingdings" w:hAnsi="Wingdings" w:hint="default"/>
      </w:rPr>
    </w:lvl>
  </w:abstractNum>
  <w:abstractNum w:abstractNumId="81" w15:restartNumberingAfterBreak="0">
    <w:nsid w:val="5A9844A1"/>
    <w:multiLevelType w:val="hybridMultilevel"/>
    <w:tmpl w:val="B614C5E8"/>
    <w:lvl w:ilvl="0" w:tplc="DF1244DA">
      <w:start w:val="1"/>
      <w:numFmt w:val="bullet"/>
      <w:pStyle w:val="Hyphen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B1207F4"/>
    <w:multiLevelType w:val="hybridMultilevel"/>
    <w:tmpl w:val="7988C4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5BEF1B97"/>
    <w:multiLevelType w:val="hybridMultilevel"/>
    <w:tmpl w:val="6FC40EEE"/>
    <w:lvl w:ilvl="0" w:tplc="040C0001">
      <w:start w:val="1"/>
      <w:numFmt w:val="bullet"/>
      <w:lvlText w:val=""/>
      <w:lvlJc w:val="left"/>
      <w:pPr>
        <w:ind w:left="1996" w:hanging="360"/>
      </w:pPr>
      <w:rPr>
        <w:rFonts w:ascii="Symbol" w:hAnsi="Symbol"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84" w15:restartNumberingAfterBreak="0">
    <w:nsid w:val="5CB13EDB"/>
    <w:multiLevelType w:val="hybridMultilevel"/>
    <w:tmpl w:val="A9A25B44"/>
    <w:lvl w:ilvl="0" w:tplc="040C000F">
      <w:start w:val="1"/>
      <w:numFmt w:val="decimal"/>
      <w:lvlText w:val="%1."/>
      <w:lvlJc w:val="left"/>
      <w:pPr>
        <w:ind w:left="720" w:hanging="360"/>
      </w:pPr>
      <w:rPr>
        <w:rFonts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EF93CCD"/>
    <w:multiLevelType w:val="hybridMultilevel"/>
    <w:tmpl w:val="D3AC0230"/>
    <w:lvl w:ilvl="0" w:tplc="040C0001">
      <w:start w:val="1"/>
      <w:numFmt w:val="bullet"/>
      <w:lvlText w:val=""/>
      <w:lvlJc w:val="left"/>
      <w:pPr>
        <w:ind w:left="1069" w:hanging="360"/>
      </w:pPr>
      <w:rPr>
        <w:rFonts w:ascii="Symbol" w:hAnsi="Symbol" w:hint="default"/>
      </w:rPr>
    </w:lvl>
    <w:lvl w:ilvl="1" w:tplc="040C0003">
      <w:start w:val="1"/>
      <w:numFmt w:val="bullet"/>
      <w:lvlText w:val="o"/>
      <w:lvlJc w:val="left"/>
      <w:pPr>
        <w:ind w:left="1789" w:hanging="360"/>
      </w:pPr>
      <w:rPr>
        <w:rFonts w:ascii="Courier New" w:hAnsi="Courier New" w:cs="Courier New" w:hint="default"/>
      </w:rPr>
    </w:lvl>
    <w:lvl w:ilvl="2" w:tplc="040C0005">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6" w15:restartNumberingAfterBreak="0">
    <w:nsid w:val="5F80029D"/>
    <w:multiLevelType w:val="hybridMultilevel"/>
    <w:tmpl w:val="0F4AE5E4"/>
    <w:lvl w:ilvl="0" w:tplc="FC0CEA3C">
      <w:start w:val="1"/>
      <w:numFmt w:val="bullet"/>
      <w:lvlText w:val=""/>
      <w:lvlJc w:val="left"/>
      <w:pPr>
        <w:ind w:left="1211" w:hanging="360"/>
      </w:pPr>
      <w:rPr>
        <w:rFonts w:ascii="Symbol" w:hAnsi="Symbol" w:hint="default"/>
        <w:sz w:val="20"/>
      </w:rPr>
    </w:lvl>
    <w:lvl w:ilvl="1" w:tplc="04070003" w:tentative="1">
      <w:start w:val="1"/>
      <w:numFmt w:val="bullet"/>
      <w:lvlText w:val="o"/>
      <w:lvlJc w:val="left"/>
      <w:pPr>
        <w:ind w:left="1931" w:hanging="360"/>
      </w:pPr>
      <w:rPr>
        <w:rFonts w:ascii="Courier New" w:hAnsi="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87" w15:restartNumberingAfterBreak="0">
    <w:nsid w:val="60375B82"/>
    <w:multiLevelType w:val="hybridMultilevel"/>
    <w:tmpl w:val="95F45D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636F6129"/>
    <w:multiLevelType w:val="hybridMultilevel"/>
    <w:tmpl w:val="3600EFDC"/>
    <w:lvl w:ilvl="0" w:tplc="816806B4">
      <w:start w:val="1"/>
      <w:numFmt w:val="bullet"/>
      <w:pStyle w:val="ListParagraph1"/>
      <w:lvlText w:val=""/>
      <w:lvlJc w:val="left"/>
      <w:pPr>
        <w:tabs>
          <w:tab w:val="num" w:pos="720"/>
        </w:tabs>
        <w:ind w:left="720" w:hanging="72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3C4348F"/>
    <w:multiLevelType w:val="hybridMultilevel"/>
    <w:tmpl w:val="FC749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53C7FB9"/>
    <w:multiLevelType w:val="hybridMultilevel"/>
    <w:tmpl w:val="5B8EBB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698C6E45"/>
    <w:multiLevelType w:val="hybridMultilevel"/>
    <w:tmpl w:val="5232A8AC"/>
    <w:lvl w:ilvl="0" w:tplc="040C0001">
      <w:start w:val="1"/>
      <w:numFmt w:val="bullet"/>
      <w:lvlText w:val=""/>
      <w:lvlJc w:val="left"/>
      <w:pPr>
        <w:ind w:left="720" w:hanging="360"/>
      </w:pPr>
      <w:rPr>
        <w:rFonts w:ascii="Symbol" w:hAnsi="Symbol" w:hint="default"/>
        <w:color w:val="auto"/>
      </w:rPr>
    </w:lvl>
    <w:lvl w:ilvl="1" w:tplc="3B4AFB60">
      <w:numFmt w:val="bullet"/>
      <w:lvlText w:val="-"/>
      <w:lvlJc w:val="left"/>
      <w:pPr>
        <w:ind w:left="1440" w:hanging="360"/>
      </w:pPr>
      <w:rPr>
        <w:rFonts w:ascii="Times New Roman" w:eastAsia="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6A5510F9"/>
    <w:multiLevelType w:val="multilevel"/>
    <w:tmpl w:val="50A68586"/>
    <w:styleLink w:val="StyleAvecpuces"/>
    <w:lvl w:ilvl="0">
      <w:numFmt w:val="bullet"/>
      <w:lvlText w:val="-"/>
      <w:lvlJc w:val="left"/>
      <w:pPr>
        <w:tabs>
          <w:tab w:val="num" w:pos="720"/>
        </w:tabs>
        <w:ind w:left="720" w:hanging="360"/>
      </w:pPr>
      <w:rPr>
        <w:rFonts w:ascii="Calibri" w:hAnsi="Calibri"/>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C41510D"/>
    <w:multiLevelType w:val="hybridMultilevel"/>
    <w:tmpl w:val="31D64C20"/>
    <w:lvl w:ilvl="0" w:tplc="0774342A">
      <w:numFmt w:val="bullet"/>
      <w:lvlText w:val="-"/>
      <w:lvlJc w:val="left"/>
      <w:pPr>
        <w:ind w:left="1428" w:hanging="360"/>
      </w:pPr>
      <w:rPr>
        <w:rFonts w:ascii="Times New Roman" w:hAnsi="Times New Roman" w:hint="default"/>
        <w:b/>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4" w15:restartNumberingAfterBreak="0">
    <w:nsid w:val="6C582928"/>
    <w:multiLevelType w:val="hybridMultilevel"/>
    <w:tmpl w:val="46B03C82"/>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C5E196B"/>
    <w:multiLevelType w:val="hybridMultilevel"/>
    <w:tmpl w:val="B6B4B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C7056BD"/>
    <w:multiLevelType w:val="hybridMultilevel"/>
    <w:tmpl w:val="9EC6BAA2"/>
    <w:lvl w:ilvl="0" w:tplc="841A521A">
      <w:start w:val="1"/>
      <w:numFmt w:val="bullet"/>
      <w:lvlText w:val="-"/>
      <w:lvlJc w:val="left"/>
      <w:pPr>
        <w:ind w:left="720" w:hanging="360"/>
      </w:pPr>
      <w:rPr>
        <w:rFonts w:ascii="Calibri" w:eastAsia="Times New Roman" w:hAnsi="Calibri" w:cs="Calibri" w:hint="default"/>
        <w:color w:val="auto"/>
      </w:rPr>
    </w:lvl>
    <w:lvl w:ilvl="1" w:tplc="3B4AFB60">
      <w:numFmt w:val="bullet"/>
      <w:lvlText w:val="-"/>
      <w:lvlJc w:val="left"/>
      <w:pPr>
        <w:ind w:left="1440" w:hanging="360"/>
      </w:pPr>
      <w:rPr>
        <w:rFonts w:ascii="Times New Roman" w:eastAsia="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D925A01"/>
    <w:multiLevelType w:val="hybridMultilevel"/>
    <w:tmpl w:val="636EE71C"/>
    <w:lvl w:ilvl="0" w:tplc="B01827AC">
      <w:start w:val="1"/>
      <w:numFmt w:val="lowerLetter"/>
      <w:pStyle w:val="soustitrea"/>
      <w:lvlText w:val="%1)"/>
      <w:lvlJc w:val="left"/>
      <w:pPr>
        <w:tabs>
          <w:tab w:val="num" w:pos="1304"/>
        </w:tabs>
        <w:ind w:left="1304" w:hanging="453"/>
      </w:pPr>
      <w:rPr>
        <w:rFonts w:ascii="Tahoma" w:hAnsi="Tahoma" w:cs="Times New Roman" w:hint="default"/>
        <w:b/>
        <w:i w:val="0"/>
        <w:sz w:val="20"/>
      </w:rPr>
    </w:lvl>
    <w:lvl w:ilvl="1" w:tplc="677A3D3A" w:tentative="1">
      <w:start w:val="1"/>
      <w:numFmt w:val="lowerLetter"/>
      <w:lvlText w:val="%2."/>
      <w:lvlJc w:val="left"/>
      <w:pPr>
        <w:tabs>
          <w:tab w:val="num" w:pos="1043"/>
        </w:tabs>
        <w:ind w:left="1043" w:hanging="360"/>
      </w:pPr>
      <w:rPr>
        <w:rFonts w:cs="Times New Roman"/>
      </w:rPr>
    </w:lvl>
    <w:lvl w:ilvl="2" w:tplc="4306BD78" w:tentative="1">
      <w:start w:val="1"/>
      <w:numFmt w:val="lowerRoman"/>
      <w:lvlText w:val="%3."/>
      <w:lvlJc w:val="right"/>
      <w:pPr>
        <w:tabs>
          <w:tab w:val="num" w:pos="1763"/>
        </w:tabs>
        <w:ind w:left="1763" w:hanging="180"/>
      </w:pPr>
      <w:rPr>
        <w:rFonts w:cs="Times New Roman"/>
      </w:rPr>
    </w:lvl>
    <w:lvl w:ilvl="3" w:tplc="3F9C901C" w:tentative="1">
      <w:start w:val="1"/>
      <w:numFmt w:val="decimal"/>
      <w:lvlText w:val="%4."/>
      <w:lvlJc w:val="left"/>
      <w:pPr>
        <w:tabs>
          <w:tab w:val="num" w:pos="2483"/>
        </w:tabs>
        <w:ind w:left="2483" w:hanging="360"/>
      </w:pPr>
      <w:rPr>
        <w:rFonts w:cs="Times New Roman"/>
      </w:rPr>
    </w:lvl>
    <w:lvl w:ilvl="4" w:tplc="091E40DA" w:tentative="1">
      <w:start w:val="1"/>
      <w:numFmt w:val="lowerLetter"/>
      <w:lvlText w:val="%5."/>
      <w:lvlJc w:val="left"/>
      <w:pPr>
        <w:tabs>
          <w:tab w:val="num" w:pos="3203"/>
        </w:tabs>
        <w:ind w:left="3203" w:hanging="360"/>
      </w:pPr>
      <w:rPr>
        <w:rFonts w:cs="Times New Roman"/>
      </w:rPr>
    </w:lvl>
    <w:lvl w:ilvl="5" w:tplc="5E3EDB94" w:tentative="1">
      <w:start w:val="1"/>
      <w:numFmt w:val="lowerRoman"/>
      <w:lvlText w:val="%6."/>
      <w:lvlJc w:val="right"/>
      <w:pPr>
        <w:tabs>
          <w:tab w:val="num" w:pos="3923"/>
        </w:tabs>
        <w:ind w:left="3923" w:hanging="180"/>
      </w:pPr>
      <w:rPr>
        <w:rFonts w:cs="Times New Roman"/>
      </w:rPr>
    </w:lvl>
    <w:lvl w:ilvl="6" w:tplc="43F6C9C4" w:tentative="1">
      <w:start w:val="1"/>
      <w:numFmt w:val="decimal"/>
      <w:lvlText w:val="%7."/>
      <w:lvlJc w:val="left"/>
      <w:pPr>
        <w:tabs>
          <w:tab w:val="num" w:pos="4643"/>
        </w:tabs>
        <w:ind w:left="4643" w:hanging="360"/>
      </w:pPr>
      <w:rPr>
        <w:rFonts w:cs="Times New Roman"/>
      </w:rPr>
    </w:lvl>
    <w:lvl w:ilvl="7" w:tplc="0E5AE0AE" w:tentative="1">
      <w:start w:val="1"/>
      <w:numFmt w:val="lowerLetter"/>
      <w:lvlText w:val="%8."/>
      <w:lvlJc w:val="left"/>
      <w:pPr>
        <w:tabs>
          <w:tab w:val="num" w:pos="5363"/>
        </w:tabs>
        <w:ind w:left="5363" w:hanging="360"/>
      </w:pPr>
      <w:rPr>
        <w:rFonts w:cs="Times New Roman"/>
      </w:rPr>
    </w:lvl>
    <w:lvl w:ilvl="8" w:tplc="30CC80E2" w:tentative="1">
      <w:start w:val="1"/>
      <w:numFmt w:val="lowerRoman"/>
      <w:lvlText w:val="%9."/>
      <w:lvlJc w:val="right"/>
      <w:pPr>
        <w:tabs>
          <w:tab w:val="num" w:pos="6083"/>
        </w:tabs>
        <w:ind w:left="6083" w:hanging="180"/>
      </w:pPr>
      <w:rPr>
        <w:rFonts w:cs="Times New Roman"/>
      </w:rPr>
    </w:lvl>
  </w:abstractNum>
  <w:abstractNum w:abstractNumId="98" w15:restartNumberingAfterBreak="0">
    <w:nsid w:val="6DFF2CAC"/>
    <w:multiLevelType w:val="hybridMultilevel"/>
    <w:tmpl w:val="055E47C4"/>
    <w:lvl w:ilvl="0" w:tplc="040C0001">
      <w:start w:val="1"/>
      <w:numFmt w:val="bullet"/>
      <w:lvlText w:val=""/>
      <w:lvlJc w:val="left"/>
      <w:pPr>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E4D5707"/>
    <w:multiLevelType w:val="hybridMultilevel"/>
    <w:tmpl w:val="9FEE1196"/>
    <w:lvl w:ilvl="0" w:tplc="FF38D04C">
      <w:start w:val="1"/>
      <w:numFmt w:val="bullet"/>
      <w:pStyle w:val="A-Puces"/>
      <w:lvlText w:val="-"/>
      <w:lvlJc w:val="left"/>
      <w:pPr>
        <w:tabs>
          <w:tab w:val="num" w:pos="714"/>
        </w:tabs>
        <w:ind w:left="714"/>
      </w:pPr>
      <w:rPr>
        <w:rFonts w:ascii="Times New Roman" w:eastAsia="Times New Roman" w:hAnsi="Times New Roman"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00" w15:restartNumberingAfterBreak="0">
    <w:nsid w:val="6F5E36C4"/>
    <w:multiLevelType w:val="hybridMultilevel"/>
    <w:tmpl w:val="8AC2BCEE"/>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1" w15:restartNumberingAfterBreak="0">
    <w:nsid w:val="729E5E04"/>
    <w:multiLevelType w:val="hybridMultilevel"/>
    <w:tmpl w:val="0D921A8A"/>
    <w:lvl w:ilvl="0" w:tplc="040C0001">
      <w:start w:val="1"/>
      <w:numFmt w:val="bullet"/>
      <w:lvlText w:val=""/>
      <w:lvlJc w:val="left"/>
      <w:pPr>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2B96B23"/>
    <w:multiLevelType w:val="multilevel"/>
    <w:tmpl w:val="660AF3B6"/>
    <w:lvl w:ilvl="0">
      <w:start w:val="1"/>
      <w:numFmt w:val="none"/>
      <w:pStyle w:val="CarCarCar"/>
      <w:lvlText w:val="CHAPITRE 1"/>
      <w:lvlJc w:val="left"/>
      <w:pPr>
        <w:tabs>
          <w:tab w:val="num" w:pos="709"/>
        </w:tabs>
        <w:ind w:left="709" w:hanging="709"/>
      </w:pPr>
      <w:rPr>
        <w:rFonts w:ascii="Arial Gras" w:hAnsi="Arial Gras" w:cs="Arial Gras" w:hint="default"/>
        <w:b/>
        <w:bCs/>
        <w:i w:val="0"/>
        <w:iCs w:val="0"/>
        <w:caps w:val="0"/>
        <w:strike w:val="0"/>
        <w:dstrike w:val="0"/>
        <w:vanish w:val="0"/>
        <w:color w:val="auto"/>
        <w:spacing w:val="0"/>
        <w:w w:val="100"/>
        <w:kern w:val="0"/>
        <w:position w:val="0"/>
        <w:sz w:val="20"/>
        <w:szCs w:val="20"/>
        <w:u w:val="none"/>
        <w:effect w:val="none"/>
        <w:vertAlign w:val="baseline"/>
      </w:rPr>
    </w:lvl>
    <w:lvl w:ilvl="1">
      <w:start w:val="1"/>
      <w:numFmt w:val="decimal"/>
      <w:lvlText w:val="%2.1"/>
      <w:lvlJc w:val="left"/>
      <w:pPr>
        <w:tabs>
          <w:tab w:val="num" w:pos="709"/>
        </w:tabs>
        <w:ind w:left="709" w:hanging="709"/>
      </w:pPr>
      <w:rPr>
        <w:rFonts w:ascii="Arial Gras" w:hAnsi="Arial Gras" w:cs="Arial Gras" w:hint="default"/>
        <w:b/>
        <w:bCs/>
        <w:i w:val="0"/>
        <w:iCs w:val="0"/>
        <w:caps w:val="0"/>
        <w:strike w:val="0"/>
        <w:dstrike w:val="0"/>
        <w:vanish w:val="0"/>
        <w:color w:val="000000"/>
        <w:sz w:val="20"/>
        <w:szCs w:val="20"/>
        <w:vertAlign w:val="baseline"/>
      </w:rPr>
    </w:lvl>
    <w:lvl w:ilvl="2">
      <w:start w:val="1"/>
      <w:numFmt w:val="decimal"/>
      <w:isLgl/>
      <w:lvlText w:val="%2.%3.1"/>
      <w:lvlJc w:val="left"/>
      <w:pPr>
        <w:tabs>
          <w:tab w:val="num" w:pos="1418"/>
        </w:tabs>
        <w:ind w:left="1418" w:hanging="1418"/>
      </w:pPr>
      <w:rPr>
        <w:rFonts w:ascii="Arial" w:hAnsi="Arial" w:cs="Arial" w:hint="default"/>
        <w:b/>
        <w:bCs/>
        <w:i w:val="0"/>
        <w:iCs w:val="0"/>
        <w:smallCaps w:val="0"/>
        <w:strike w:val="0"/>
        <w:dstrike w:val="0"/>
        <w:vanish w:val="0"/>
        <w:color w:val="000000"/>
        <w:spacing w:val="0"/>
        <w:kern w:val="0"/>
        <w:position w:val="0"/>
        <w:sz w:val="20"/>
        <w:szCs w:val="20"/>
        <w:u w:val="none"/>
        <w:effect w:val="none"/>
        <w:vertAlign w:val="baseline"/>
      </w:rPr>
    </w:lvl>
    <w:lvl w:ilvl="3">
      <w:start w:val="1"/>
      <w:numFmt w:val="decimal"/>
      <w:isLgl/>
      <w:lvlText w:val="%3.%4.1.1"/>
      <w:lvlJc w:val="left"/>
      <w:pPr>
        <w:tabs>
          <w:tab w:val="num" w:pos="1418"/>
        </w:tabs>
        <w:ind w:left="1418" w:hanging="1418"/>
      </w:pPr>
      <w:rPr>
        <w:rFonts w:ascii="Arial" w:hAnsi="Arial" w:cs="Arial" w:hint="default"/>
        <w:b w:val="0"/>
        <w:bCs w:val="0"/>
        <w:i w:val="0"/>
        <w:iCs w:val="0"/>
        <w:caps w:val="0"/>
        <w:strike w:val="0"/>
        <w:dstrike w:val="0"/>
        <w:vanish w:val="0"/>
        <w:color w:val="auto"/>
        <w:spacing w:val="0"/>
        <w:w w:val="100"/>
        <w:kern w:val="0"/>
        <w:position w:val="0"/>
        <w:sz w:val="20"/>
        <w:szCs w:val="20"/>
        <w:u w:val="none"/>
        <w:effect w:val="none"/>
        <w:vertAlign w:val="baseline"/>
      </w:rPr>
    </w:lvl>
    <w:lvl w:ilvl="4">
      <w:start w:val="1"/>
      <w:numFmt w:val="lowerLetter"/>
      <w:lvlText w:val="(%5)"/>
      <w:lvlJc w:val="left"/>
      <w:pPr>
        <w:tabs>
          <w:tab w:val="num" w:pos="-960"/>
        </w:tabs>
        <w:ind w:left="-960" w:firstLine="720"/>
      </w:pPr>
      <w:rPr>
        <w:rFonts w:ascii="Arial" w:hAnsi="Arial" w:cs="Arial" w:hint="default"/>
        <w:b w:val="0"/>
        <w:bCs w:val="0"/>
        <w:i w:val="0"/>
        <w:iCs w:val="0"/>
        <w:caps w:val="0"/>
        <w:strike w:val="0"/>
        <w:dstrike w:val="0"/>
        <w:vanish w:val="0"/>
        <w:color w:val="auto"/>
        <w:spacing w:val="0"/>
        <w:w w:val="100"/>
        <w:kern w:val="0"/>
        <w:position w:val="0"/>
        <w:sz w:val="20"/>
        <w:szCs w:val="20"/>
        <w:u w:val="none"/>
        <w:effect w:val="none"/>
        <w:vertAlign w:val="baseline"/>
      </w:rPr>
    </w:lvl>
    <w:lvl w:ilvl="5">
      <w:start w:val="1"/>
      <w:numFmt w:val="lowerRoman"/>
      <w:lvlText w:val="(%6)"/>
      <w:lvlJc w:val="left"/>
      <w:pPr>
        <w:tabs>
          <w:tab w:val="num" w:pos="-4560"/>
        </w:tabs>
        <w:ind w:left="-960"/>
      </w:pPr>
      <w:rPr>
        <w:rFonts w:ascii="Arial" w:hAnsi="Arial" w:cs="Arial" w:hint="default"/>
        <w:b w:val="0"/>
        <w:bCs w:val="0"/>
        <w:i w:val="0"/>
        <w:iCs w:val="0"/>
        <w:caps w:val="0"/>
        <w:strike w:val="0"/>
        <w:dstrike w:val="0"/>
        <w:vanish w:val="0"/>
        <w:color w:val="auto"/>
        <w:spacing w:val="0"/>
        <w:w w:val="100"/>
        <w:kern w:val="0"/>
        <w:position w:val="0"/>
        <w:sz w:val="20"/>
        <w:szCs w:val="20"/>
        <w:u w:val="none"/>
        <w:effect w:val="none"/>
        <w:vertAlign w:val="baseline"/>
      </w:rPr>
    </w:lvl>
    <w:lvl w:ilvl="6">
      <w:start w:val="1"/>
      <w:numFmt w:val="none"/>
      <w:suff w:val="nothing"/>
      <w:lvlText w:val=""/>
      <w:lvlJc w:val="left"/>
      <w:pPr>
        <w:ind w:left="3360"/>
      </w:pPr>
      <w:rPr>
        <w:rFonts w:cs="Times New Roman" w:hint="default"/>
      </w:rPr>
    </w:lvl>
    <w:lvl w:ilvl="7">
      <w:start w:val="1"/>
      <w:numFmt w:val="none"/>
      <w:suff w:val="nothing"/>
      <w:lvlText w:val=""/>
      <w:lvlJc w:val="left"/>
      <w:pPr>
        <w:ind w:left="4080"/>
      </w:pPr>
      <w:rPr>
        <w:rFonts w:cs="Times New Roman" w:hint="default"/>
      </w:rPr>
    </w:lvl>
    <w:lvl w:ilvl="8">
      <w:start w:val="1"/>
      <w:numFmt w:val="none"/>
      <w:suff w:val="nothing"/>
      <w:lvlText w:val=""/>
      <w:lvlJc w:val="left"/>
      <w:pPr>
        <w:ind w:left="4800"/>
      </w:pPr>
      <w:rPr>
        <w:rFonts w:cs="Times New Roman" w:hint="default"/>
      </w:rPr>
    </w:lvl>
  </w:abstractNum>
  <w:abstractNum w:abstractNumId="103" w15:restartNumberingAfterBreak="0">
    <w:nsid w:val="72DB1D21"/>
    <w:multiLevelType w:val="multilevel"/>
    <w:tmpl w:val="EF32D19C"/>
    <w:lvl w:ilvl="0">
      <w:start w:val="21"/>
      <w:numFmt w:val="decimal"/>
      <w:isLgl/>
      <w:lvlText w:val="%1."/>
      <w:lvlJc w:val="left"/>
      <w:pPr>
        <w:tabs>
          <w:tab w:val="num" w:pos="720"/>
        </w:tabs>
        <w:ind w:left="720" w:hanging="720"/>
      </w:pPr>
      <w:rPr>
        <w:rFonts w:asciiTheme="minorHAnsi" w:hAnsiTheme="minorHAnsi" w:cs="Times New Roman" w:hint="default"/>
        <w:b/>
        <w:i w:val="0"/>
        <w:caps w:val="0"/>
        <w:sz w:val="22"/>
        <w:szCs w:val="22"/>
        <w:u w:val="none"/>
      </w:rPr>
    </w:lvl>
    <w:lvl w:ilvl="1">
      <w:start w:val="1"/>
      <w:numFmt w:val="decimal"/>
      <w:isLgl/>
      <w:lvlText w:val="%1.%2"/>
      <w:lvlJc w:val="left"/>
      <w:pPr>
        <w:tabs>
          <w:tab w:val="num" w:pos="720"/>
        </w:tabs>
        <w:ind w:left="720" w:hanging="720"/>
      </w:pPr>
      <w:rPr>
        <w:rFonts w:cs="Times New Roman" w:hint="default"/>
        <w:b/>
        <w:bCs w:val="0"/>
        <w:i w:val="0"/>
        <w:iCs w:val="0"/>
        <w:caps w:val="0"/>
        <w:smallCaps w:val="0"/>
        <w:strike w:val="0"/>
        <w:dstrike w:val="0"/>
        <w:vanish w:val="0"/>
        <w:color w:val="7030A0"/>
        <w:spacing w:val="0"/>
        <w:kern w:val="0"/>
        <w:position w:val="0"/>
        <w:sz w:val="22"/>
        <w:szCs w:val="22"/>
        <w:u w:val="none"/>
        <w:effect w:val="none"/>
        <w:vertAlign w:val="baseline"/>
      </w:rPr>
    </w:lvl>
    <w:lvl w:ilvl="2">
      <w:start w:val="1"/>
      <w:numFmt w:val="decimal"/>
      <w:lvlText w:val="%1.%2.%3"/>
      <w:lvlJc w:val="left"/>
      <w:pPr>
        <w:tabs>
          <w:tab w:val="num" w:pos="1260"/>
        </w:tabs>
        <w:ind w:left="1980" w:hanging="720"/>
      </w:pPr>
      <w:rPr>
        <w:rFonts w:cs="Times New Roman" w:hint="default"/>
        <w:b/>
        <w:bCs w:val="0"/>
        <w:i w:val="0"/>
        <w:iCs w:val="0"/>
        <w:caps w:val="0"/>
        <w:smallCaps w:val="0"/>
        <w:strike w:val="0"/>
        <w:dstrike w:val="0"/>
        <w:vanish w:val="0"/>
        <w:color w:val="7030A0"/>
        <w:spacing w:val="0"/>
        <w:kern w:val="0"/>
        <w:position w:val="0"/>
        <w:sz w:val="22"/>
        <w:szCs w:val="22"/>
        <w:u w:val="none"/>
        <w:effect w:val="none"/>
        <w:vertAlign w:val="baseline"/>
      </w:rPr>
    </w:lvl>
    <w:lvl w:ilvl="3">
      <w:start w:val="1"/>
      <w:numFmt w:val="decimal"/>
      <w:lvlText w:val="%1.%2.%3.%4"/>
      <w:lvlJc w:val="left"/>
      <w:pPr>
        <w:tabs>
          <w:tab w:val="num" w:pos="2520"/>
        </w:tabs>
        <w:ind w:left="2520" w:hanging="1080"/>
      </w:pPr>
      <w:rPr>
        <w:rFonts w:asciiTheme="minorHAnsi" w:hAnsiTheme="minorHAnsi" w:cs="Times New Roman" w:hint="default"/>
        <w:b w:val="0"/>
        <w:i w:val="0"/>
        <w:caps w:val="0"/>
        <w:color w:val="000000" w:themeColor="text1"/>
        <w:sz w:val="22"/>
        <w:szCs w:val="22"/>
        <w:u w:val="none"/>
      </w:rPr>
    </w:lvl>
    <w:lvl w:ilvl="4">
      <w:start w:val="1"/>
      <w:numFmt w:val="decimal"/>
      <w:lvlText w:val="%1.%2.%3.%4.%5"/>
      <w:lvlJc w:val="left"/>
      <w:pPr>
        <w:tabs>
          <w:tab w:val="num" w:pos="3600"/>
        </w:tabs>
        <w:ind w:left="3600" w:hanging="1080"/>
      </w:pPr>
      <w:rPr>
        <w:rFonts w:asciiTheme="minorHAnsi" w:hAnsiTheme="minorHAnsi" w:cs="Times New Roman" w:hint="default"/>
        <w:b w:val="0"/>
        <w:i w:val="0"/>
        <w:caps w:val="0"/>
        <w:sz w:val="22"/>
        <w:szCs w:val="22"/>
        <w:u w:val="none"/>
      </w:rPr>
    </w:lvl>
    <w:lvl w:ilvl="5">
      <w:start w:val="1"/>
      <w:numFmt w:val="lowerLetter"/>
      <w:lvlText w:val="(%6)"/>
      <w:lvlJc w:val="left"/>
      <w:pPr>
        <w:tabs>
          <w:tab w:val="num" w:pos="3600"/>
        </w:tabs>
        <w:ind w:left="3600" w:hanging="720"/>
      </w:pPr>
      <w:rPr>
        <w:rFonts w:ascii="Times New Roman" w:hAnsi="Times New Roman" w:cs="Times New Roman" w:hint="default"/>
        <w:b w:val="0"/>
        <w:i w:val="0"/>
        <w:caps w:val="0"/>
        <w:sz w:val="24"/>
        <w:u w:val="none"/>
      </w:rPr>
    </w:lvl>
    <w:lvl w:ilvl="6">
      <w:start w:val="1"/>
      <w:numFmt w:val="lowerRoman"/>
      <w:lvlText w:val="(%7)"/>
      <w:lvlJc w:val="left"/>
      <w:pPr>
        <w:tabs>
          <w:tab w:val="num" w:pos="1440"/>
        </w:tabs>
        <w:ind w:left="1440" w:hanging="720"/>
      </w:pPr>
      <w:rPr>
        <w:rFonts w:ascii="Times New Roman" w:hAnsi="Times New Roman" w:cs="Times New Roman" w:hint="default"/>
        <w:b w:val="0"/>
        <w:i w:val="0"/>
        <w:caps w:val="0"/>
        <w:sz w:val="24"/>
        <w:u w:val="none"/>
      </w:rPr>
    </w:lvl>
    <w:lvl w:ilvl="7">
      <w:start w:val="1"/>
      <w:numFmt w:val="upperLetter"/>
      <w:lvlText w:val="(%8)"/>
      <w:lvlJc w:val="left"/>
      <w:pPr>
        <w:tabs>
          <w:tab w:val="num" w:pos="2880"/>
        </w:tabs>
        <w:ind w:left="2880" w:hanging="720"/>
      </w:pPr>
      <w:rPr>
        <w:rFonts w:ascii="Times New Roman" w:hAnsi="Times New Roman" w:cs="Times New Roman" w:hint="default"/>
        <w:b w:val="0"/>
        <w:i w:val="0"/>
        <w:caps w:val="0"/>
        <w:sz w:val="24"/>
        <w:u w:val="none"/>
      </w:rPr>
    </w:lvl>
    <w:lvl w:ilvl="8">
      <w:start w:val="1"/>
      <w:numFmt w:val="none"/>
      <w:lvlRestart w:val="0"/>
      <w:suff w:val="nothing"/>
      <w:lvlText w:val=""/>
      <w:lvlJc w:val="left"/>
      <w:pPr>
        <w:ind w:left="0" w:firstLine="0"/>
      </w:pPr>
      <w:rPr>
        <w:rFonts w:ascii="Times New Roman" w:hAnsi="Times New Roman" w:cs="Times New Roman" w:hint="default"/>
        <w:b w:val="0"/>
        <w:i w:val="0"/>
        <w:caps w:val="0"/>
        <w:sz w:val="24"/>
        <w:u w:val="none"/>
      </w:rPr>
    </w:lvl>
  </w:abstractNum>
  <w:abstractNum w:abstractNumId="104" w15:restartNumberingAfterBreak="0">
    <w:nsid w:val="75EF2E80"/>
    <w:multiLevelType w:val="multilevel"/>
    <w:tmpl w:val="57E8E468"/>
    <w:styleLink w:val="StyleAvecpuces4"/>
    <w:lvl w:ilvl="0">
      <w:start w:val="1"/>
      <w:numFmt w:val="bullet"/>
      <w:lvlText w:val="-"/>
      <w:lvlJc w:val="left"/>
      <w:pPr>
        <w:tabs>
          <w:tab w:val="num" w:pos="720"/>
        </w:tabs>
        <w:ind w:left="720" w:hanging="360"/>
      </w:pPr>
      <w:rPr>
        <w:rFonts w:ascii="Times New Roman" w:hAnsi="Times New Roman"/>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5F45C70"/>
    <w:multiLevelType w:val="hybridMultilevel"/>
    <w:tmpl w:val="E3248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76C833F3"/>
    <w:multiLevelType w:val="hybridMultilevel"/>
    <w:tmpl w:val="7E946D3C"/>
    <w:lvl w:ilvl="0" w:tplc="06F645A0">
      <w:start w:val="56"/>
      <w:numFmt w:val="bullet"/>
      <w:lvlText w:val="-"/>
      <w:lvlJc w:val="left"/>
      <w:pPr>
        <w:ind w:left="720" w:hanging="360"/>
      </w:pPr>
      <w:rPr>
        <w:rFonts w:ascii="Calibri" w:eastAsia="Arial Narrow"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76D17265"/>
    <w:multiLevelType w:val="hybridMultilevel"/>
    <w:tmpl w:val="A9A25B44"/>
    <w:lvl w:ilvl="0" w:tplc="040C000F">
      <w:start w:val="1"/>
      <w:numFmt w:val="decimal"/>
      <w:lvlText w:val="%1."/>
      <w:lvlJc w:val="left"/>
      <w:pPr>
        <w:ind w:left="720" w:hanging="360"/>
      </w:pPr>
      <w:rPr>
        <w:rFonts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7ED1C9B"/>
    <w:multiLevelType w:val="multilevel"/>
    <w:tmpl w:val="DD2674F6"/>
    <w:lvl w:ilvl="0">
      <w:start w:val="1"/>
      <w:numFmt w:val="bullet"/>
      <w:pStyle w:val="ListBullet"/>
      <w:lvlText w:val="-"/>
      <w:lvlJc w:val="left"/>
      <w:pPr>
        <w:ind w:left="360" w:hanging="360"/>
      </w:pPr>
      <w:rPr>
        <w:rFonts w:ascii="Times New Roman" w:hAnsi="Times New Roman" w:hint="default"/>
        <w:sz w:val="22"/>
      </w:rPr>
    </w:lvl>
    <w:lvl w:ilvl="1">
      <w:start w:val="1"/>
      <w:numFmt w:val="bullet"/>
      <w:pStyle w:val="Heading2"/>
      <w:lvlText w:val="§"/>
      <w:lvlJc w:val="left"/>
      <w:pPr>
        <w:tabs>
          <w:tab w:val="num" w:pos="1191"/>
        </w:tabs>
        <w:ind w:left="1191" w:hanging="595"/>
      </w:pPr>
      <w:rPr>
        <w:rFonts w:ascii="Wingdings" w:hAnsi="Wingdings"/>
        <w:sz w:val="18"/>
      </w:rPr>
    </w:lvl>
    <w:lvl w:ilvl="2">
      <w:start w:val="1"/>
      <w:numFmt w:val="bullet"/>
      <w:lvlText w:val="§"/>
      <w:lvlJc w:val="left"/>
      <w:pPr>
        <w:tabs>
          <w:tab w:val="num" w:pos="1786"/>
        </w:tabs>
        <w:ind w:left="1786" w:hanging="595"/>
      </w:pPr>
      <w:rPr>
        <w:rFonts w:ascii="Wingdings" w:hAnsi="Wingdings"/>
        <w:sz w:val="18"/>
      </w:rPr>
    </w:lvl>
    <w:lvl w:ilvl="3">
      <w:start w:val="1"/>
      <w:numFmt w:val="bullet"/>
      <w:pStyle w:val="ListBullet4"/>
      <w:lvlText w:val="§"/>
      <w:lvlJc w:val="left"/>
      <w:pPr>
        <w:tabs>
          <w:tab w:val="num" w:pos="2381"/>
        </w:tabs>
        <w:ind w:left="2381" w:hanging="595"/>
      </w:pPr>
      <w:rPr>
        <w:rFonts w:ascii="Wingdings" w:hAnsi="Wingdings"/>
        <w:sz w:val="18"/>
      </w:rPr>
    </w:lvl>
    <w:lvl w:ilvl="4">
      <w:start w:val="1"/>
      <w:numFmt w:val="bullet"/>
      <w:pStyle w:val="ListBullet5"/>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109" w15:restartNumberingAfterBreak="0">
    <w:nsid w:val="799F25A8"/>
    <w:multiLevelType w:val="hybridMultilevel"/>
    <w:tmpl w:val="8ABA9C12"/>
    <w:lvl w:ilvl="0" w:tplc="040C0001">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hint="default"/>
      </w:rPr>
    </w:lvl>
    <w:lvl w:ilvl="2" w:tplc="F5DA2CD2">
      <w:numFmt w:val="bullet"/>
      <w:lvlText w:val="−"/>
      <w:lvlJc w:val="left"/>
      <w:pPr>
        <w:ind w:left="2160" w:hanging="360"/>
      </w:pPr>
      <w:rPr>
        <w:rFonts w:ascii="Times New Roman" w:eastAsia="Times New Roman" w:hAnsi="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7B6F2AFF"/>
    <w:multiLevelType w:val="hybridMultilevel"/>
    <w:tmpl w:val="C762A154"/>
    <w:lvl w:ilvl="0" w:tplc="0774342A">
      <w:numFmt w:val="bullet"/>
      <w:lvlText w:val="-"/>
      <w:lvlJc w:val="left"/>
      <w:pPr>
        <w:ind w:left="720" w:hanging="360"/>
      </w:pPr>
      <w:rPr>
        <w:rFonts w:ascii="Times New Roman" w:hAnsi="Times New Roman" w:hint="default"/>
        <w:b/>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D2429C8"/>
    <w:multiLevelType w:val="hybridMultilevel"/>
    <w:tmpl w:val="2B56CA78"/>
    <w:lvl w:ilvl="0" w:tplc="343EA4A8">
      <w:start w:val="2007"/>
      <w:numFmt w:val="bullet"/>
      <w:lvlText w:val="-"/>
      <w:lvlJc w:val="left"/>
      <w:pPr>
        <w:ind w:left="720" w:hanging="360"/>
      </w:pPr>
      <w:rPr>
        <w:rFonts w:ascii="Garamond" w:hAnsi="Garamond" w:cs="Times New Roman" w:hint="default"/>
        <w:color w:val="auto"/>
      </w:rPr>
    </w:lvl>
    <w:lvl w:ilvl="1" w:tplc="4CFE0D2A">
      <w:numFmt w:val="bullet"/>
      <w:lvlText w:val="-"/>
      <w:lvlJc w:val="left"/>
      <w:pPr>
        <w:ind w:left="1440" w:hanging="360"/>
      </w:pPr>
      <w:rPr>
        <w:rFonts w:ascii="Times New Roman" w:hAnsi="Times New Roman" w:hint="default"/>
        <w:b/>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7EFE1D49"/>
    <w:multiLevelType w:val="hybridMultilevel"/>
    <w:tmpl w:val="E3466ED8"/>
    <w:lvl w:ilvl="0" w:tplc="D1B478AA">
      <w:start w:val="1"/>
      <w:numFmt w:val="bullet"/>
      <w:pStyle w:val="DDBBullet1"/>
      <w:lvlText w:val="►"/>
      <w:lvlJc w:val="left"/>
      <w:pPr>
        <w:ind w:left="360" w:hanging="360"/>
      </w:pPr>
      <w:rPr>
        <w:rFonts w:ascii="Arial Narrow" w:hAnsi="Arial Narrow" w:hint="default"/>
        <w:color w:val="4F81BD"/>
      </w:rPr>
    </w:lvl>
    <w:lvl w:ilvl="1" w:tplc="91B0759C">
      <w:start w:val="1"/>
      <w:numFmt w:val="bullet"/>
      <w:lvlText w:val="o"/>
      <w:lvlJc w:val="left"/>
      <w:pPr>
        <w:ind w:left="1080" w:hanging="360"/>
      </w:pPr>
      <w:rPr>
        <w:rFonts w:ascii="Courier New" w:hAnsi="Courier New" w:hint="default"/>
      </w:rPr>
    </w:lvl>
    <w:lvl w:ilvl="2" w:tplc="86948522">
      <w:start w:val="1"/>
      <w:numFmt w:val="bullet"/>
      <w:lvlText w:val=""/>
      <w:lvlJc w:val="left"/>
      <w:pPr>
        <w:ind w:left="1800" w:hanging="360"/>
      </w:pPr>
      <w:rPr>
        <w:rFonts w:ascii="Wingdings" w:hAnsi="Wingdings" w:hint="default"/>
      </w:rPr>
    </w:lvl>
    <w:lvl w:ilvl="3" w:tplc="CDBA13EC" w:tentative="1">
      <w:start w:val="1"/>
      <w:numFmt w:val="bullet"/>
      <w:lvlText w:val=""/>
      <w:lvlJc w:val="left"/>
      <w:pPr>
        <w:ind w:left="2520" w:hanging="360"/>
      </w:pPr>
      <w:rPr>
        <w:rFonts w:ascii="Symbol" w:hAnsi="Symbol" w:hint="default"/>
      </w:rPr>
    </w:lvl>
    <w:lvl w:ilvl="4" w:tplc="AE3CC09E" w:tentative="1">
      <w:start w:val="1"/>
      <w:numFmt w:val="bullet"/>
      <w:lvlText w:val="o"/>
      <w:lvlJc w:val="left"/>
      <w:pPr>
        <w:ind w:left="3240" w:hanging="360"/>
      </w:pPr>
      <w:rPr>
        <w:rFonts w:ascii="Courier New" w:hAnsi="Courier New" w:hint="default"/>
      </w:rPr>
    </w:lvl>
    <w:lvl w:ilvl="5" w:tplc="009E2DEC" w:tentative="1">
      <w:start w:val="1"/>
      <w:numFmt w:val="bullet"/>
      <w:lvlText w:val=""/>
      <w:lvlJc w:val="left"/>
      <w:pPr>
        <w:ind w:left="3960" w:hanging="360"/>
      </w:pPr>
      <w:rPr>
        <w:rFonts w:ascii="Wingdings" w:hAnsi="Wingdings" w:hint="default"/>
      </w:rPr>
    </w:lvl>
    <w:lvl w:ilvl="6" w:tplc="0D7A7494" w:tentative="1">
      <w:start w:val="1"/>
      <w:numFmt w:val="bullet"/>
      <w:lvlText w:val=""/>
      <w:lvlJc w:val="left"/>
      <w:pPr>
        <w:ind w:left="4680" w:hanging="360"/>
      </w:pPr>
      <w:rPr>
        <w:rFonts w:ascii="Symbol" w:hAnsi="Symbol" w:hint="default"/>
      </w:rPr>
    </w:lvl>
    <w:lvl w:ilvl="7" w:tplc="AB22E13E" w:tentative="1">
      <w:start w:val="1"/>
      <w:numFmt w:val="bullet"/>
      <w:lvlText w:val="o"/>
      <w:lvlJc w:val="left"/>
      <w:pPr>
        <w:ind w:left="5400" w:hanging="360"/>
      </w:pPr>
      <w:rPr>
        <w:rFonts w:ascii="Courier New" w:hAnsi="Courier New" w:hint="default"/>
      </w:rPr>
    </w:lvl>
    <w:lvl w:ilvl="8" w:tplc="9594DDAC" w:tentative="1">
      <w:start w:val="1"/>
      <w:numFmt w:val="bullet"/>
      <w:lvlText w:val=""/>
      <w:lvlJc w:val="left"/>
      <w:pPr>
        <w:ind w:left="6120" w:hanging="360"/>
      </w:pPr>
      <w:rPr>
        <w:rFonts w:ascii="Wingdings" w:hAnsi="Wingdings" w:hint="default"/>
      </w:rPr>
    </w:lvl>
  </w:abstractNum>
  <w:abstractNum w:abstractNumId="113" w15:restartNumberingAfterBreak="0">
    <w:nsid w:val="7FA232BE"/>
    <w:multiLevelType w:val="hybridMultilevel"/>
    <w:tmpl w:val="C1CA0AE6"/>
    <w:lvl w:ilvl="0" w:tplc="040C0001">
      <w:start w:val="1"/>
      <w:numFmt w:val="bullet"/>
      <w:lvlText w:val=""/>
      <w:lvlJc w:val="left"/>
      <w:pPr>
        <w:ind w:left="1069" w:hanging="360"/>
      </w:pPr>
      <w:rPr>
        <w:rFonts w:ascii="Symbol" w:hAnsi="Symbol" w:hint="default"/>
        <w:color w:val="auto"/>
      </w:rPr>
    </w:lvl>
    <w:lvl w:ilvl="1" w:tplc="3B4AFB60">
      <w:numFmt w:val="bullet"/>
      <w:lvlText w:val="-"/>
      <w:lvlJc w:val="left"/>
      <w:pPr>
        <w:ind w:left="1789" w:hanging="360"/>
      </w:pPr>
      <w:rPr>
        <w:rFonts w:ascii="Times New Roman" w:eastAsia="Times New Roman" w:hAnsi="Times New Roman"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num w:numId="1">
    <w:abstractNumId w:val="2"/>
  </w:num>
  <w:num w:numId="2">
    <w:abstractNumId w:val="1"/>
  </w:num>
  <w:num w:numId="3">
    <w:abstractNumId w:val="0"/>
  </w:num>
  <w:num w:numId="4">
    <w:abstractNumId w:val="108"/>
  </w:num>
  <w:num w:numId="5">
    <w:abstractNumId w:val="99"/>
  </w:num>
  <w:num w:numId="6">
    <w:abstractNumId w:val="81"/>
  </w:num>
  <w:num w:numId="7">
    <w:abstractNumId w:val="17"/>
  </w:num>
  <w:num w:numId="8">
    <w:abstractNumId w:val="54"/>
  </w:num>
  <w:num w:numId="9">
    <w:abstractNumId w:val="19"/>
  </w:num>
  <w:num w:numId="10">
    <w:abstractNumId w:val="39"/>
  </w:num>
  <w:num w:numId="11">
    <w:abstractNumId w:val="21"/>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6"/>
  </w:num>
  <w:num w:numId="14">
    <w:abstractNumId w:val="97"/>
  </w:num>
  <w:num w:numId="15">
    <w:abstractNumId w:val="50"/>
  </w:num>
  <w:num w:numId="16">
    <w:abstractNumId w:val="92"/>
  </w:num>
  <w:num w:numId="17">
    <w:abstractNumId w:val="25"/>
  </w:num>
  <w:num w:numId="18">
    <w:abstractNumId w:val="112"/>
  </w:num>
  <w:num w:numId="19">
    <w:abstractNumId w:val="52"/>
  </w:num>
  <w:num w:numId="20">
    <w:abstractNumId w:val="22"/>
  </w:num>
  <w:num w:numId="21">
    <w:abstractNumId w:val="104"/>
  </w:num>
  <w:num w:numId="22">
    <w:abstractNumId w:val="73"/>
  </w:num>
  <w:num w:numId="23">
    <w:abstractNumId w:val="29"/>
  </w:num>
  <w:num w:numId="24">
    <w:abstractNumId w:val="47"/>
  </w:num>
  <w:num w:numId="25">
    <w:abstractNumId w:val="30"/>
  </w:num>
  <w:num w:numId="26">
    <w:abstractNumId w:val="102"/>
  </w:num>
  <w:num w:numId="27">
    <w:abstractNumId w:val="74"/>
  </w:num>
  <w:num w:numId="28">
    <w:abstractNumId w:val="53"/>
  </w:num>
  <w:num w:numId="29">
    <w:abstractNumId w:val="69"/>
  </w:num>
  <w:num w:numId="30">
    <w:abstractNumId w:val="88"/>
  </w:num>
  <w:num w:numId="31">
    <w:abstractNumId w:val="42"/>
  </w:num>
  <w:num w:numId="32">
    <w:abstractNumId w:val="67"/>
  </w:num>
  <w:num w:numId="33">
    <w:abstractNumId w:val="61"/>
  </w:num>
  <w:num w:numId="34">
    <w:abstractNumId w:val="46"/>
  </w:num>
  <w:num w:numId="35">
    <w:abstractNumId w:val="55"/>
  </w:num>
  <w:num w:numId="36">
    <w:abstractNumId w:val="18"/>
  </w:num>
  <w:num w:numId="37">
    <w:abstractNumId w:val="36"/>
  </w:num>
  <w:num w:numId="38">
    <w:abstractNumId w:val="109"/>
  </w:num>
  <w:num w:numId="39">
    <w:abstractNumId w:val="111"/>
  </w:num>
  <w:num w:numId="40">
    <w:abstractNumId w:val="10"/>
  </w:num>
  <w:num w:numId="41">
    <w:abstractNumId w:val="20"/>
  </w:num>
  <w:num w:numId="42">
    <w:abstractNumId w:val="87"/>
  </w:num>
  <w:num w:numId="43">
    <w:abstractNumId w:val="80"/>
  </w:num>
  <w:num w:numId="44">
    <w:abstractNumId w:val="12"/>
  </w:num>
  <w:num w:numId="45">
    <w:abstractNumId w:val="62"/>
  </w:num>
  <w:num w:numId="46">
    <w:abstractNumId w:val="31"/>
  </w:num>
  <w:num w:numId="47">
    <w:abstractNumId w:val="91"/>
  </w:num>
  <w:num w:numId="48">
    <w:abstractNumId w:val="3"/>
  </w:num>
  <w:num w:numId="49">
    <w:abstractNumId w:val="51"/>
  </w:num>
  <w:num w:numId="50">
    <w:abstractNumId w:val="64"/>
  </w:num>
  <w:num w:numId="51">
    <w:abstractNumId w:val="105"/>
  </w:num>
  <w:num w:numId="52">
    <w:abstractNumId w:val="70"/>
  </w:num>
  <w:num w:numId="53">
    <w:abstractNumId w:val="110"/>
  </w:num>
  <w:num w:numId="54">
    <w:abstractNumId w:val="94"/>
  </w:num>
  <w:num w:numId="55">
    <w:abstractNumId w:val="66"/>
  </w:num>
  <w:num w:numId="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3"/>
  </w:num>
  <w:num w:numId="58">
    <w:abstractNumId w:val="68"/>
  </w:num>
  <w:num w:numId="59">
    <w:abstractNumId w:val="95"/>
  </w:num>
  <w:num w:numId="60">
    <w:abstractNumId w:val="23"/>
  </w:num>
  <w:num w:numId="61">
    <w:abstractNumId w:val="24"/>
  </w:num>
  <w:num w:numId="62">
    <w:abstractNumId w:val="15"/>
  </w:num>
  <w:num w:numId="63">
    <w:abstractNumId w:val="71"/>
  </w:num>
  <w:num w:numId="64">
    <w:abstractNumId w:val="98"/>
  </w:num>
  <w:num w:numId="65">
    <w:abstractNumId w:val="101"/>
  </w:num>
  <w:num w:numId="66">
    <w:abstractNumId w:val="49"/>
  </w:num>
  <w:num w:numId="67">
    <w:abstractNumId w:val="79"/>
  </w:num>
  <w:num w:numId="68">
    <w:abstractNumId w:val="84"/>
  </w:num>
  <w:num w:numId="69">
    <w:abstractNumId w:val="40"/>
  </w:num>
  <w:num w:numId="70">
    <w:abstractNumId w:val="82"/>
  </w:num>
  <w:num w:numId="71">
    <w:abstractNumId w:val="43"/>
  </w:num>
  <w:num w:numId="72">
    <w:abstractNumId w:val="13"/>
  </w:num>
  <w:num w:numId="73">
    <w:abstractNumId w:val="86"/>
  </w:num>
  <w:num w:numId="74">
    <w:abstractNumId w:val="26"/>
  </w:num>
  <w:num w:numId="75">
    <w:abstractNumId w:val="58"/>
  </w:num>
  <w:num w:numId="76">
    <w:abstractNumId w:val="57"/>
  </w:num>
  <w:num w:numId="77">
    <w:abstractNumId w:val="8"/>
  </w:num>
  <w:num w:numId="78">
    <w:abstractNumId w:val="14"/>
  </w:num>
  <w:num w:numId="79">
    <w:abstractNumId w:val="85"/>
  </w:num>
  <w:num w:numId="80">
    <w:abstractNumId w:val="83"/>
  </w:num>
  <w:num w:numId="81">
    <w:abstractNumId w:val="33"/>
  </w:num>
  <w:num w:numId="82">
    <w:abstractNumId w:val="11"/>
  </w:num>
  <w:num w:numId="83">
    <w:abstractNumId w:val="48"/>
  </w:num>
  <w:num w:numId="84">
    <w:abstractNumId w:val="7"/>
  </w:num>
  <w:num w:numId="85">
    <w:abstractNumId w:val="100"/>
  </w:num>
  <w:num w:numId="86">
    <w:abstractNumId w:val="106"/>
  </w:num>
  <w:num w:numId="87">
    <w:abstractNumId w:val="41"/>
  </w:num>
  <w:num w:numId="88">
    <w:abstractNumId w:val="35"/>
  </w:num>
  <w:num w:numId="89">
    <w:abstractNumId w:val="93"/>
  </w:num>
  <w:num w:numId="90">
    <w:abstractNumId w:val="77"/>
  </w:num>
  <w:num w:numId="91">
    <w:abstractNumId w:val="27"/>
  </w:num>
  <w:num w:numId="92">
    <w:abstractNumId w:val="32"/>
  </w:num>
  <w:num w:numId="93">
    <w:abstractNumId w:val="56"/>
  </w:num>
  <w:num w:numId="94">
    <w:abstractNumId w:val="6"/>
  </w:num>
  <w:num w:numId="95">
    <w:abstractNumId w:val="63"/>
  </w:num>
  <w:num w:numId="96">
    <w:abstractNumId w:val="44"/>
  </w:num>
  <w:num w:numId="97">
    <w:abstractNumId w:val="60"/>
  </w:num>
  <w:num w:numId="98">
    <w:abstractNumId w:val="107"/>
  </w:num>
  <w:num w:numId="99">
    <w:abstractNumId w:val="90"/>
  </w:num>
  <w:num w:numId="100">
    <w:abstractNumId w:val="38"/>
  </w:num>
  <w:num w:numId="101">
    <w:abstractNumId w:val="9"/>
  </w:num>
  <w:num w:numId="102">
    <w:abstractNumId w:val="103"/>
  </w:num>
  <w:num w:numId="103">
    <w:abstractNumId w:val="37"/>
  </w:num>
  <w:num w:numId="104">
    <w:abstractNumId w:val="96"/>
  </w:num>
  <w:num w:numId="105">
    <w:abstractNumId w:val="75"/>
  </w:num>
  <w:num w:numId="106">
    <w:abstractNumId w:val="34"/>
  </w:num>
  <w:num w:numId="107">
    <w:abstractNumId w:val="72"/>
  </w:num>
  <w:num w:numId="108">
    <w:abstractNumId w:val="65"/>
  </w:num>
  <w:num w:numId="109">
    <w:abstractNumId w:val="28"/>
  </w:num>
  <w:num w:numId="110">
    <w:abstractNumId w:val="89"/>
  </w:num>
  <w:num w:numId="111">
    <w:abstractNumId w:val="59"/>
  </w:num>
  <w:num w:numId="112">
    <w:abstractNumId w:val="45"/>
  </w:num>
  <w:num w:numId="113">
    <w:abstractNumId w:val="5"/>
  </w:num>
  <w:num w:numId="114">
    <w:abstractNumId w:val="78"/>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hideSpellingError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85TrailerAlignment" w:val="~}£Í["/>
    <w:docVar w:name="85TrailerDate" w:val="~}œÍb"/>
    <w:docVar w:name="85TrailerDateField" w:val="~}™Íf"/>
    <w:docVar w:name="85TrailerDraft" w:val="~}—Íg"/>
    <w:docVar w:name="85TrailerLeading" w:val="~}˜Í"/>
    <w:docVar w:name="85TrailerLibrary" w:val="~}“Íl"/>
    <w:docVar w:name="85TrailerTime" w:val="~}•Íi"/>
    <w:docVar w:name="85TrailerTrailing" w:val="~}—Í"/>
    <w:docVar w:name="85TrailerType" w:val="~}˜Íggj"/>
    <w:docVar w:name="85TrailerVerNum" w:val="~}¡Í^"/>
    <w:docVar w:name="MPDocID" w:val="~}–Íjmqqjhmsihf~y|"/>
    <w:docVar w:name="MPDocIDTemplate" w:val="~}‘Íb¬»na³ºme¨"/>
    <w:docVar w:name="MPDocIDTemplateDefault" w:val="~}–Í]§"/>
    <w:docVar w:name="NewDocStampType" w:val="~}›Íj"/>
  </w:docVars>
  <w:rsids>
    <w:rsidRoot w:val="00F46C7B"/>
    <w:rsid w:val="0000035C"/>
    <w:rsid w:val="00000E5E"/>
    <w:rsid w:val="000013E4"/>
    <w:rsid w:val="000014D5"/>
    <w:rsid w:val="00001964"/>
    <w:rsid w:val="00001C11"/>
    <w:rsid w:val="00003314"/>
    <w:rsid w:val="000045CC"/>
    <w:rsid w:val="00004BCC"/>
    <w:rsid w:val="00005401"/>
    <w:rsid w:val="000059C4"/>
    <w:rsid w:val="00005EAE"/>
    <w:rsid w:val="000065FC"/>
    <w:rsid w:val="000068A0"/>
    <w:rsid w:val="00006C72"/>
    <w:rsid w:val="00006CB1"/>
    <w:rsid w:val="00006DF0"/>
    <w:rsid w:val="0000738A"/>
    <w:rsid w:val="000074C0"/>
    <w:rsid w:val="00007EC8"/>
    <w:rsid w:val="000102EE"/>
    <w:rsid w:val="00010742"/>
    <w:rsid w:val="00011209"/>
    <w:rsid w:val="00011332"/>
    <w:rsid w:val="000119DE"/>
    <w:rsid w:val="00011D71"/>
    <w:rsid w:val="00012E2F"/>
    <w:rsid w:val="00013732"/>
    <w:rsid w:val="00013CFF"/>
    <w:rsid w:val="00013E0C"/>
    <w:rsid w:val="00014788"/>
    <w:rsid w:val="000149A5"/>
    <w:rsid w:val="00015560"/>
    <w:rsid w:val="00015611"/>
    <w:rsid w:val="000160F2"/>
    <w:rsid w:val="000161A1"/>
    <w:rsid w:val="0001654D"/>
    <w:rsid w:val="000166A5"/>
    <w:rsid w:val="00016A96"/>
    <w:rsid w:val="00017CD2"/>
    <w:rsid w:val="000207F3"/>
    <w:rsid w:val="00023BAF"/>
    <w:rsid w:val="00024BFE"/>
    <w:rsid w:val="00025A2F"/>
    <w:rsid w:val="00025EEE"/>
    <w:rsid w:val="00025FBB"/>
    <w:rsid w:val="000263C2"/>
    <w:rsid w:val="0002641E"/>
    <w:rsid w:val="00026599"/>
    <w:rsid w:val="00026D86"/>
    <w:rsid w:val="00027104"/>
    <w:rsid w:val="00027339"/>
    <w:rsid w:val="00027608"/>
    <w:rsid w:val="00027F81"/>
    <w:rsid w:val="00027FDA"/>
    <w:rsid w:val="00030A1D"/>
    <w:rsid w:val="00031329"/>
    <w:rsid w:val="00031332"/>
    <w:rsid w:val="00031CE6"/>
    <w:rsid w:val="000322A9"/>
    <w:rsid w:val="0003274D"/>
    <w:rsid w:val="0003276D"/>
    <w:rsid w:val="00032D66"/>
    <w:rsid w:val="00033597"/>
    <w:rsid w:val="00033884"/>
    <w:rsid w:val="00033D1F"/>
    <w:rsid w:val="00033DD7"/>
    <w:rsid w:val="00034370"/>
    <w:rsid w:val="000345FA"/>
    <w:rsid w:val="00034B5D"/>
    <w:rsid w:val="00034D30"/>
    <w:rsid w:val="00034E3E"/>
    <w:rsid w:val="00035570"/>
    <w:rsid w:val="00035846"/>
    <w:rsid w:val="00036268"/>
    <w:rsid w:val="00036317"/>
    <w:rsid w:val="00036A5E"/>
    <w:rsid w:val="00036EBF"/>
    <w:rsid w:val="00037FA5"/>
    <w:rsid w:val="000400F1"/>
    <w:rsid w:val="00040C69"/>
    <w:rsid w:val="00040D1A"/>
    <w:rsid w:val="00040F6E"/>
    <w:rsid w:val="0004141D"/>
    <w:rsid w:val="00041C85"/>
    <w:rsid w:val="000422F4"/>
    <w:rsid w:val="00042DC7"/>
    <w:rsid w:val="000439B2"/>
    <w:rsid w:val="00043BA4"/>
    <w:rsid w:val="0004494D"/>
    <w:rsid w:val="00045411"/>
    <w:rsid w:val="000463C1"/>
    <w:rsid w:val="0005008D"/>
    <w:rsid w:val="0005011A"/>
    <w:rsid w:val="00051B64"/>
    <w:rsid w:val="00051FBD"/>
    <w:rsid w:val="00052549"/>
    <w:rsid w:val="00052709"/>
    <w:rsid w:val="00052CE9"/>
    <w:rsid w:val="00052FC4"/>
    <w:rsid w:val="000537FD"/>
    <w:rsid w:val="00053E6C"/>
    <w:rsid w:val="000540EB"/>
    <w:rsid w:val="000547BF"/>
    <w:rsid w:val="00054BBE"/>
    <w:rsid w:val="00054F85"/>
    <w:rsid w:val="00055798"/>
    <w:rsid w:val="00055A47"/>
    <w:rsid w:val="00055A9D"/>
    <w:rsid w:val="00055C3D"/>
    <w:rsid w:val="00055E2B"/>
    <w:rsid w:val="00056331"/>
    <w:rsid w:val="0005647F"/>
    <w:rsid w:val="00056562"/>
    <w:rsid w:val="00056EF5"/>
    <w:rsid w:val="0005703A"/>
    <w:rsid w:val="000577E5"/>
    <w:rsid w:val="00057974"/>
    <w:rsid w:val="00060E35"/>
    <w:rsid w:val="000624A4"/>
    <w:rsid w:val="0006307C"/>
    <w:rsid w:val="0006368F"/>
    <w:rsid w:val="00063A2D"/>
    <w:rsid w:val="000641B4"/>
    <w:rsid w:val="000643F7"/>
    <w:rsid w:val="00064481"/>
    <w:rsid w:val="00064C5D"/>
    <w:rsid w:val="0006571F"/>
    <w:rsid w:val="00065E2D"/>
    <w:rsid w:val="00065EEC"/>
    <w:rsid w:val="00066EA8"/>
    <w:rsid w:val="00067001"/>
    <w:rsid w:val="0006760E"/>
    <w:rsid w:val="00067BF4"/>
    <w:rsid w:val="00067F19"/>
    <w:rsid w:val="0007168B"/>
    <w:rsid w:val="00071A0C"/>
    <w:rsid w:val="00071CDC"/>
    <w:rsid w:val="000725DE"/>
    <w:rsid w:val="0007277F"/>
    <w:rsid w:val="00072C6F"/>
    <w:rsid w:val="0007358C"/>
    <w:rsid w:val="00073904"/>
    <w:rsid w:val="00073987"/>
    <w:rsid w:val="00074149"/>
    <w:rsid w:val="000743C0"/>
    <w:rsid w:val="00074431"/>
    <w:rsid w:val="00075424"/>
    <w:rsid w:val="00075FE4"/>
    <w:rsid w:val="000760BF"/>
    <w:rsid w:val="00076869"/>
    <w:rsid w:val="00077163"/>
    <w:rsid w:val="00077BCF"/>
    <w:rsid w:val="00077C5A"/>
    <w:rsid w:val="00077FB2"/>
    <w:rsid w:val="000800BE"/>
    <w:rsid w:val="000801AD"/>
    <w:rsid w:val="0008035A"/>
    <w:rsid w:val="0008068D"/>
    <w:rsid w:val="000806B3"/>
    <w:rsid w:val="000807BD"/>
    <w:rsid w:val="000809EC"/>
    <w:rsid w:val="00080D8B"/>
    <w:rsid w:val="000828F2"/>
    <w:rsid w:val="000835A3"/>
    <w:rsid w:val="00084365"/>
    <w:rsid w:val="00084A4B"/>
    <w:rsid w:val="00084A7A"/>
    <w:rsid w:val="00085D26"/>
    <w:rsid w:val="00086355"/>
    <w:rsid w:val="0008672F"/>
    <w:rsid w:val="0008693F"/>
    <w:rsid w:val="00087191"/>
    <w:rsid w:val="00087D20"/>
    <w:rsid w:val="0009055B"/>
    <w:rsid w:val="00090D7A"/>
    <w:rsid w:val="00090FBC"/>
    <w:rsid w:val="0009101D"/>
    <w:rsid w:val="000918A3"/>
    <w:rsid w:val="000926F2"/>
    <w:rsid w:val="00093575"/>
    <w:rsid w:val="000935F2"/>
    <w:rsid w:val="00093CB6"/>
    <w:rsid w:val="00094A5D"/>
    <w:rsid w:val="00095792"/>
    <w:rsid w:val="00096254"/>
    <w:rsid w:val="000974C8"/>
    <w:rsid w:val="000974DB"/>
    <w:rsid w:val="0009788E"/>
    <w:rsid w:val="000A07EE"/>
    <w:rsid w:val="000A091F"/>
    <w:rsid w:val="000A0A01"/>
    <w:rsid w:val="000A1E01"/>
    <w:rsid w:val="000A20D1"/>
    <w:rsid w:val="000A2610"/>
    <w:rsid w:val="000A4255"/>
    <w:rsid w:val="000A4258"/>
    <w:rsid w:val="000A4880"/>
    <w:rsid w:val="000A54AC"/>
    <w:rsid w:val="000A5D1C"/>
    <w:rsid w:val="000B0F94"/>
    <w:rsid w:val="000B15D6"/>
    <w:rsid w:val="000B1747"/>
    <w:rsid w:val="000B1949"/>
    <w:rsid w:val="000B2C11"/>
    <w:rsid w:val="000B2DA9"/>
    <w:rsid w:val="000B2FEC"/>
    <w:rsid w:val="000B36AC"/>
    <w:rsid w:val="000B4603"/>
    <w:rsid w:val="000B4763"/>
    <w:rsid w:val="000B52EA"/>
    <w:rsid w:val="000B54F7"/>
    <w:rsid w:val="000B5740"/>
    <w:rsid w:val="000B5B41"/>
    <w:rsid w:val="000B61ED"/>
    <w:rsid w:val="000B645B"/>
    <w:rsid w:val="000B6B7A"/>
    <w:rsid w:val="000C131F"/>
    <w:rsid w:val="000C13CD"/>
    <w:rsid w:val="000C15E2"/>
    <w:rsid w:val="000C2456"/>
    <w:rsid w:val="000C259A"/>
    <w:rsid w:val="000C3550"/>
    <w:rsid w:val="000C3706"/>
    <w:rsid w:val="000C392F"/>
    <w:rsid w:val="000C41DA"/>
    <w:rsid w:val="000C4737"/>
    <w:rsid w:val="000C5015"/>
    <w:rsid w:val="000C5E80"/>
    <w:rsid w:val="000C5F72"/>
    <w:rsid w:val="000C61AC"/>
    <w:rsid w:val="000C66E7"/>
    <w:rsid w:val="000C7C69"/>
    <w:rsid w:val="000D0D15"/>
    <w:rsid w:val="000D14D3"/>
    <w:rsid w:val="000D1CA0"/>
    <w:rsid w:val="000D28C8"/>
    <w:rsid w:val="000D2CC0"/>
    <w:rsid w:val="000D4CB4"/>
    <w:rsid w:val="000D54D9"/>
    <w:rsid w:val="000D59DF"/>
    <w:rsid w:val="000D67D8"/>
    <w:rsid w:val="000D6EC6"/>
    <w:rsid w:val="000D74F7"/>
    <w:rsid w:val="000E1807"/>
    <w:rsid w:val="000E1ED1"/>
    <w:rsid w:val="000E20F8"/>
    <w:rsid w:val="000E3027"/>
    <w:rsid w:val="000E311C"/>
    <w:rsid w:val="000E3566"/>
    <w:rsid w:val="000E3733"/>
    <w:rsid w:val="000E39E0"/>
    <w:rsid w:val="000E3F43"/>
    <w:rsid w:val="000E5435"/>
    <w:rsid w:val="000E5470"/>
    <w:rsid w:val="000E5B4C"/>
    <w:rsid w:val="000E6B15"/>
    <w:rsid w:val="000E74F0"/>
    <w:rsid w:val="000E7665"/>
    <w:rsid w:val="000E7856"/>
    <w:rsid w:val="000E78ED"/>
    <w:rsid w:val="000F0870"/>
    <w:rsid w:val="000F0A03"/>
    <w:rsid w:val="000F0ACC"/>
    <w:rsid w:val="000F0D73"/>
    <w:rsid w:val="000F132B"/>
    <w:rsid w:val="000F1A28"/>
    <w:rsid w:val="000F1ED8"/>
    <w:rsid w:val="000F23FF"/>
    <w:rsid w:val="000F390B"/>
    <w:rsid w:val="000F3CD5"/>
    <w:rsid w:val="000F6197"/>
    <w:rsid w:val="000F6990"/>
    <w:rsid w:val="000F6A9E"/>
    <w:rsid w:val="000F718E"/>
    <w:rsid w:val="001007DC"/>
    <w:rsid w:val="00100B0B"/>
    <w:rsid w:val="001012C4"/>
    <w:rsid w:val="00101DE0"/>
    <w:rsid w:val="0010206E"/>
    <w:rsid w:val="00102917"/>
    <w:rsid w:val="00102FC7"/>
    <w:rsid w:val="0010324C"/>
    <w:rsid w:val="001037D4"/>
    <w:rsid w:val="00103C8D"/>
    <w:rsid w:val="00103D8C"/>
    <w:rsid w:val="001049AD"/>
    <w:rsid w:val="00104DAD"/>
    <w:rsid w:val="0010531E"/>
    <w:rsid w:val="0010612E"/>
    <w:rsid w:val="001061C2"/>
    <w:rsid w:val="001066DF"/>
    <w:rsid w:val="00106CA2"/>
    <w:rsid w:val="00107326"/>
    <w:rsid w:val="00111358"/>
    <w:rsid w:val="00111950"/>
    <w:rsid w:val="00112DA7"/>
    <w:rsid w:val="00112F5C"/>
    <w:rsid w:val="00113220"/>
    <w:rsid w:val="0011376E"/>
    <w:rsid w:val="001141E5"/>
    <w:rsid w:val="001148AB"/>
    <w:rsid w:val="00114C75"/>
    <w:rsid w:val="00115271"/>
    <w:rsid w:val="00115327"/>
    <w:rsid w:val="001154E8"/>
    <w:rsid w:val="0011565B"/>
    <w:rsid w:val="001157A8"/>
    <w:rsid w:val="0011589B"/>
    <w:rsid w:val="0011595F"/>
    <w:rsid w:val="00115CFA"/>
    <w:rsid w:val="00116C8B"/>
    <w:rsid w:val="00116EAF"/>
    <w:rsid w:val="001170F7"/>
    <w:rsid w:val="0011727E"/>
    <w:rsid w:val="001176BB"/>
    <w:rsid w:val="00117763"/>
    <w:rsid w:val="0011788E"/>
    <w:rsid w:val="00117DBE"/>
    <w:rsid w:val="00117EB8"/>
    <w:rsid w:val="00120246"/>
    <w:rsid w:val="001212B5"/>
    <w:rsid w:val="00121607"/>
    <w:rsid w:val="00121755"/>
    <w:rsid w:val="001219E1"/>
    <w:rsid w:val="00121A6E"/>
    <w:rsid w:val="00121AD5"/>
    <w:rsid w:val="00121CE3"/>
    <w:rsid w:val="001220E8"/>
    <w:rsid w:val="0012223A"/>
    <w:rsid w:val="00122F0B"/>
    <w:rsid w:val="00123243"/>
    <w:rsid w:val="00123919"/>
    <w:rsid w:val="001248BC"/>
    <w:rsid w:val="00124A19"/>
    <w:rsid w:val="00124A92"/>
    <w:rsid w:val="00124A99"/>
    <w:rsid w:val="001255EB"/>
    <w:rsid w:val="00125F07"/>
    <w:rsid w:val="00125F85"/>
    <w:rsid w:val="0012613C"/>
    <w:rsid w:val="00126308"/>
    <w:rsid w:val="00126F4F"/>
    <w:rsid w:val="001274D2"/>
    <w:rsid w:val="0012778F"/>
    <w:rsid w:val="00127A3F"/>
    <w:rsid w:val="00130022"/>
    <w:rsid w:val="00130569"/>
    <w:rsid w:val="001306B6"/>
    <w:rsid w:val="001308C9"/>
    <w:rsid w:val="00130B3E"/>
    <w:rsid w:val="00130C23"/>
    <w:rsid w:val="00130D58"/>
    <w:rsid w:val="001314A7"/>
    <w:rsid w:val="00131ABA"/>
    <w:rsid w:val="00131ABF"/>
    <w:rsid w:val="00132022"/>
    <w:rsid w:val="001321E1"/>
    <w:rsid w:val="001323AD"/>
    <w:rsid w:val="001323B8"/>
    <w:rsid w:val="00132A70"/>
    <w:rsid w:val="00133102"/>
    <w:rsid w:val="0013394C"/>
    <w:rsid w:val="001347D5"/>
    <w:rsid w:val="00134CD3"/>
    <w:rsid w:val="00135E36"/>
    <w:rsid w:val="00136669"/>
    <w:rsid w:val="001366A8"/>
    <w:rsid w:val="00136A81"/>
    <w:rsid w:val="00137FAF"/>
    <w:rsid w:val="00140958"/>
    <w:rsid w:val="00140C88"/>
    <w:rsid w:val="00140F46"/>
    <w:rsid w:val="001410F8"/>
    <w:rsid w:val="00141791"/>
    <w:rsid w:val="00141AE9"/>
    <w:rsid w:val="00142358"/>
    <w:rsid w:val="00142944"/>
    <w:rsid w:val="00143592"/>
    <w:rsid w:val="00143CA8"/>
    <w:rsid w:val="00144591"/>
    <w:rsid w:val="00144A49"/>
    <w:rsid w:val="001452FC"/>
    <w:rsid w:val="00145BD6"/>
    <w:rsid w:val="00146012"/>
    <w:rsid w:val="0014659C"/>
    <w:rsid w:val="00146E6D"/>
    <w:rsid w:val="001479F8"/>
    <w:rsid w:val="0015052C"/>
    <w:rsid w:val="0015069A"/>
    <w:rsid w:val="0015121B"/>
    <w:rsid w:val="0015266B"/>
    <w:rsid w:val="00152EF0"/>
    <w:rsid w:val="00153241"/>
    <w:rsid w:val="00153764"/>
    <w:rsid w:val="00153D42"/>
    <w:rsid w:val="00154004"/>
    <w:rsid w:val="00154386"/>
    <w:rsid w:val="00155ED2"/>
    <w:rsid w:val="00156CE9"/>
    <w:rsid w:val="001574DC"/>
    <w:rsid w:val="0015765E"/>
    <w:rsid w:val="001577DF"/>
    <w:rsid w:val="00157F2D"/>
    <w:rsid w:val="00161528"/>
    <w:rsid w:val="00162325"/>
    <w:rsid w:val="001623F3"/>
    <w:rsid w:val="00163444"/>
    <w:rsid w:val="00163FCE"/>
    <w:rsid w:val="00164922"/>
    <w:rsid w:val="0016557F"/>
    <w:rsid w:val="001655D7"/>
    <w:rsid w:val="00165679"/>
    <w:rsid w:val="00165996"/>
    <w:rsid w:val="00165A8B"/>
    <w:rsid w:val="00165B3F"/>
    <w:rsid w:val="00166633"/>
    <w:rsid w:val="001677F7"/>
    <w:rsid w:val="00167946"/>
    <w:rsid w:val="00170267"/>
    <w:rsid w:val="00170E39"/>
    <w:rsid w:val="001719D3"/>
    <w:rsid w:val="00172502"/>
    <w:rsid w:val="001735EB"/>
    <w:rsid w:val="0017401B"/>
    <w:rsid w:val="00174033"/>
    <w:rsid w:val="001749EB"/>
    <w:rsid w:val="001755AB"/>
    <w:rsid w:val="00175808"/>
    <w:rsid w:val="00176259"/>
    <w:rsid w:val="001767EC"/>
    <w:rsid w:val="0017682C"/>
    <w:rsid w:val="0017787F"/>
    <w:rsid w:val="00180DF3"/>
    <w:rsid w:val="00180E4F"/>
    <w:rsid w:val="00181AB5"/>
    <w:rsid w:val="00182BA9"/>
    <w:rsid w:val="00183320"/>
    <w:rsid w:val="00183925"/>
    <w:rsid w:val="00183AF3"/>
    <w:rsid w:val="00184858"/>
    <w:rsid w:val="00185594"/>
    <w:rsid w:val="0018566A"/>
    <w:rsid w:val="00186542"/>
    <w:rsid w:val="0018729C"/>
    <w:rsid w:val="001903BD"/>
    <w:rsid w:val="00190E10"/>
    <w:rsid w:val="0019101C"/>
    <w:rsid w:val="0019135E"/>
    <w:rsid w:val="00191EA9"/>
    <w:rsid w:val="00192510"/>
    <w:rsid w:val="0019273B"/>
    <w:rsid w:val="00192919"/>
    <w:rsid w:val="00192E06"/>
    <w:rsid w:val="00192E4E"/>
    <w:rsid w:val="0019582B"/>
    <w:rsid w:val="00195C72"/>
    <w:rsid w:val="0019680F"/>
    <w:rsid w:val="001970ED"/>
    <w:rsid w:val="001972DF"/>
    <w:rsid w:val="001973AD"/>
    <w:rsid w:val="001A103F"/>
    <w:rsid w:val="001A1204"/>
    <w:rsid w:val="001A1286"/>
    <w:rsid w:val="001A1816"/>
    <w:rsid w:val="001A2235"/>
    <w:rsid w:val="001A22C8"/>
    <w:rsid w:val="001A30DA"/>
    <w:rsid w:val="001A3553"/>
    <w:rsid w:val="001A35A1"/>
    <w:rsid w:val="001A392F"/>
    <w:rsid w:val="001A4924"/>
    <w:rsid w:val="001A5AF3"/>
    <w:rsid w:val="001A5B68"/>
    <w:rsid w:val="001A6708"/>
    <w:rsid w:val="001A6EFF"/>
    <w:rsid w:val="001A707E"/>
    <w:rsid w:val="001A782E"/>
    <w:rsid w:val="001B0002"/>
    <w:rsid w:val="001B0462"/>
    <w:rsid w:val="001B0EE5"/>
    <w:rsid w:val="001B1320"/>
    <w:rsid w:val="001B227D"/>
    <w:rsid w:val="001B2A74"/>
    <w:rsid w:val="001B2F22"/>
    <w:rsid w:val="001B31CE"/>
    <w:rsid w:val="001B34DD"/>
    <w:rsid w:val="001B37CE"/>
    <w:rsid w:val="001B39EC"/>
    <w:rsid w:val="001B4D7F"/>
    <w:rsid w:val="001B5AD2"/>
    <w:rsid w:val="001B5BB2"/>
    <w:rsid w:val="001B64B3"/>
    <w:rsid w:val="001B6B5E"/>
    <w:rsid w:val="001B7590"/>
    <w:rsid w:val="001B7A7D"/>
    <w:rsid w:val="001C0206"/>
    <w:rsid w:val="001C14F5"/>
    <w:rsid w:val="001C15CC"/>
    <w:rsid w:val="001C19FC"/>
    <w:rsid w:val="001C278B"/>
    <w:rsid w:val="001C2C2A"/>
    <w:rsid w:val="001C2EE6"/>
    <w:rsid w:val="001C374B"/>
    <w:rsid w:val="001C3785"/>
    <w:rsid w:val="001C4380"/>
    <w:rsid w:val="001C44DD"/>
    <w:rsid w:val="001C4897"/>
    <w:rsid w:val="001C49D4"/>
    <w:rsid w:val="001C4A4C"/>
    <w:rsid w:val="001C4B64"/>
    <w:rsid w:val="001C5445"/>
    <w:rsid w:val="001C56D7"/>
    <w:rsid w:val="001C5F8D"/>
    <w:rsid w:val="001C638E"/>
    <w:rsid w:val="001C648B"/>
    <w:rsid w:val="001C6FDA"/>
    <w:rsid w:val="001C77D5"/>
    <w:rsid w:val="001C7FB1"/>
    <w:rsid w:val="001D01FA"/>
    <w:rsid w:val="001D064B"/>
    <w:rsid w:val="001D07E9"/>
    <w:rsid w:val="001D0E5D"/>
    <w:rsid w:val="001D0E67"/>
    <w:rsid w:val="001D1213"/>
    <w:rsid w:val="001D15EF"/>
    <w:rsid w:val="001D20E5"/>
    <w:rsid w:val="001D22BF"/>
    <w:rsid w:val="001D24B4"/>
    <w:rsid w:val="001D2520"/>
    <w:rsid w:val="001D27AA"/>
    <w:rsid w:val="001D28E4"/>
    <w:rsid w:val="001D2A09"/>
    <w:rsid w:val="001D2E80"/>
    <w:rsid w:val="001D3178"/>
    <w:rsid w:val="001D53B3"/>
    <w:rsid w:val="001D5C93"/>
    <w:rsid w:val="001D630B"/>
    <w:rsid w:val="001D7217"/>
    <w:rsid w:val="001D78E9"/>
    <w:rsid w:val="001D79BA"/>
    <w:rsid w:val="001E0868"/>
    <w:rsid w:val="001E0BFC"/>
    <w:rsid w:val="001E1103"/>
    <w:rsid w:val="001E1568"/>
    <w:rsid w:val="001E270C"/>
    <w:rsid w:val="001E2BDC"/>
    <w:rsid w:val="001E32C2"/>
    <w:rsid w:val="001E34CB"/>
    <w:rsid w:val="001E3C15"/>
    <w:rsid w:val="001E3C6D"/>
    <w:rsid w:val="001E4164"/>
    <w:rsid w:val="001E57A6"/>
    <w:rsid w:val="001E5E6A"/>
    <w:rsid w:val="001E5FAB"/>
    <w:rsid w:val="001E64CC"/>
    <w:rsid w:val="001E6905"/>
    <w:rsid w:val="001E6F35"/>
    <w:rsid w:val="001E738B"/>
    <w:rsid w:val="001E7694"/>
    <w:rsid w:val="001E7C13"/>
    <w:rsid w:val="001F07CB"/>
    <w:rsid w:val="001F0DDC"/>
    <w:rsid w:val="001F18A7"/>
    <w:rsid w:val="001F23EF"/>
    <w:rsid w:val="001F273E"/>
    <w:rsid w:val="001F2A46"/>
    <w:rsid w:val="001F2BB7"/>
    <w:rsid w:val="001F300F"/>
    <w:rsid w:val="001F3496"/>
    <w:rsid w:val="001F3D15"/>
    <w:rsid w:val="001F4242"/>
    <w:rsid w:val="001F4396"/>
    <w:rsid w:val="001F443B"/>
    <w:rsid w:val="001F5078"/>
    <w:rsid w:val="001F64B5"/>
    <w:rsid w:val="001F70FD"/>
    <w:rsid w:val="001F738A"/>
    <w:rsid w:val="001F73EF"/>
    <w:rsid w:val="0020017F"/>
    <w:rsid w:val="002013C0"/>
    <w:rsid w:val="00201592"/>
    <w:rsid w:val="00201A82"/>
    <w:rsid w:val="00202AA0"/>
    <w:rsid w:val="00202E8A"/>
    <w:rsid w:val="00203AC1"/>
    <w:rsid w:val="002040A2"/>
    <w:rsid w:val="002052C2"/>
    <w:rsid w:val="0020543B"/>
    <w:rsid w:val="00205DA0"/>
    <w:rsid w:val="00205F9F"/>
    <w:rsid w:val="002069B9"/>
    <w:rsid w:val="0020718A"/>
    <w:rsid w:val="00210000"/>
    <w:rsid w:val="00210CC8"/>
    <w:rsid w:val="00211326"/>
    <w:rsid w:val="00211E27"/>
    <w:rsid w:val="00213DD8"/>
    <w:rsid w:val="00214402"/>
    <w:rsid w:val="00214528"/>
    <w:rsid w:val="002155F1"/>
    <w:rsid w:val="00215BC8"/>
    <w:rsid w:val="00215CB9"/>
    <w:rsid w:val="00215D2F"/>
    <w:rsid w:val="00215E82"/>
    <w:rsid w:val="00216796"/>
    <w:rsid w:val="00217B70"/>
    <w:rsid w:val="0022021F"/>
    <w:rsid w:val="00220456"/>
    <w:rsid w:val="00220E64"/>
    <w:rsid w:val="002213A1"/>
    <w:rsid w:val="00221997"/>
    <w:rsid w:val="00222FFD"/>
    <w:rsid w:val="0022304A"/>
    <w:rsid w:val="0022326E"/>
    <w:rsid w:val="00223CAC"/>
    <w:rsid w:val="0022501D"/>
    <w:rsid w:val="0022606B"/>
    <w:rsid w:val="00226DD9"/>
    <w:rsid w:val="00226FAD"/>
    <w:rsid w:val="00230349"/>
    <w:rsid w:val="002307AF"/>
    <w:rsid w:val="00231085"/>
    <w:rsid w:val="00231275"/>
    <w:rsid w:val="00231356"/>
    <w:rsid w:val="00231E02"/>
    <w:rsid w:val="00232066"/>
    <w:rsid w:val="002323F7"/>
    <w:rsid w:val="00232548"/>
    <w:rsid w:val="002330B2"/>
    <w:rsid w:val="002338C4"/>
    <w:rsid w:val="002342AD"/>
    <w:rsid w:val="002344BE"/>
    <w:rsid w:val="00234CD1"/>
    <w:rsid w:val="0023508E"/>
    <w:rsid w:val="00235276"/>
    <w:rsid w:val="00235621"/>
    <w:rsid w:val="002369DD"/>
    <w:rsid w:val="002369F8"/>
    <w:rsid w:val="00236B0D"/>
    <w:rsid w:val="00236FFB"/>
    <w:rsid w:val="00237921"/>
    <w:rsid w:val="00237A8F"/>
    <w:rsid w:val="00237B94"/>
    <w:rsid w:val="002407C2"/>
    <w:rsid w:val="00240A30"/>
    <w:rsid w:val="00240DDE"/>
    <w:rsid w:val="00241623"/>
    <w:rsid w:val="00242402"/>
    <w:rsid w:val="00242E3B"/>
    <w:rsid w:val="0024313A"/>
    <w:rsid w:val="00243878"/>
    <w:rsid w:val="00243947"/>
    <w:rsid w:val="00243A0B"/>
    <w:rsid w:val="00244459"/>
    <w:rsid w:val="002449B7"/>
    <w:rsid w:val="002457ED"/>
    <w:rsid w:val="00246D6C"/>
    <w:rsid w:val="0024720A"/>
    <w:rsid w:val="002473E0"/>
    <w:rsid w:val="002478DE"/>
    <w:rsid w:val="00250272"/>
    <w:rsid w:val="0025034C"/>
    <w:rsid w:val="002503BE"/>
    <w:rsid w:val="00251CC0"/>
    <w:rsid w:val="002524B0"/>
    <w:rsid w:val="00252595"/>
    <w:rsid w:val="00252AAD"/>
    <w:rsid w:val="00252C87"/>
    <w:rsid w:val="002537AD"/>
    <w:rsid w:val="0025393E"/>
    <w:rsid w:val="002539BC"/>
    <w:rsid w:val="00253A11"/>
    <w:rsid w:val="00253AF2"/>
    <w:rsid w:val="00254CD9"/>
    <w:rsid w:val="0025541B"/>
    <w:rsid w:val="00256182"/>
    <w:rsid w:val="0025635F"/>
    <w:rsid w:val="00256BF2"/>
    <w:rsid w:val="00257241"/>
    <w:rsid w:val="00257489"/>
    <w:rsid w:val="00257BE7"/>
    <w:rsid w:val="002601AA"/>
    <w:rsid w:val="002602B7"/>
    <w:rsid w:val="00260438"/>
    <w:rsid w:val="00260BFE"/>
    <w:rsid w:val="00260EDE"/>
    <w:rsid w:val="00260FD9"/>
    <w:rsid w:val="00261600"/>
    <w:rsid w:val="002616CA"/>
    <w:rsid w:val="00261953"/>
    <w:rsid w:val="00261D32"/>
    <w:rsid w:val="00262655"/>
    <w:rsid w:val="00262A97"/>
    <w:rsid w:val="00262B39"/>
    <w:rsid w:val="0026356A"/>
    <w:rsid w:val="002638A5"/>
    <w:rsid w:val="00263911"/>
    <w:rsid w:val="0026396C"/>
    <w:rsid w:val="002653CF"/>
    <w:rsid w:val="00265DDA"/>
    <w:rsid w:val="00266A89"/>
    <w:rsid w:val="002677F5"/>
    <w:rsid w:val="00267F93"/>
    <w:rsid w:val="0027014D"/>
    <w:rsid w:val="002707F4"/>
    <w:rsid w:val="00270D4B"/>
    <w:rsid w:val="002712DD"/>
    <w:rsid w:val="00271680"/>
    <w:rsid w:val="002722FB"/>
    <w:rsid w:val="00273025"/>
    <w:rsid w:val="00273D04"/>
    <w:rsid w:val="00275AD1"/>
    <w:rsid w:val="00275BD8"/>
    <w:rsid w:val="002760F4"/>
    <w:rsid w:val="0027622A"/>
    <w:rsid w:val="002768EC"/>
    <w:rsid w:val="00276CC4"/>
    <w:rsid w:val="00276F42"/>
    <w:rsid w:val="00277235"/>
    <w:rsid w:val="00277D09"/>
    <w:rsid w:val="00277D7C"/>
    <w:rsid w:val="00280009"/>
    <w:rsid w:val="00280840"/>
    <w:rsid w:val="002814D9"/>
    <w:rsid w:val="0028217E"/>
    <w:rsid w:val="00282D98"/>
    <w:rsid w:val="002835FB"/>
    <w:rsid w:val="0028380B"/>
    <w:rsid w:val="00284719"/>
    <w:rsid w:val="002847D8"/>
    <w:rsid w:val="00284844"/>
    <w:rsid w:val="00285179"/>
    <w:rsid w:val="0028536B"/>
    <w:rsid w:val="00285E2C"/>
    <w:rsid w:val="002868BA"/>
    <w:rsid w:val="002869F0"/>
    <w:rsid w:val="0028717E"/>
    <w:rsid w:val="00287377"/>
    <w:rsid w:val="0028789A"/>
    <w:rsid w:val="002878BD"/>
    <w:rsid w:val="00287925"/>
    <w:rsid w:val="00287A80"/>
    <w:rsid w:val="00291077"/>
    <w:rsid w:val="002918EB"/>
    <w:rsid w:val="00291E72"/>
    <w:rsid w:val="00291EF4"/>
    <w:rsid w:val="00292434"/>
    <w:rsid w:val="00292868"/>
    <w:rsid w:val="00292C15"/>
    <w:rsid w:val="00293007"/>
    <w:rsid w:val="002946FD"/>
    <w:rsid w:val="00294ACE"/>
    <w:rsid w:val="00294F19"/>
    <w:rsid w:val="00295BC6"/>
    <w:rsid w:val="002960DA"/>
    <w:rsid w:val="00296374"/>
    <w:rsid w:val="002963F2"/>
    <w:rsid w:val="00296DB1"/>
    <w:rsid w:val="00296DFC"/>
    <w:rsid w:val="0029712A"/>
    <w:rsid w:val="00297B75"/>
    <w:rsid w:val="002A0556"/>
    <w:rsid w:val="002A0E51"/>
    <w:rsid w:val="002A1CBC"/>
    <w:rsid w:val="002A232B"/>
    <w:rsid w:val="002A24D7"/>
    <w:rsid w:val="002A2B50"/>
    <w:rsid w:val="002A30AE"/>
    <w:rsid w:val="002A4439"/>
    <w:rsid w:val="002A4709"/>
    <w:rsid w:val="002A58E5"/>
    <w:rsid w:val="002A5FF3"/>
    <w:rsid w:val="002A6648"/>
    <w:rsid w:val="002A6DFB"/>
    <w:rsid w:val="002A6E06"/>
    <w:rsid w:val="002A7440"/>
    <w:rsid w:val="002A79F2"/>
    <w:rsid w:val="002B0246"/>
    <w:rsid w:val="002B0D0F"/>
    <w:rsid w:val="002B0D2B"/>
    <w:rsid w:val="002B162F"/>
    <w:rsid w:val="002B1746"/>
    <w:rsid w:val="002B1B2F"/>
    <w:rsid w:val="002B1C7C"/>
    <w:rsid w:val="002B262E"/>
    <w:rsid w:val="002B2633"/>
    <w:rsid w:val="002B2A04"/>
    <w:rsid w:val="002B2B3D"/>
    <w:rsid w:val="002B2F03"/>
    <w:rsid w:val="002B395C"/>
    <w:rsid w:val="002B39C9"/>
    <w:rsid w:val="002B4245"/>
    <w:rsid w:val="002B42C5"/>
    <w:rsid w:val="002B434C"/>
    <w:rsid w:val="002B4513"/>
    <w:rsid w:val="002B45BC"/>
    <w:rsid w:val="002B4DC2"/>
    <w:rsid w:val="002B5438"/>
    <w:rsid w:val="002B57E4"/>
    <w:rsid w:val="002B6BD3"/>
    <w:rsid w:val="002B7608"/>
    <w:rsid w:val="002C0520"/>
    <w:rsid w:val="002C0590"/>
    <w:rsid w:val="002C0858"/>
    <w:rsid w:val="002C1577"/>
    <w:rsid w:val="002C2155"/>
    <w:rsid w:val="002C25F0"/>
    <w:rsid w:val="002C2A0D"/>
    <w:rsid w:val="002C2CCD"/>
    <w:rsid w:val="002C30D7"/>
    <w:rsid w:val="002C3697"/>
    <w:rsid w:val="002C38C1"/>
    <w:rsid w:val="002C3A12"/>
    <w:rsid w:val="002C3E5A"/>
    <w:rsid w:val="002C40DA"/>
    <w:rsid w:val="002C4CD0"/>
    <w:rsid w:val="002C5729"/>
    <w:rsid w:val="002C5B2A"/>
    <w:rsid w:val="002C5B6E"/>
    <w:rsid w:val="002C616B"/>
    <w:rsid w:val="002C67C0"/>
    <w:rsid w:val="002C6886"/>
    <w:rsid w:val="002C68F9"/>
    <w:rsid w:val="002C6D4C"/>
    <w:rsid w:val="002C6E99"/>
    <w:rsid w:val="002C7289"/>
    <w:rsid w:val="002C72BF"/>
    <w:rsid w:val="002C77A7"/>
    <w:rsid w:val="002C79EF"/>
    <w:rsid w:val="002C7BE9"/>
    <w:rsid w:val="002D04D3"/>
    <w:rsid w:val="002D08E2"/>
    <w:rsid w:val="002D2312"/>
    <w:rsid w:val="002D249A"/>
    <w:rsid w:val="002D2809"/>
    <w:rsid w:val="002D2EF8"/>
    <w:rsid w:val="002D312D"/>
    <w:rsid w:val="002D3F54"/>
    <w:rsid w:val="002D3FD1"/>
    <w:rsid w:val="002D4426"/>
    <w:rsid w:val="002D4AF3"/>
    <w:rsid w:val="002D50CE"/>
    <w:rsid w:val="002D520E"/>
    <w:rsid w:val="002D590C"/>
    <w:rsid w:val="002D6182"/>
    <w:rsid w:val="002D62D5"/>
    <w:rsid w:val="002D66C7"/>
    <w:rsid w:val="002D6EEB"/>
    <w:rsid w:val="002D7B9F"/>
    <w:rsid w:val="002D7FA3"/>
    <w:rsid w:val="002D7FBE"/>
    <w:rsid w:val="002E0F99"/>
    <w:rsid w:val="002E11F5"/>
    <w:rsid w:val="002E196B"/>
    <w:rsid w:val="002E1A90"/>
    <w:rsid w:val="002E2207"/>
    <w:rsid w:val="002E239F"/>
    <w:rsid w:val="002E2566"/>
    <w:rsid w:val="002E3231"/>
    <w:rsid w:val="002E3380"/>
    <w:rsid w:val="002E3F59"/>
    <w:rsid w:val="002E476B"/>
    <w:rsid w:val="002E4E92"/>
    <w:rsid w:val="002E54C0"/>
    <w:rsid w:val="002E5B49"/>
    <w:rsid w:val="002E65AF"/>
    <w:rsid w:val="002E709F"/>
    <w:rsid w:val="002E7858"/>
    <w:rsid w:val="002E7997"/>
    <w:rsid w:val="002F0C95"/>
    <w:rsid w:val="002F1227"/>
    <w:rsid w:val="002F1302"/>
    <w:rsid w:val="002F13E8"/>
    <w:rsid w:val="002F2C7D"/>
    <w:rsid w:val="002F3A76"/>
    <w:rsid w:val="002F3ADB"/>
    <w:rsid w:val="002F3D65"/>
    <w:rsid w:val="002F538C"/>
    <w:rsid w:val="002F5594"/>
    <w:rsid w:val="002F58AE"/>
    <w:rsid w:val="002F5A56"/>
    <w:rsid w:val="002F6239"/>
    <w:rsid w:val="002F629B"/>
    <w:rsid w:val="002F6C65"/>
    <w:rsid w:val="002F6CE4"/>
    <w:rsid w:val="002F7301"/>
    <w:rsid w:val="002F75EB"/>
    <w:rsid w:val="002F7F07"/>
    <w:rsid w:val="003002F9"/>
    <w:rsid w:val="00300496"/>
    <w:rsid w:val="003004AD"/>
    <w:rsid w:val="0030056F"/>
    <w:rsid w:val="0030078A"/>
    <w:rsid w:val="003009B2"/>
    <w:rsid w:val="00300B86"/>
    <w:rsid w:val="00300BB0"/>
    <w:rsid w:val="00300C0C"/>
    <w:rsid w:val="00300DE8"/>
    <w:rsid w:val="00300FAA"/>
    <w:rsid w:val="003014A4"/>
    <w:rsid w:val="00301A5D"/>
    <w:rsid w:val="00302372"/>
    <w:rsid w:val="003028D6"/>
    <w:rsid w:val="00302B98"/>
    <w:rsid w:val="00303E40"/>
    <w:rsid w:val="00304907"/>
    <w:rsid w:val="00304CB9"/>
    <w:rsid w:val="00305112"/>
    <w:rsid w:val="00305B05"/>
    <w:rsid w:val="003067B1"/>
    <w:rsid w:val="00306C33"/>
    <w:rsid w:val="00310235"/>
    <w:rsid w:val="0031048A"/>
    <w:rsid w:val="00310938"/>
    <w:rsid w:val="00311213"/>
    <w:rsid w:val="003131FB"/>
    <w:rsid w:val="003138EC"/>
    <w:rsid w:val="00313DA3"/>
    <w:rsid w:val="00314248"/>
    <w:rsid w:val="00314636"/>
    <w:rsid w:val="00314927"/>
    <w:rsid w:val="00315036"/>
    <w:rsid w:val="003152A7"/>
    <w:rsid w:val="003155DE"/>
    <w:rsid w:val="00315CA5"/>
    <w:rsid w:val="0031630F"/>
    <w:rsid w:val="0031745A"/>
    <w:rsid w:val="00317657"/>
    <w:rsid w:val="00321284"/>
    <w:rsid w:val="00321562"/>
    <w:rsid w:val="00321ED7"/>
    <w:rsid w:val="0032217E"/>
    <w:rsid w:val="003227F0"/>
    <w:rsid w:val="00323E4F"/>
    <w:rsid w:val="003242E5"/>
    <w:rsid w:val="003253ED"/>
    <w:rsid w:val="0032557C"/>
    <w:rsid w:val="00325F56"/>
    <w:rsid w:val="00326515"/>
    <w:rsid w:val="003268BE"/>
    <w:rsid w:val="00326B02"/>
    <w:rsid w:val="00327812"/>
    <w:rsid w:val="00327D05"/>
    <w:rsid w:val="00327FC0"/>
    <w:rsid w:val="003302FB"/>
    <w:rsid w:val="00330ED9"/>
    <w:rsid w:val="00330F43"/>
    <w:rsid w:val="003318A6"/>
    <w:rsid w:val="00331DA8"/>
    <w:rsid w:val="0033205C"/>
    <w:rsid w:val="00332373"/>
    <w:rsid w:val="003326CD"/>
    <w:rsid w:val="003328D7"/>
    <w:rsid w:val="00332A0E"/>
    <w:rsid w:val="00332B4D"/>
    <w:rsid w:val="00332F45"/>
    <w:rsid w:val="00333B95"/>
    <w:rsid w:val="003349D8"/>
    <w:rsid w:val="00335626"/>
    <w:rsid w:val="00335B6B"/>
    <w:rsid w:val="00336EC5"/>
    <w:rsid w:val="00336F82"/>
    <w:rsid w:val="003370A6"/>
    <w:rsid w:val="00337CDD"/>
    <w:rsid w:val="003401CA"/>
    <w:rsid w:val="00340542"/>
    <w:rsid w:val="00340A71"/>
    <w:rsid w:val="00340BB4"/>
    <w:rsid w:val="00340D69"/>
    <w:rsid w:val="00341663"/>
    <w:rsid w:val="00341C05"/>
    <w:rsid w:val="003428ED"/>
    <w:rsid w:val="00342FB5"/>
    <w:rsid w:val="003432E3"/>
    <w:rsid w:val="003433A7"/>
    <w:rsid w:val="003445C1"/>
    <w:rsid w:val="00344939"/>
    <w:rsid w:val="0034504C"/>
    <w:rsid w:val="0034564D"/>
    <w:rsid w:val="003464B9"/>
    <w:rsid w:val="00347304"/>
    <w:rsid w:val="0034751F"/>
    <w:rsid w:val="003477CF"/>
    <w:rsid w:val="00347AF7"/>
    <w:rsid w:val="0035021E"/>
    <w:rsid w:val="00350589"/>
    <w:rsid w:val="003505F2"/>
    <w:rsid w:val="0035085D"/>
    <w:rsid w:val="003509B2"/>
    <w:rsid w:val="00350D9A"/>
    <w:rsid w:val="00352278"/>
    <w:rsid w:val="003524A6"/>
    <w:rsid w:val="00352720"/>
    <w:rsid w:val="003529DF"/>
    <w:rsid w:val="00353827"/>
    <w:rsid w:val="00354796"/>
    <w:rsid w:val="00354917"/>
    <w:rsid w:val="00354B11"/>
    <w:rsid w:val="00355ADA"/>
    <w:rsid w:val="00356155"/>
    <w:rsid w:val="00356356"/>
    <w:rsid w:val="00356DD7"/>
    <w:rsid w:val="003574F9"/>
    <w:rsid w:val="00357A37"/>
    <w:rsid w:val="00360CE6"/>
    <w:rsid w:val="00360FA8"/>
    <w:rsid w:val="003630CC"/>
    <w:rsid w:val="00363A5F"/>
    <w:rsid w:val="003644F9"/>
    <w:rsid w:val="00364A2E"/>
    <w:rsid w:val="0036635F"/>
    <w:rsid w:val="003663AA"/>
    <w:rsid w:val="0036660A"/>
    <w:rsid w:val="00366DD5"/>
    <w:rsid w:val="003704A6"/>
    <w:rsid w:val="00370A76"/>
    <w:rsid w:val="00370CD6"/>
    <w:rsid w:val="00370D90"/>
    <w:rsid w:val="003710C9"/>
    <w:rsid w:val="00371220"/>
    <w:rsid w:val="0037155E"/>
    <w:rsid w:val="003721E6"/>
    <w:rsid w:val="003729AC"/>
    <w:rsid w:val="00372D7B"/>
    <w:rsid w:val="00373469"/>
    <w:rsid w:val="003743D2"/>
    <w:rsid w:val="0037460F"/>
    <w:rsid w:val="00374731"/>
    <w:rsid w:val="003754DD"/>
    <w:rsid w:val="003768FD"/>
    <w:rsid w:val="00376988"/>
    <w:rsid w:val="003771EA"/>
    <w:rsid w:val="0037791C"/>
    <w:rsid w:val="003800DA"/>
    <w:rsid w:val="00380775"/>
    <w:rsid w:val="00381C9E"/>
    <w:rsid w:val="00381EB5"/>
    <w:rsid w:val="00382114"/>
    <w:rsid w:val="003823E0"/>
    <w:rsid w:val="0038275D"/>
    <w:rsid w:val="00383252"/>
    <w:rsid w:val="00383940"/>
    <w:rsid w:val="00383E7F"/>
    <w:rsid w:val="00383E96"/>
    <w:rsid w:val="00383F1B"/>
    <w:rsid w:val="0038401A"/>
    <w:rsid w:val="00384418"/>
    <w:rsid w:val="003845EF"/>
    <w:rsid w:val="0038489A"/>
    <w:rsid w:val="00384ECE"/>
    <w:rsid w:val="00384F07"/>
    <w:rsid w:val="0038563E"/>
    <w:rsid w:val="00385B88"/>
    <w:rsid w:val="00385ECD"/>
    <w:rsid w:val="003866D5"/>
    <w:rsid w:val="003871A5"/>
    <w:rsid w:val="00387CD4"/>
    <w:rsid w:val="0039081D"/>
    <w:rsid w:val="00390CE7"/>
    <w:rsid w:val="00391F44"/>
    <w:rsid w:val="00392AB8"/>
    <w:rsid w:val="00393929"/>
    <w:rsid w:val="003939CC"/>
    <w:rsid w:val="00393A30"/>
    <w:rsid w:val="00393EFB"/>
    <w:rsid w:val="00394F39"/>
    <w:rsid w:val="00394F64"/>
    <w:rsid w:val="00395300"/>
    <w:rsid w:val="003959C9"/>
    <w:rsid w:val="003969C3"/>
    <w:rsid w:val="003969E7"/>
    <w:rsid w:val="00396BA9"/>
    <w:rsid w:val="003971ED"/>
    <w:rsid w:val="0039758F"/>
    <w:rsid w:val="003976C6"/>
    <w:rsid w:val="003A061E"/>
    <w:rsid w:val="003A1661"/>
    <w:rsid w:val="003A2080"/>
    <w:rsid w:val="003A21BF"/>
    <w:rsid w:val="003A3AD1"/>
    <w:rsid w:val="003A3DE0"/>
    <w:rsid w:val="003A42BB"/>
    <w:rsid w:val="003A4325"/>
    <w:rsid w:val="003A5983"/>
    <w:rsid w:val="003A5E10"/>
    <w:rsid w:val="003A5EBE"/>
    <w:rsid w:val="003A63F4"/>
    <w:rsid w:val="003A681E"/>
    <w:rsid w:val="003A6910"/>
    <w:rsid w:val="003A6D9D"/>
    <w:rsid w:val="003B0F95"/>
    <w:rsid w:val="003B1E1D"/>
    <w:rsid w:val="003B2C4D"/>
    <w:rsid w:val="003B2E4D"/>
    <w:rsid w:val="003B37ED"/>
    <w:rsid w:val="003B3C7C"/>
    <w:rsid w:val="003B4345"/>
    <w:rsid w:val="003B43EB"/>
    <w:rsid w:val="003B4DF5"/>
    <w:rsid w:val="003B4FC3"/>
    <w:rsid w:val="003B546D"/>
    <w:rsid w:val="003B5C5D"/>
    <w:rsid w:val="003B67E7"/>
    <w:rsid w:val="003B6E94"/>
    <w:rsid w:val="003B71B8"/>
    <w:rsid w:val="003B7EC8"/>
    <w:rsid w:val="003C0159"/>
    <w:rsid w:val="003C0551"/>
    <w:rsid w:val="003C055C"/>
    <w:rsid w:val="003C093D"/>
    <w:rsid w:val="003C09A5"/>
    <w:rsid w:val="003C16D4"/>
    <w:rsid w:val="003C24C5"/>
    <w:rsid w:val="003C24DF"/>
    <w:rsid w:val="003C24EC"/>
    <w:rsid w:val="003C28F6"/>
    <w:rsid w:val="003C29E7"/>
    <w:rsid w:val="003C31A4"/>
    <w:rsid w:val="003C3652"/>
    <w:rsid w:val="003C5173"/>
    <w:rsid w:val="003C530E"/>
    <w:rsid w:val="003C5657"/>
    <w:rsid w:val="003C57EA"/>
    <w:rsid w:val="003C5F3B"/>
    <w:rsid w:val="003C6769"/>
    <w:rsid w:val="003C6D10"/>
    <w:rsid w:val="003C6EAC"/>
    <w:rsid w:val="003C701F"/>
    <w:rsid w:val="003C733B"/>
    <w:rsid w:val="003C787D"/>
    <w:rsid w:val="003C798E"/>
    <w:rsid w:val="003C7FEA"/>
    <w:rsid w:val="003D0A79"/>
    <w:rsid w:val="003D169E"/>
    <w:rsid w:val="003D1784"/>
    <w:rsid w:val="003D1992"/>
    <w:rsid w:val="003D19BE"/>
    <w:rsid w:val="003D1C94"/>
    <w:rsid w:val="003D20F8"/>
    <w:rsid w:val="003D260F"/>
    <w:rsid w:val="003D2B68"/>
    <w:rsid w:val="003D3178"/>
    <w:rsid w:val="003D35E2"/>
    <w:rsid w:val="003D37FA"/>
    <w:rsid w:val="003D4024"/>
    <w:rsid w:val="003D4503"/>
    <w:rsid w:val="003D46DA"/>
    <w:rsid w:val="003D48D3"/>
    <w:rsid w:val="003D4F94"/>
    <w:rsid w:val="003E0190"/>
    <w:rsid w:val="003E03E5"/>
    <w:rsid w:val="003E099D"/>
    <w:rsid w:val="003E1606"/>
    <w:rsid w:val="003E2C35"/>
    <w:rsid w:val="003E2E91"/>
    <w:rsid w:val="003E3446"/>
    <w:rsid w:val="003E3514"/>
    <w:rsid w:val="003E35B6"/>
    <w:rsid w:val="003E38D3"/>
    <w:rsid w:val="003E4575"/>
    <w:rsid w:val="003E4C4D"/>
    <w:rsid w:val="003E56B2"/>
    <w:rsid w:val="003E5A8A"/>
    <w:rsid w:val="003E66B6"/>
    <w:rsid w:val="003E6AE5"/>
    <w:rsid w:val="003E6DB5"/>
    <w:rsid w:val="003F0197"/>
    <w:rsid w:val="003F08EC"/>
    <w:rsid w:val="003F09F3"/>
    <w:rsid w:val="003F0B9E"/>
    <w:rsid w:val="003F0C4D"/>
    <w:rsid w:val="003F0F0A"/>
    <w:rsid w:val="003F10C3"/>
    <w:rsid w:val="003F1907"/>
    <w:rsid w:val="003F1C6B"/>
    <w:rsid w:val="003F1DDA"/>
    <w:rsid w:val="003F2FD5"/>
    <w:rsid w:val="003F30A5"/>
    <w:rsid w:val="003F33C7"/>
    <w:rsid w:val="003F3572"/>
    <w:rsid w:val="003F3CA7"/>
    <w:rsid w:val="003F41BF"/>
    <w:rsid w:val="003F475F"/>
    <w:rsid w:val="003F5249"/>
    <w:rsid w:val="003F547A"/>
    <w:rsid w:val="003F62CB"/>
    <w:rsid w:val="003F6405"/>
    <w:rsid w:val="003F725E"/>
    <w:rsid w:val="003F7E65"/>
    <w:rsid w:val="003F7EFF"/>
    <w:rsid w:val="004000B5"/>
    <w:rsid w:val="0040022B"/>
    <w:rsid w:val="00400423"/>
    <w:rsid w:val="00400B24"/>
    <w:rsid w:val="004011CD"/>
    <w:rsid w:val="00401A81"/>
    <w:rsid w:val="004029D6"/>
    <w:rsid w:val="00402C53"/>
    <w:rsid w:val="00402C7C"/>
    <w:rsid w:val="0040340E"/>
    <w:rsid w:val="0040342A"/>
    <w:rsid w:val="0040454E"/>
    <w:rsid w:val="00404D02"/>
    <w:rsid w:val="00404D08"/>
    <w:rsid w:val="00404D9B"/>
    <w:rsid w:val="004054D5"/>
    <w:rsid w:val="00405665"/>
    <w:rsid w:val="004057A6"/>
    <w:rsid w:val="00406487"/>
    <w:rsid w:val="00406591"/>
    <w:rsid w:val="00410413"/>
    <w:rsid w:val="00411065"/>
    <w:rsid w:val="004110C5"/>
    <w:rsid w:val="0041133A"/>
    <w:rsid w:val="00411C79"/>
    <w:rsid w:val="0041293B"/>
    <w:rsid w:val="004129D1"/>
    <w:rsid w:val="00412C9F"/>
    <w:rsid w:val="0041326F"/>
    <w:rsid w:val="004136F1"/>
    <w:rsid w:val="00413A7B"/>
    <w:rsid w:val="00413F7A"/>
    <w:rsid w:val="00415144"/>
    <w:rsid w:val="0041524A"/>
    <w:rsid w:val="0041540F"/>
    <w:rsid w:val="00415C93"/>
    <w:rsid w:val="00415E34"/>
    <w:rsid w:val="004161E6"/>
    <w:rsid w:val="004170D5"/>
    <w:rsid w:val="004176C9"/>
    <w:rsid w:val="004200D1"/>
    <w:rsid w:val="00421158"/>
    <w:rsid w:val="00421216"/>
    <w:rsid w:val="00421CB7"/>
    <w:rsid w:val="00423185"/>
    <w:rsid w:val="0042375C"/>
    <w:rsid w:val="004239E8"/>
    <w:rsid w:val="00423E12"/>
    <w:rsid w:val="00424B4D"/>
    <w:rsid w:val="00424C2A"/>
    <w:rsid w:val="00424DEB"/>
    <w:rsid w:val="00424F23"/>
    <w:rsid w:val="00425344"/>
    <w:rsid w:val="004255DF"/>
    <w:rsid w:val="00425686"/>
    <w:rsid w:val="00425A5A"/>
    <w:rsid w:val="00425FFA"/>
    <w:rsid w:val="00426302"/>
    <w:rsid w:val="004269B3"/>
    <w:rsid w:val="00426D89"/>
    <w:rsid w:val="00427AAE"/>
    <w:rsid w:val="00427DCF"/>
    <w:rsid w:val="00427E4F"/>
    <w:rsid w:val="00430588"/>
    <w:rsid w:val="004306DA"/>
    <w:rsid w:val="00431004"/>
    <w:rsid w:val="00431F57"/>
    <w:rsid w:val="00432373"/>
    <w:rsid w:val="00432828"/>
    <w:rsid w:val="00432FBC"/>
    <w:rsid w:val="00433656"/>
    <w:rsid w:val="00433890"/>
    <w:rsid w:val="00434C49"/>
    <w:rsid w:val="004350D5"/>
    <w:rsid w:val="00435D8C"/>
    <w:rsid w:val="00435F66"/>
    <w:rsid w:val="0043631D"/>
    <w:rsid w:val="004366F1"/>
    <w:rsid w:val="00436965"/>
    <w:rsid w:val="00437669"/>
    <w:rsid w:val="00437E1E"/>
    <w:rsid w:val="004402A9"/>
    <w:rsid w:val="00440308"/>
    <w:rsid w:val="00440652"/>
    <w:rsid w:val="004406DA"/>
    <w:rsid w:val="00441629"/>
    <w:rsid w:val="004416CE"/>
    <w:rsid w:val="00442D3B"/>
    <w:rsid w:val="00442DCB"/>
    <w:rsid w:val="00443798"/>
    <w:rsid w:val="00443A40"/>
    <w:rsid w:val="004444B9"/>
    <w:rsid w:val="0044451E"/>
    <w:rsid w:val="00444607"/>
    <w:rsid w:val="00444631"/>
    <w:rsid w:val="00444AA5"/>
    <w:rsid w:val="0044570A"/>
    <w:rsid w:val="00445D7B"/>
    <w:rsid w:val="004470B0"/>
    <w:rsid w:val="0044724E"/>
    <w:rsid w:val="0044733B"/>
    <w:rsid w:val="00450FB1"/>
    <w:rsid w:val="00451067"/>
    <w:rsid w:val="0045128A"/>
    <w:rsid w:val="00451C2F"/>
    <w:rsid w:val="00451F56"/>
    <w:rsid w:val="0045240E"/>
    <w:rsid w:val="00452503"/>
    <w:rsid w:val="00452920"/>
    <w:rsid w:val="00452CEC"/>
    <w:rsid w:val="00453256"/>
    <w:rsid w:val="004532AE"/>
    <w:rsid w:val="00453AF3"/>
    <w:rsid w:val="00453B57"/>
    <w:rsid w:val="00453B90"/>
    <w:rsid w:val="00454248"/>
    <w:rsid w:val="00454447"/>
    <w:rsid w:val="0045488E"/>
    <w:rsid w:val="00454F4E"/>
    <w:rsid w:val="00455498"/>
    <w:rsid w:val="004554C2"/>
    <w:rsid w:val="004556A9"/>
    <w:rsid w:val="0045640B"/>
    <w:rsid w:val="004572A0"/>
    <w:rsid w:val="0045783D"/>
    <w:rsid w:val="0046098D"/>
    <w:rsid w:val="00460ACF"/>
    <w:rsid w:val="004611F1"/>
    <w:rsid w:val="00461322"/>
    <w:rsid w:val="0046185D"/>
    <w:rsid w:val="004619FC"/>
    <w:rsid w:val="00462015"/>
    <w:rsid w:val="004623C4"/>
    <w:rsid w:val="004628DB"/>
    <w:rsid w:val="004630A0"/>
    <w:rsid w:val="00463B44"/>
    <w:rsid w:val="00463C5B"/>
    <w:rsid w:val="00463F98"/>
    <w:rsid w:val="00464BF8"/>
    <w:rsid w:val="00464CB0"/>
    <w:rsid w:val="004661C4"/>
    <w:rsid w:val="0046621A"/>
    <w:rsid w:val="0046657A"/>
    <w:rsid w:val="004669D5"/>
    <w:rsid w:val="00466E90"/>
    <w:rsid w:val="004678A2"/>
    <w:rsid w:val="00470453"/>
    <w:rsid w:val="00470BB2"/>
    <w:rsid w:val="004713C4"/>
    <w:rsid w:val="004718F3"/>
    <w:rsid w:val="00472F59"/>
    <w:rsid w:val="00472FD6"/>
    <w:rsid w:val="00472FE3"/>
    <w:rsid w:val="00473331"/>
    <w:rsid w:val="0047350D"/>
    <w:rsid w:val="00473EC7"/>
    <w:rsid w:val="00474312"/>
    <w:rsid w:val="00474575"/>
    <w:rsid w:val="00474AE7"/>
    <w:rsid w:val="0047551C"/>
    <w:rsid w:val="00475696"/>
    <w:rsid w:val="00476C27"/>
    <w:rsid w:val="0047760B"/>
    <w:rsid w:val="00477E15"/>
    <w:rsid w:val="004801C8"/>
    <w:rsid w:val="00480CE7"/>
    <w:rsid w:val="004812FC"/>
    <w:rsid w:val="004821B5"/>
    <w:rsid w:val="004826E1"/>
    <w:rsid w:val="00482721"/>
    <w:rsid w:val="00482C1A"/>
    <w:rsid w:val="00482C36"/>
    <w:rsid w:val="00482D16"/>
    <w:rsid w:val="00482DDA"/>
    <w:rsid w:val="004834A9"/>
    <w:rsid w:val="00484456"/>
    <w:rsid w:val="00484647"/>
    <w:rsid w:val="0048487E"/>
    <w:rsid w:val="004849E1"/>
    <w:rsid w:val="00484C23"/>
    <w:rsid w:val="004852F6"/>
    <w:rsid w:val="00485463"/>
    <w:rsid w:val="00486235"/>
    <w:rsid w:val="004866E2"/>
    <w:rsid w:val="0048734F"/>
    <w:rsid w:val="00487532"/>
    <w:rsid w:val="00487DEB"/>
    <w:rsid w:val="0049025E"/>
    <w:rsid w:val="004924A7"/>
    <w:rsid w:val="004926C3"/>
    <w:rsid w:val="00493454"/>
    <w:rsid w:val="004934B3"/>
    <w:rsid w:val="00494305"/>
    <w:rsid w:val="00494F6C"/>
    <w:rsid w:val="0049650C"/>
    <w:rsid w:val="004974BF"/>
    <w:rsid w:val="00497B6F"/>
    <w:rsid w:val="00497FE0"/>
    <w:rsid w:val="004A06BF"/>
    <w:rsid w:val="004A3427"/>
    <w:rsid w:val="004A48A5"/>
    <w:rsid w:val="004A5190"/>
    <w:rsid w:val="004A54FF"/>
    <w:rsid w:val="004A5AAA"/>
    <w:rsid w:val="004A63E5"/>
    <w:rsid w:val="004A65C6"/>
    <w:rsid w:val="004A687E"/>
    <w:rsid w:val="004A6940"/>
    <w:rsid w:val="004A729A"/>
    <w:rsid w:val="004A7447"/>
    <w:rsid w:val="004A7B49"/>
    <w:rsid w:val="004B0347"/>
    <w:rsid w:val="004B07F6"/>
    <w:rsid w:val="004B0B5C"/>
    <w:rsid w:val="004B1210"/>
    <w:rsid w:val="004B17B9"/>
    <w:rsid w:val="004B18CA"/>
    <w:rsid w:val="004B1EA0"/>
    <w:rsid w:val="004B2188"/>
    <w:rsid w:val="004B22EE"/>
    <w:rsid w:val="004B2544"/>
    <w:rsid w:val="004B2DBE"/>
    <w:rsid w:val="004B35D2"/>
    <w:rsid w:val="004B3F82"/>
    <w:rsid w:val="004B41E8"/>
    <w:rsid w:val="004B4948"/>
    <w:rsid w:val="004B4968"/>
    <w:rsid w:val="004B56FA"/>
    <w:rsid w:val="004B6A68"/>
    <w:rsid w:val="004B6D14"/>
    <w:rsid w:val="004B6DFC"/>
    <w:rsid w:val="004B7037"/>
    <w:rsid w:val="004B7127"/>
    <w:rsid w:val="004B7880"/>
    <w:rsid w:val="004B7D4C"/>
    <w:rsid w:val="004C0E8E"/>
    <w:rsid w:val="004C1C16"/>
    <w:rsid w:val="004C244A"/>
    <w:rsid w:val="004C26B7"/>
    <w:rsid w:val="004C2CFC"/>
    <w:rsid w:val="004C310C"/>
    <w:rsid w:val="004C382A"/>
    <w:rsid w:val="004C387D"/>
    <w:rsid w:val="004C3AEF"/>
    <w:rsid w:val="004C4463"/>
    <w:rsid w:val="004C459C"/>
    <w:rsid w:val="004C4603"/>
    <w:rsid w:val="004C4CB8"/>
    <w:rsid w:val="004C4E3A"/>
    <w:rsid w:val="004C4FD4"/>
    <w:rsid w:val="004C53D2"/>
    <w:rsid w:val="004C6567"/>
    <w:rsid w:val="004C69C6"/>
    <w:rsid w:val="004C78B8"/>
    <w:rsid w:val="004C78CE"/>
    <w:rsid w:val="004D0021"/>
    <w:rsid w:val="004D0287"/>
    <w:rsid w:val="004D0D9C"/>
    <w:rsid w:val="004D1788"/>
    <w:rsid w:val="004D1980"/>
    <w:rsid w:val="004D21AA"/>
    <w:rsid w:val="004D34D0"/>
    <w:rsid w:val="004D34EA"/>
    <w:rsid w:val="004D3515"/>
    <w:rsid w:val="004D43A4"/>
    <w:rsid w:val="004D4546"/>
    <w:rsid w:val="004D4608"/>
    <w:rsid w:val="004D4CBB"/>
    <w:rsid w:val="004D4D9B"/>
    <w:rsid w:val="004D5B5C"/>
    <w:rsid w:val="004D609B"/>
    <w:rsid w:val="004D646E"/>
    <w:rsid w:val="004D708D"/>
    <w:rsid w:val="004D7645"/>
    <w:rsid w:val="004D7943"/>
    <w:rsid w:val="004D79AF"/>
    <w:rsid w:val="004E0093"/>
    <w:rsid w:val="004E0A3B"/>
    <w:rsid w:val="004E0B62"/>
    <w:rsid w:val="004E232B"/>
    <w:rsid w:val="004E290C"/>
    <w:rsid w:val="004E343B"/>
    <w:rsid w:val="004E53D0"/>
    <w:rsid w:val="004E5FF8"/>
    <w:rsid w:val="004E634B"/>
    <w:rsid w:val="004E66EA"/>
    <w:rsid w:val="004E6B27"/>
    <w:rsid w:val="004E6BC1"/>
    <w:rsid w:val="004E74B4"/>
    <w:rsid w:val="004E7794"/>
    <w:rsid w:val="004E7A74"/>
    <w:rsid w:val="004E7C68"/>
    <w:rsid w:val="004E7D26"/>
    <w:rsid w:val="004E7DC0"/>
    <w:rsid w:val="004F1132"/>
    <w:rsid w:val="004F273D"/>
    <w:rsid w:val="004F278F"/>
    <w:rsid w:val="004F41EE"/>
    <w:rsid w:val="004F5B05"/>
    <w:rsid w:val="004F5D6F"/>
    <w:rsid w:val="004F65C7"/>
    <w:rsid w:val="004F69B4"/>
    <w:rsid w:val="004F6A1E"/>
    <w:rsid w:val="004F6B63"/>
    <w:rsid w:val="004F6E48"/>
    <w:rsid w:val="004F6F6E"/>
    <w:rsid w:val="004F73CA"/>
    <w:rsid w:val="004F7570"/>
    <w:rsid w:val="004F7CA5"/>
    <w:rsid w:val="004F7F95"/>
    <w:rsid w:val="005001D4"/>
    <w:rsid w:val="00500230"/>
    <w:rsid w:val="00500971"/>
    <w:rsid w:val="00501859"/>
    <w:rsid w:val="00501F7A"/>
    <w:rsid w:val="005026DC"/>
    <w:rsid w:val="00502A53"/>
    <w:rsid w:val="00503C87"/>
    <w:rsid w:val="00504595"/>
    <w:rsid w:val="0050466F"/>
    <w:rsid w:val="0050478E"/>
    <w:rsid w:val="00504901"/>
    <w:rsid w:val="00504F30"/>
    <w:rsid w:val="0050535B"/>
    <w:rsid w:val="005053DB"/>
    <w:rsid w:val="00505903"/>
    <w:rsid w:val="00505D5A"/>
    <w:rsid w:val="00505F18"/>
    <w:rsid w:val="0050653F"/>
    <w:rsid w:val="00507803"/>
    <w:rsid w:val="00507BBF"/>
    <w:rsid w:val="00510A7C"/>
    <w:rsid w:val="005119E0"/>
    <w:rsid w:val="00511D4F"/>
    <w:rsid w:val="00512EA3"/>
    <w:rsid w:val="00512FFC"/>
    <w:rsid w:val="0051330C"/>
    <w:rsid w:val="005138A2"/>
    <w:rsid w:val="00513B45"/>
    <w:rsid w:val="00513EAD"/>
    <w:rsid w:val="0051431E"/>
    <w:rsid w:val="005158B6"/>
    <w:rsid w:val="005158BF"/>
    <w:rsid w:val="0051669B"/>
    <w:rsid w:val="00516829"/>
    <w:rsid w:val="00516948"/>
    <w:rsid w:val="00516B5D"/>
    <w:rsid w:val="00516B5F"/>
    <w:rsid w:val="00516F7B"/>
    <w:rsid w:val="0051780B"/>
    <w:rsid w:val="00520499"/>
    <w:rsid w:val="00520BE2"/>
    <w:rsid w:val="00521264"/>
    <w:rsid w:val="0052173D"/>
    <w:rsid w:val="00521A65"/>
    <w:rsid w:val="00522578"/>
    <w:rsid w:val="00522788"/>
    <w:rsid w:val="00523445"/>
    <w:rsid w:val="005238ED"/>
    <w:rsid w:val="00523EE9"/>
    <w:rsid w:val="00525292"/>
    <w:rsid w:val="005257F8"/>
    <w:rsid w:val="005272B1"/>
    <w:rsid w:val="00527793"/>
    <w:rsid w:val="00527CDA"/>
    <w:rsid w:val="00530334"/>
    <w:rsid w:val="005307FF"/>
    <w:rsid w:val="00530FD1"/>
    <w:rsid w:val="005315DF"/>
    <w:rsid w:val="00532108"/>
    <w:rsid w:val="005329D2"/>
    <w:rsid w:val="00534381"/>
    <w:rsid w:val="00534A28"/>
    <w:rsid w:val="00534EC7"/>
    <w:rsid w:val="00535E8C"/>
    <w:rsid w:val="00536145"/>
    <w:rsid w:val="005364A4"/>
    <w:rsid w:val="00536D87"/>
    <w:rsid w:val="00536E1C"/>
    <w:rsid w:val="00537577"/>
    <w:rsid w:val="0053757C"/>
    <w:rsid w:val="00540306"/>
    <w:rsid w:val="00541467"/>
    <w:rsid w:val="0054148D"/>
    <w:rsid w:val="005429EC"/>
    <w:rsid w:val="00543258"/>
    <w:rsid w:val="005434DC"/>
    <w:rsid w:val="0054381D"/>
    <w:rsid w:val="00543D4F"/>
    <w:rsid w:val="00543E88"/>
    <w:rsid w:val="00545F58"/>
    <w:rsid w:val="00546198"/>
    <w:rsid w:val="00546372"/>
    <w:rsid w:val="005464B5"/>
    <w:rsid w:val="00546929"/>
    <w:rsid w:val="005471A1"/>
    <w:rsid w:val="005471BD"/>
    <w:rsid w:val="00547202"/>
    <w:rsid w:val="005477BC"/>
    <w:rsid w:val="0054790E"/>
    <w:rsid w:val="00550400"/>
    <w:rsid w:val="00550AB3"/>
    <w:rsid w:val="00550D6C"/>
    <w:rsid w:val="005510BA"/>
    <w:rsid w:val="00551412"/>
    <w:rsid w:val="0055225E"/>
    <w:rsid w:val="005524AA"/>
    <w:rsid w:val="0055294D"/>
    <w:rsid w:val="00552CEE"/>
    <w:rsid w:val="00553900"/>
    <w:rsid w:val="00553DB0"/>
    <w:rsid w:val="005542B7"/>
    <w:rsid w:val="00554690"/>
    <w:rsid w:val="00554B88"/>
    <w:rsid w:val="00554C4D"/>
    <w:rsid w:val="00554CB1"/>
    <w:rsid w:val="00554ED9"/>
    <w:rsid w:val="00554F1F"/>
    <w:rsid w:val="005555A9"/>
    <w:rsid w:val="005557A4"/>
    <w:rsid w:val="00555C1C"/>
    <w:rsid w:val="00555F63"/>
    <w:rsid w:val="005563C8"/>
    <w:rsid w:val="005602DB"/>
    <w:rsid w:val="0056036F"/>
    <w:rsid w:val="005608A0"/>
    <w:rsid w:val="00560939"/>
    <w:rsid w:val="00560E1D"/>
    <w:rsid w:val="00560FE2"/>
    <w:rsid w:val="00561B11"/>
    <w:rsid w:val="00563756"/>
    <w:rsid w:val="00563A47"/>
    <w:rsid w:val="00563BFA"/>
    <w:rsid w:val="00563DB7"/>
    <w:rsid w:val="005642B3"/>
    <w:rsid w:val="0056443F"/>
    <w:rsid w:val="00564959"/>
    <w:rsid w:val="00564FEF"/>
    <w:rsid w:val="0056517E"/>
    <w:rsid w:val="005652ED"/>
    <w:rsid w:val="0056572B"/>
    <w:rsid w:val="00566614"/>
    <w:rsid w:val="005673E4"/>
    <w:rsid w:val="005677B0"/>
    <w:rsid w:val="00567AB7"/>
    <w:rsid w:val="00570162"/>
    <w:rsid w:val="00570B83"/>
    <w:rsid w:val="00570C92"/>
    <w:rsid w:val="00571254"/>
    <w:rsid w:val="005713C4"/>
    <w:rsid w:val="005713FC"/>
    <w:rsid w:val="00571466"/>
    <w:rsid w:val="005715E7"/>
    <w:rsid w:val="00571867"/>
    <w:rsid w:val="005719CC"/>
    <w:rsid w:val="00572069"/>
    <w:rsid w:val="005721B7"/>
    <w:rsid w:val="00572220"/>
    <w:rsid w:val="00572350"/>
    <w:rsid w:val="0057237C"/>
    <w:rsid w:val="005732A8"/>
    <w:rsid w:val="00573675"/>
    <w:rsid w:val="00573729"/>
    <w:rsid w:val="00573EF7"/>
    <w:rsid w:val="00573FE1"/>
    <w:rsid w:val="00573FEB"/>
    <w:rsid w:val="00574519"/>
    <w:rsid w:val="00574C55"/>
    <w:rsid w:val="00574E85"/>
    <w:rsid w:val="00575359"/>
    <w:rsid w:val="00575BE0"/>
    <w:rsid w:val="00576BBD"/>
    <w:rsid w:val="00577172"/>
    <w:rsid w:val="0057767E"/>
    <w:rsid w:val="00581AD5"/>
    <w:rsid w:val="005821D8"/>
    <w:rsid w:val="00582D8A"/>
    <w:rsid w:val="00582DDE"/>
    <w:rsid w:val="0058311D"/>
    <w:rsid w:val="005841C0"/>
    <w:rsid w:val="00584DC2"/>
    <w:rsid w:val="005850C5"/>
    <w:rsid w:val="0058567F"/>
    <w:rsid w:val="00585AFB"/>
    <w:rsid w:val="005864DD"/>
    <w:rsid w:val="005865ED"/>
    <w:rsid w:val="00586897"/>
    <w:rsid w:val="005868BB"/>
    <w:rsid w:val="00586907"/>
    <w:rsid w:val="00586C67"/>
    <w:rsid w:val="0058721E"/>
    <w:rsid w:val="005872BD"/>
    <w:rsid w:val="0058782C"/>
    <w:rsid w:val="005879C4"/>
    <w:rsid w:val="0059037E"/>
    <w:rsid w:val="005903DF"/>
    <w:rsid w:val="0059107A"/>
    <w:rsid w:val="00591C08"/>
    <w:rsid w:val="00592076"/>
    <w:rsid w:val="005940DF"/>
    <w:rsid w:val="0059458A"/>
    <w:rsid w:val="00594C81"/>
    <w:rsid w:val="00595A3D"/>
    <w:rsid w:val="005961DF"/>
    <w:rsid w:val="00596243"/>
    <w:rsid w:val="0059640E"/>
    <w:rsid w:val="005965AE"/>
    <w:rsid w:val="0059714D"/>
    <w:rsid w:val="00597520"/>
    <w:rsid w:val="00597D05"/>
    <w:rsid w:val="005A02B9"/>
    <w:rsid w:val="005A1593"/>
    <w:rsid w:val="005A1841"/>
    <w:rsid w:val="005A2888"/>
    <w:rsid w:val="005A2B06"/>
    <w:rsid w:val="005A32F0"/>
    <w:rsid w:val="005A38E7"/>
    <w:rsid w:val="005A3A05"/>
    <w:rsid w:val="005A44EC"/>
    <w:rsid w:val="005A4966"/>
    <w:rsid w:val="005A49F2"/>
    <w:rsid w:val="005A55E9"/>
    <w:rsid w:val="005A5698"/>
    <w:rsid w:val="005A770F"/>
    <w:rsid w:val="005A7931"/>
    <w:rsid w:val="005A7AB9"/>
    <w:rsid w:val="005A7B52"/>
    <w:rsid w:val="005A7D62"/>
    <w:rsid w:val="005B066C"/>
    <w:rsid w:val="005B093E"/>
    <w:rsid w:val="005B0BE8"/>
    <w:rsid w:val="005B0C97"/>
    <w:rsid w:val="005B0CF5"/>
    <w:rsid w:val="005B0DAD"/>
    <w:rsid w:val="005B125E"/>
    <w:rsid w:val="005B174A"/>
    <w:rsid w:val="005B1842"/>
    <w:rsid w:val="005B2722"/>
    <w:rsid w:val="005B2A12"/>
    <w:rsid w:val="005B3C9D"/>
    <w:rsid w:val="005B3F85"/>
    <w:rsid w:val="005B40E1"/>
    <w:rsid w:val="005B51A2"/>
    <w:rsid w:val="005B6A11"/>
    <w:rsid w:val="005B6EF6"/>
    <w:rsid w:val="005C03FC"/>
    <w:rsid w:val="005C0B10"/>
    <w:rsid w:val="005C0DC5"/>
    <w:rsid w:val="005C182B"/>
    <w:rsid w:val="005C1977"/>
    <w:rsid w:val="005C1A30"/>
    <w:rsid w:val="005C1C13"/>
    <w:rsid w:val="005C2432"/>
    <w:rsid w:val="005C2616"/>
    <w:rsid w:val="005C2628"/>
    <w:rsid w:val="005C2F77"/>
    <w:rsid w:val="005C36A7"/>
    <w:rsid w:val="005C3BD5"/>
    <w:rsid w:val="005C41D0"/>
    <w:rsid w:val="005C5845"/>
    <w:rsid w:val="005C5B6B"/>
    <w:rsid w:val="005C5D05"/>
    <w:rsid w:val="005C675A"/>
    <w:rsid w:val="005C6FFB"/>
    <w:rsid w:val="005C722A"/>
    <w:rsid w:val="005C789C"/>
    <w:rsid w:val="005D0317"/>
    <w:rsid w:val="005D0722"/>
    <w:rsid w:val="005D1396"/>
    <w:rsid w:val="005D1549"/>
    <w:rsid w:val="005D1BD1"/>
    <w:rsid w:val="005D245F"/>
    <w:rsid w:val="005D312F"/>
    <w:rsid w:val="005D3CE6"/>
    <w:rsid w:val="005D40E9"/>
    <w:rsid w:val="005D44D6"/>
    <w:rsid w:val="005D533C"/>
    <w:rsid w:val="005D5A55"/>
    <w:rsid w:val="005D5BB7"/>
    <w:rsid w:val="005D5BE8"/>
    <w:rsid w:val="005D60BA"/>
    <w:rsid w:val="005D7087"/>
    <w:rsid w:val="005D76CC"/>
    <w:rsid w:val="005D7791"/>
    <w:rsid w:val="005D7F5E"/>
    <w:rsid w:val="005E017B"/>
    <w:rsid w:val="005E0A4B"/>
    <w:rsid w:val="005E0DB0"/>
    <w:rsid w:val="005E1009"/>
    <w:rsid w:val="005E1138"/>
    <w:rsid w:val="005E11E0"/>
    <w:rsid w:val="005E1573"/>
    <w:rsid w:val="005E1604"/>
    <w:rsid w:val="005E194A"/>
    <w:rsid w:val="005E1E03"/>
    <w:rsid w:val="005E2521"/>
    <w:rsid w:val="005E2640"/>
    <w:rsid w:val="005E29DE"/>
    <w:rsid w:val="005E2FD6"/>
    <w:rsid w:val="005E3449"/>
    <w:rsid w:val="005E34B9"/>
    <w:rsid w:val="005E36B8"/>
    <w:rsid w:val="005E3F51"/>
    <w:rsid w:val="005E430D"/>
    <w:rsid w:val="005E440A"/>
    <w:rsid w:val="005E4699"/>
    <w:rsid w:val="005E4CBC"/>
    <w:rsid w:val="005E58F5"/>
    <w:rsid w:val="005E5CCF"/>
    <w:rsid w:val="005E6751"/>
    <w:rsid w:val="005E6DA1"/>
    <w:rsid w:val="005E7389"/>
    <w:rsid w:val="005E7777"/>
    <w:rsid w:val="005E77AA"/>
    <w:rsid w:val="005E7C68"/>
    <w:rsid w:val="005E7CEF"/>
    <w:rsid w:val="005F07E4"/>
    <w:rsid w:val="005F08DB"/>
    <w:rsid w:val="005F1000"/>
    <w:rsid w:val="005F109E"/>
    <w:rsid w:val="005F1701"/>
    <w:rsid w:val="005F17BD"/>
    <w:rsid w:val="005F1A99"/>
    <w:rsid w:val="005F317B"/>
    <w:rsid w:val="005F3354"/>
    <w:rsid w:val="005F348E"/>
    <w:rsid w:val="005F3A9D"/>
    <w:rsid w:val="005F3C0B"/>
    <w:rsid w:val="005F4365"/>
    <w:rsid w:val="005F4572"/>
    <w:rsid w:val="005F45DE"/>
    <w:rsid w:val="005F4D2C"/>
    <w:rsid w:val="005F5973"/>
    <w:rsid w:val="005F5E86"/>
    <w:rsid w:val="005F61E7"/>
    <w:rsid w:val="005F6736"/>
    <w:rsid w:val="005F6C07"/>
    <w:rsid w:val="005F6CC1"/>
    <w:rsid w:val="005F7453"/>
    <w:rsid w:val="005F74D5"/>
    <w:rsid w:val="0060026F"/>
    <w:rsid w:val="00600542"/>
    <w:rsid w:val="006009A2"/>
    <w:rsid w:val="00601DB5"/>
    <w:rsid w:val="00602094"/>
    <w:rsid w:val="00602859"/>
    <w:rsid w:val="00603158"/>
    <w:rsid w:val="006035D0"/>
    <w:rsid w:val="00603942"/>
    <w:rsid w:val="0060438E"/>
    <w:rsid w:val="006048C5"/>
    <w:rsid w:val="00604B3F"/>
    <w:rsid w:val="00605450"/>
    <w:rsid w:val="00605595"/>
    <w:rsid w:val="00605A7B"/>
    <w:rsid w:val="00605A98"/>
    <w:rsid w:val="00606521"/>
    <w:rsid w:val="0060686E"/>
    <w:rsid w:val="00606A97"/>
    <w:rsid w:val="00606B17"/>
    <w:rsid w:val="00610453"/>
    <w:rsid w:val="00610734"/>
    <w:rsid w:val="0061099A"/>
    <w:rsid w:val="00610B4D"/>
    <w:rsid w:val="00610B69"/>
    <w:rsid w:val="00610F73"/>
    <w:rsid w:val="006117F5"/>
    <w:rsid w:val="00611A49"/>
    <w:rsid w:val="00611B60"/>
    <w:rsid w:val="00612088"/>
    <w:rsid w:val="00612860"/>
    <w:rsid w:val="00612967"/>
    <w:rsid w:val="006130BD"/>
    <w:rsid w:val="0061351C"/>
    <w:rsid w:val="00613592"/>
    <w:rsid w:val="00613D41"/>
    <w:rsid w:val="00613D6C"/>
    <w:rsid w:val="00614801"/>
    <w:rsid w:val="00616826"/>
    <w:rsid w:val="006168A4"/>
    <w:rsid w:val="00616AB4"/>
    <w:rsid w:val="00616E8D"/>
    <w:rsid w:val="00616FF4"/>
    <w:rsid w:val="00617229"/>
    <w:rsid w:val="0061741B"/>
    <w:rsid w:val="00617B2C"/>
    <w:rsid w:val="00617CFA"/>
    <w:rsid w:val="006200D4"/>
    <w:rsid w:val="006204E1"/>
    <w:rsid w:val="00620944"/>
    <w:rsid w:val="00621D54"/>
    <w:rsid w:val="00622371"/>
    <w:rsid w:val="006226A8"/>
    <w:rsid w:val="006227AB"/>
    <w:rsid w:val="006229E7"/>
    <w:rsid w:val="00622B22"/>
    <w:rsid w:val="006231D7"/>
    <w:rsid w:val="00623216"/>
    <w:rsid w:val="006239CB"/>
    <w:rsid w:val="00623D47"/>
    <w:rsid w:val="00623EC6"/>
    <w:rsid w:val="006245CB"/>
    <w:rsid w:val="0062501F"/>
    <w:rsid w:val="00626F42"/>
    <w:rsid w:val="00626FCD"/>
    <w:rsid w:val="0062754F"/>
    <w:rsid w:val="0062785A"/>
    <w:rsid w:val="00627896"/>
    <w:rsid w:val="00627F4E"/>
    <w:rsid w:val="006307E9"/>
    <w:rsid w:val="00630A6E"/>
    <w:rsid w:val="00630A9E"/>
    <w:rsid w:val="00631786"/>
    <w:rsid w:val="00631CE4"/>
    <w:rsid w:val="0063309E"/>
    <w:rsid w:val="006331FC"/>
    <w:rsid w:val="0063335C"/>
    <w:rsid w:val="0063347E"/>
    <w:rsid w:val="00633AE0"/>
    <w:rsid w:val="00633B05"/>
    <w:rsid w:val="00635502"/>
    <w:rsid w:val="00636C20"/>
    <w:rsid w:val="006372F0"/>
    <w:rsid w:val="00637339"/>
    <w:rsid w:val="006404C6"/>
    <w:rsid w:val="006415D3"/>
    <w:rsid w:val="00642064"/>
    <w:rsid w:val="00643D6F"/>
    <w:rsid w:val="00643DBD"/>
    <w:rsid w:val="00643FFC"/>
    <w:rsid w:val="00644892"/>
    <w:rsid w:val="00644934"/>
    <w:rsid w:val="00644BBC"/>
    <w:rsid w:val="006455A0"/>
    <w:rsid w:val="00645AD9"/>
    <w:rsid w:val="00645FE7"/>
    <w:rsid w:val="00646228"/>
    <w:rsid w:val="00646988"/>
    <w:rsid w:val="00646EC1"/>
    <w:rsid w:val="006477F3"/>
    <w:rsid w:val="00647A83"/>
    <w:rsid w:val="00647E4B"/>
    <w:rsid w:val="00647EE2"/>
    <w:rsid w:val="00650763"/>
    <w:rsid w:val="006515EE"/>
    <w:rsid w:val="00652785"/>
    <w:rsid w:val="006529B1"/>
    <w:rsid w:val="00652E1A"/>
    <w:rsid w:val="00653C19"/>
    <w:rsid w:val="00653DDC"/>
    <w:rsid w:val="0065420B"/>
    <w:rsid w:val="00654773"/>
    <w:rsid w:val="00654841"/>
    <w:rsid w:val="00654FB8"/>
    <w:rsid w:val="00655009"/>
    <w:rsid w:val="0065558D"/>
    <w:rsid w:val="00655C79"/>
    <w:rsid w:val="00655CBD"/>
    <w:rsid w:val="00656119"/>
    <w:rsid w:val="00656913"/>
    <w:rsid w:val="00656B67"/>
    <w:rsid w:val="00657026"/>
    <w:rsid w:val="00657220"/>
    <w:rsid w:val="0065773E"/>
    <w:rsid w:val="00657B9D"/>
    <w:rsid w:val="00660A09"/>
    <w:rsid w:val="00660E9A"/>
    <w:rsid w:val="00661009"/>
    <w:rsid w:val="0066180C"/>
    <w:rsid w:val="006626A5"/>
    <w:rsid w:val="00662FA0"/>
    <w:rsid w:val="006630DB"/>
    <w:rsid w:val="0066322D"/>
    <w:rsid w:val="006635F8"/>
    <w:rsid w:val="006636DE"/>
    <w:rsid w:val="00663C3F"/>
    <w:rsid w:val="00664471"/>
    <w:rsid w:val="00664B56"/>
    <w:rsid w:val="00665036"/>
    <w:rsid w:val="00665113"/>
    <w:rsid w:val="00665210"/>
    <w:rsid w:val="0066568D"/>
    <w:rsid w:val="00665842"/>
    <w:rsid w:val="00665DC9"/>
    <w:rsid w:val="006661B8"/>
    <w:rsid w:val="006661C9"/>
    <w:rsid w:val="00666851"/>
    <w:rsid w:val="00666992"/>
    <w:rsid w:val="00666DFD"/>
    <w:rsid w:val="0066705F"/>
    <w:rsid w:val="006673AF"/>
    <w:rsid w:val="006673C8"/>
    <w:rsid w:val="00667875"/>
    <w:rsid w:val="00667E11"/>
    <w:rsid w:val="00667EF3"/>
    <w:rsid w:val="006704A5"/>
    <w:rsid w:val="00670627"/>
    <w:rsid w:val="00670BF6"/>
    <w:rsid w:val="00670C89"/>
    <w:rsid w:val="00671756"/>
    <w:rsid w:val="006717A5"/>
    <w:rsid w:val="006717B7"/>
    <w:rsid w:val="006721DB"/>
    <w:rsid w:val="006732A8"/>
    <w:rsid w:val="00673365"/>
    <w:rsid w:val="0067356B"/>
    <w:rsid w:val="00673E83"/>
    <w:rsid w:val="0067410E"/>
    <w:rsid w:val="006748F0"/>
    <w:rsid w:val="00675665"/>
    <w:rsid w:val="00675CC2"/>
    <w:rsid w:val="006763FE"/>
    <w:rsid w:val="00676954"/>
    <w:rsid w:val="00676ACD"/>
    <w:rsid w:val="00676B81"/>
    <w:rsid w:val="00676CAC"/>
    <w:rsid w:val="00676DA5"/>
    <w:rsid w:val="00677CBD"/>
    <w:rsid w:val="00681534"/>
    <w:rsid w:val="0068162B"/>
    <w:rsid w:val="006818A9"/>
    <w:rsid w:val="00682757"/>
    <w:rsid w:val="006827B8"/>
    <w:rsid w:val="00682970"/>
    <w:rsid w:val="00683371"/>
    <w:rsid w:val="006834D5"/>
    <w:rsid w:val="006838B5"/>
    <w:rsid w:val="00683F51"/>
    <w:rsid w:val="0068416A"/>
    <w:rsid w:val="006843CF"/>
    <w:rsid w:val="00684C80"/>
    <w:rsid w:val="00685198"/>
    <w:rsid w:val="0068543D"/>
    <w:rsid w:val="00686A09"/>
    <w:rsid w:val="00686AD4"/>
    <w:rsid w:val="00686C35"/>
    <w:rsid w:val="00686ED8"/>
    <w:rsid w:val="00687436"/>
    <w:rsid w:val="0068770C"/>
    <w:rsid w:val="00687AE1"/>
    <w:rsid w:val="00690B71"/>
    <w:rsid w:val="00690BCF"/>
    <w:rsid w:val="00691399"/>
    <w:rsid w:val="00692461"/>
    <w:rsid w:val="00692FC9"/>
    <w:rsid w:val="00693484"/>
    <w:rsid w:val="00693528"/>
    <w:rsid w:val="00693B3E"/>
    <w:rsid w:val="00694421"/>
    <w:rsid w:val="00695C6A"/>
    <w:rsid w:val="0069693D"/>
    <w:rsid w:val="00696E2F"/>
    <w:rsid w:val="006974E7"/>
    <w:rsid w:val="00697B62"/>
    <w:rsid w:val="006A05A6"/>
    <w:rsid w:val="006A0907"/>
    <w:rsid w:val="006A1862"/>
    <w:rsid w:val="006A1A46"/>
    <w:rsid w:val="006A2359"/>
    <w:rsid w:val="006A2522"/>
    <w:rsid w:val="006A2823"/>
    <w:rsid w:val="006A2C68"/>
    <w:rsid w:val="006A322F"/>
    <w:rsid w:val="006A3301"/>
    <w:rsid w:val="006A3414"/>
    <w:rsid w:val="006A487E"/>
    <w:rsid w:val="006A4FB1"/>
    <w:rsid w:val="006A511F"/>
    <w:rsid w:val="006A5A90"/>
    <w:rsid w:val="006A5CED"/>
    <w:rsid w:val="006A6647"/>
    <w:rsid w:val="006A6AE6"/>
    <w:rsid w:val="006A6B4D"/>
    <w:rsid w:val="006A6F45"/>
    <w:rsid w:val="006A7073"/>
    <w:rsid w:val="006A731E"/>
    <w:rsid w:val="006A765F"/>
    <w:rsid w:val="006A7B3D"/>
    <w:rsid w:val="006B01D9"/>
    <w:rsid w:val="006B07FB"/>
    <w:rsid w:val="006B119E"/>
    <w:rsid w:val="006B1517"/>
    <w:rsid w:val="006B1C04"/>
    <w:rsid w:val="006B1C81"/>
    <w:rsid w:val="006B1F21"/>
    <w:rsid w:val="006B2036"/>
    <w:rsid w:val="006B21AA"/>
    <w:rsid w:val="006B2B4A"/>
    <w:rsid w:val="006B2CAE"/>
    <w:rsid w:val="006B3BD2"/>
    <w:rsid w:val="006B3C00"/>
    <w:rsid w:val="006B3DCC"/>
    <w:rsid w:val="006B40D4"/>
    <w:rsid w:val="006B447F"/>
    <w:rsid w:val="006B5037"/>
    <w:rsid w:val="006B5097"/>
    <w:rsid w:val="006B5490"/>
    <w:rsid w:val="006B5BA4"/>
    <w:rsid w:val="006B7C7E"/>
    <w:rsid w:val="006C02C2"/>
    <w:rsid w:val="006C036C"/>
    <w:rsid w:val="006C0888"/>
    <w:rsid w:val="006C0F55"/>
    <w:rsid w:val="006C1440"/>
    <w:rsid w:val="006C14A2"/>
    <w:rsid w:val="006C19EE"/>
    <w:rsid w:val="006C1B5D"/>
    <w:rsid w:val="006C2D1C"/>
    <w:rsid w:val="006C3960"/>
    <w:rsid w:val="006C4458"/>
    <w:rsid w:val="006C4A0B"/>
    <w:rsid w:val="006C5EA4"/>
    <w:rsid w:val="006C61F8"/>
    <w:rsid w:val="006C662B"/>
    <w:rsid w:val="006C67FE"/>
    <w:rsid w:val="006C6B50"/>
    <w:rsid w:val="006C7170"/>
    <w:rsid w:val="006C74FF"/>
    <w:rsid w:val="006C750B"/>
    <w:rsid w:val="006D00BD"/>
    <w:rsid w:val="006D0480"/>
    <w:rsid w:val="006D064D"/>
    <w:rsid w:val="006D0C58"/>
    <w:rsid w:val="006D0C69"/>
    <w:rsid w:val="006D0EF5"/>
    <w:rsid w:val="006D1185"/>
    <w:rsid w:val="006D23F6"/>
    <w:rsid w:val="006D31D4"/>
    <w:rsid w:val="006D4334"/>
    <w:rsid w:val="006D45BE"/>
    <w:rsid w:val="006D4618"/>
    <w:rsid w:val="006D4CAC"/>
    <w:rsid w:val="006D4D5C"/>
    <w:rsid w:val="006D5F67"/>
    <w:rsid w:val="006D6044"/>
    <w:rsid w:val="006D7635"/>
    <w:rsid w:val="006D768D"/>
    <w:rsid w:val="006E01BD"/>
    <w:rsid w:val="006E01FE"/>
    <w:rsid w:val="006E0C6E"/>
    <w:rsid w:val="006E0DF5"/>
    <w:rsid w:val="006E116B"/>
    <w:rsid w:val="006E11AF"/>
    <w:rsid w:val="006E1381"/>
    <w:rsid w:val="006E15F5"/>
    <w:rsid w:val="006E1A46"/>
    <w:rsid w:val="006E1AF1"/>
    <w:rsid w:val="006E219A"/>
    <w:rsid w:val="006E25D2"/>
    <w:rsid w:val="006E2BB4"/>
    <w:rsid w:val="006E2F50"/>
    <w:rsid w:val="006E30A2"/>
    <w:rsid w:val="006E30C3"/>
    <w:rsid w:val="006E34BF"/>
    <w:rsid w:val="006E3974"/>
    <w:rsid w:val="006E3CE0"/>
    <w:rsid w:val="006E4A0C"/>
    <w:rsid w:val="006E5038"/>
    <w:rsid w:val="006E5053"/>
    <w:rsid w:val="006E52D0"/>
    <w:rsid w:val="006E576D"/>
    <w:rsid w:val="006E5D53"/>
    <w:rsid w:val="006E5DE2"/>
    <w:rsid w:val="006E607E"/>
    <w:rsid w:val="006E6F65"/>
    <w:rsid w:val="006E7C68"/>
    <w:rsid w:val="006F0040"/>
    <w:rsid w:val="006F0396"/>
    <w:rsid w:val="006F03C1"/>
    <w:rsid w:val="006F11C1"/>
    <w:rsid w:val="006F144D"/>
    <w:rsid w:val="006F18B9"/>
    <w:rsid w:val="006F24C2"/>
    <w:rsid w:val="006F2762"/>
    <w:rsid w:val="006F2BAA"/>
    <w:rsid w:val="006F3301"/>
    <w:rsid w:val="006F3344"/>
    <w:rsid w:val="006F3437"/>
    <w:rsid w:val="006F4C9C"/>
    <w:rsid w:val="006F515C"/>
    <w:rsid w:val="006F5287"/>
    <w:rsid w:val="006F52A2"/>
    <w:rsid w:val="006F5D34"/>
    <w:rsid w:val="006F5E4A"/>
    <w:rsid w:val="006F73F3"/>
    <w:rsid w:val="00700AA0"/>
    <w:rsid w:val="0070110A"/>
    <w:rsid w:val="00701CDA"/>
    <w:rsid w:val="0070234C"/>
    <w:rsid w:val="00702B19"/>
    <w:rsid w:val="00702F54"/>
    <w:rsid w:val="007030C0"/>
    <w:rsid w:val="00703195"/>
    <w:rsid w:val="00703544"/>
    <w:rsid w:val="00703616"/>
    <w:rsid w:val="00703664"/>
    <w:rsid w:val="00703AB3"/>
    <w:rsid w:val="00705558"/>
    <w:rsid w:val="00705927"/>
    <w:rsid w:val="0070633D"/>
    <w:rsid w:val="0070666C"/>
    <w:rsid w:val="00706CD3"/>
    <w:rsid w:val="00706ECB"/>
    <w:rsid w:val="007076E4"/>
    <w:rsid w:val="00707F85"/>
    <w:rsid w:val="00710D60"/>
    <w:rsid w:val="00711088"/>
    <w:rsid w:val="00711137"/>
    <w:rsid w:val="00711515"/>
    <w:rsid w:val="00711812"/>
    <w:rsid w:val="00711A45"/>
    <w:rsid w:val="00711E80"/>
    <w:rsid w:val="00712876"/>
    <w:rsid w:val="007128F5"/>
    <w:rsid w:val="00712FB1"/>
    <w:rsid w:val="00713553"/>
    <w:rsid w:val="00713CB6"/>
    <w:rsid w:val="00714107"/>
    <w:rsid w:val="00714533"/>
    <w:rsid w:val="00714A61"/>
    <w:rsid w:val="00714AEB"/>
    <w:rsid w:val="00714CC2"/>
    <w:rsid w:val="00715262"/>
    <w:rsid w:val="00715301"/>
    <w:rsid w:val="0071535E"/>
    <w:rsid w:val="00715C87"/>
    <w:rsid w:val="0071713F"/>
    <w:rsid w:val="00717D17"/>
    <w:rsid w:val="00720F91"/>
    <w:rsid w:val="007215FE"/>
    <w:rsid w:val="00721EE0"/>
    <w:rsid w:val="007227E3"/>
    <w:rsid w:val="00723040"/>
    <w:rsid w:val="00724528"/>
    <w:rsid w:val="00724B84"/>
    <w:rsid w:val="007254FF"/>
    <w:rsid w:val="007255D2"/>
    <w:rsid w:val="00725912"/>
    <w:rsid w:val="00725EEF"/>
    <w:rsid w:val="00726110"/>
    <w:rsid w:val="00726A27"/>
    <w:rsid w:val="00726EAF"/>
    <w:rsid w:val="0072716E"/>
    <w:rsid w:val="0073043F"/>
    <w:rsid w:val="00732CFD"/>
    <w:rsid w:val="00733089"/>
    <w:rsid w:val="007334B9"/>
    <w:rsid w:val="0073388E"/>
    <w:rsid w:val="00733BC4"/>
    <w:rsid w:val="00734049"/>
    <w:rsid w:val="007342FF"/>
    <w:rsid w:val="007355C8"/>
    <w:rsid w:val="007358A1"/>
    <w:rsid w:val="00735A34"/>
    <w:rsid w:val="007361D8"/>
    <w:rsid w:val="007376FB"/>
    <w:rsid w:val="00737DA7"/>
    <w:rsid w:val="0074002C"/>
    <w:rsid w:val="007403D0"/>
    <w:rsid w:val="00740BD1"/>
    <w:rsid w:val="00741009"/>
    <w:rsid w:val="00741110"/>
    <w:rsid w:val="007411D0"/>
    <w:rsid w:val="0074172F"/>
    <w:rsid w:val="007426B7"/>
    <w:rsid w:val="00742833"/>
    <w:rsid w:val="00743AA6"/>
    <w:rsid w:val="00744468"/>
    <w:rsid w:val="00744D78"/>
    <w:rsid w:val="00745D46"/>
    <w:rsid w:val="0074609B"/>
    <w:rsid w:val="00746D96"/>
    <w:rsid w:val="00747469"/>
    <w:rsid w:val="00747618"/>
    <w:rsid w:val="007476F3"/>
    <w:rsid w:val="0075007B"/>
    <w:rsid w:val="007502B7"/>
    <w:rsid w:val="0075059D"/>
    <w:rsid w:val="00750AC2"/>
    <w:rsid w:val="00750B2A"/>
    <w:rsid w:val="00752445"/>
    <w:rsid w:val="00752A16"/>
    <w:rsid w:val="00753355"/>
    <w:rsid w:val="00754027"/>
    <w:rsid w:val="007556B7"/>
    <w:rsid w:val="00755C0C"/>
    <w:rsid w:val="00756879"/>
    <w:rsid w:val="007568B1"/>
    <w:rsid w:val="00757182"/>
    <w:rsid w:val="007600E2"/>
    <w:rsid w:val="007604A8"/>
    <w:rsid w:val="00761572"/>
    <w:rsid w:val="00761766"/>
    <w:rsid w:val="00762404"/>
    <w:rsid w:val="00762BA4"/>
    <w:rsid w:val="00763604"/>
    <w:rsid w:val="00764060"/>
    <w:rsid w:val="00764BAF"/>
    <w:rsid w:val="007655B5"/>
    <w:rsid w:val="007657C6"/>
    <w:rsid w:val="00765905"/>
    <w:rsid w:val="0076656C"/>
    <w:rsid w:val="0076724F"/>
    <w:rsid w:val="0077113E"/>
    <w:rsid w:val="0077172D"/>
    <w:rsid w:val="00771B1A"/>
    <w:rsid w:val="0077264C"/>
    <w:rsid w:val="00773036"/>
    <w:rsid w:val="00773CE4"/>
    <w:rsid w:val="00774107"/>
    <w:rsid w:val="0077480B"/>
    <w:rsid w:val="007749B5"/>
    <w:rsid w:val="00774F13"/>
    <w:rsid w:val="00775C4B"/>
    <w:rsid w:val="00775EEE"/>
    <w:rsid w:val="0077685F"/>
    <w:rsid w:val="00776BB9"/>
    <w:rsid w:val="00780731"/>
    <w:rsid w:val="00780BAD"/>
    <w:rsid w:val="007816CF"/>
    <w:rsid w:val="00781C20"/>
    <w:rsid w:val="00782084"/>
    <w:rsid w:val="00782197"/>
    <w:rsid w:val="00782519"/>
    <w:rsid w:val="00782C7D"/>
    <w:rsid w:val="00784DCE"/>
    <w:rsid w:val="00785552"/>
    <w:rsid w:val="00785BDD"/>
    <w:rsid w:val="00786A18"/>
    <w:rsid w:val="00787835"/>
    <w:rsid w:val="00787DEF"/>
    <w:rsid w:val="007909AC"/>
    <w:rsid w:val="007919E1"/>
    <w:rsid w:val="007925DA"/>
    <w:rsid w:val="00792DB2"/>
    <w:rsid w:val="007937A3"/>
    <w:rsid w:val="007938BA"/>
    <w:rsid w:val="00793BAF"/>
    <w:rsid w:val="00793C25"/>
    <w:rsid w:val="00793D85"/>
    <w:rsid w:val="00793DCB"/>
    <w:rsid w:val="00794207"/>
    <w:rsid w:val="00794D09"/>
    <w:rsid w:val="00795A1B"/>
    <w:rsid w:val="00795D02"/>
    <w:rsid w:val="00795DFE"/>
    <w:rsid w:val="00796300"/>
    <w:rsid w:val="00796753"/>
    <w:rsid w:val="00797478"/>
    <w:rsid w:val="007974ED"/>
    <w:rsid w:val="007977B3"/>
    <w:rsid w:val="00797D2D"/>
    <w:rsid w:val="007A0A1F"/>
    <w:rsid w:val="007A0BAA"/>
    <w:rsid w:val="007A0CF2"/>
    <w:rsid w:val="007A1897"/>
    <w:rsid w:val="007A1E42"/>
    <w:rsid w:val="007A21AC"/>
    <w:rsid w:val="007A31D9"/>
    <w:rsid w:val="007A338F"/>
    <w:rsid w:val="007A369B"/>
    <w:rsid w:val="007A3F7B"/>
    <w:rsid w:val="007A43E3"/>
    <w:rsid w:val="007A4925"/>
    <w:rsid w:val="007A4B8A"/>
    <w:rsid w:val="007A4DCB"/>
    <w:rsid w:val="007A6855"/>
    <w:rsid w:val="007A6FE4"/>
    <w:rsid w:val="007A76F3"/>
    <w:rsid w:val="007A79B2"/>
    <w:rsid w:val="007B0084"/>
    <w:rsid w:val="007B0175"/>
    <w:rsid w:val="007B06DE"/>
    <w:rsid w:val="007B11A8"/>
    <w:rsid w:val="007B1C0A"/>
    <w:rsid w:val="007B29C3"/>
    <w:rsid w:val="007B3735"/>
    <w:rsid w:val="007B378C"/>
    <w:rsid w:val="007B3921"/>
    <w:rsid w:val="007B3EE3"/>
    <w:rsid w:val="007B412F"/>
    <w:rsid w:val="007B41C1"/>
    <w:rsid w:val="007B4A05"/>
    <w:rsid w:val="007B53B5"/>
    <w:rsid w:val="007B6046"/>
    <w:rsid w:val="007B6245"/>
    <w:rsid w:val="007B6524"/>
    <w:rsid w:val="007B6CE8"/>
    <w:rsid w:val="007B7F6D"/>
    <w:rsid w:val="007C0A22"/>
    <w:rsid w:val="007C1225"/>
    <w:rsid w:val="007C178B"/>
    <w:rsid w:val="007C1F17"/>
    <w:rsid w:val="007C22AE"/>
    <w:rsid w:val="007C3A24"/>
    <w:rsid w:val="007C3DBC"/>
    <w:rsid w:val="007C4439"/>
    <w:rsid w:val="007C4C99"/>
    <w:rsid w:val="007C507C"/>
    <w:rsid w:val="007C5641"/>
    <w:rsid w:val="007C607C"/>
    <w:rsid w:val="007C6805"/>
    <w:rsid w:val="007C68A5"/>
    <w:rsid w:val="007C7474"/>
    <w:rsid w:val="007C765C"/>
    <w:rsid w:val="007C7D2C"/>
    <w:rsid w:val="007C7D96"/>
    <w:rsid w:val="007C7F96"/>
    <w:rsid w:val="007D0C30"/>
    <w:rsid w:val="007D1529"/>
    <w:rsid w:val="007D172B"/>
    <w:rsid w:val="007D1D0C"/>
    <w:rsid w:val="007D1D8D"/>
    <w:rsid w:val="007D1DB9"/>
    <w:rsid w:val="007D1E7A"/>
    <w:rsid w:val="007D1F37"/>
    <w:rsid w:val="007D21A5"/>
    <w:rsid w:val="007D2661"/>
    <w:rsid w:val="007D2965"/>
    <w:rsid w:val="007D2E67"/>
    <w:rsid w:val="007D3556"/>
    <w:rsid w:val="007D4325"/>
    <w:rsid w:val="007D4354"/>
    <w:rsid w:val="007D4658"/>
    <w:rsid w:val="007D47D7"/>
    <w:rsid w:val="007D4A5A"/>
    <w:rsid w:val="007D4DA8"/>
    <w:rsid w:val="007D6FF5"/>
    <w:rsid w:val="007D7293"/>
    <w:rsid w:val="007E0138"/>
    <w:rsid w:val="007E04C1"/>
    <w:rsid w:val="007E1117"/>
    <w:rsid w:val="007E1272"/>
    <w:rsid w:val="007E1570"/>
    <w:rsid w:val="007E1D7B"/>
    <w:rsid w:val="007E1DA7"/>
    <w:rsid w:val="007E2997"/>
    <w:rsid w:val="007E3044"/>
    <w:rsid w:val="007E3C20"/>
    <w:rsid w:val="007E4075"/>
    <w:rsid w:val="007E42F0"/>
    <w:rsid w:val="007E4584"/>
    <w:rsid w:val="007E46E1"/>
    <w:rsid w:val="007E484F"/>
    <w:rsid w:val="007E4898"/>
    <w:rsid w:val="007E4989"/>
    <w:rsid w:val="007E49F6"/>
    <w:rsid w:val="007E52D5"/>
    <w:rsid w:val="007E55A4"/>
    <w:rsid w:val="007E5BBA"/>
    <w:rsid w:val="007E5D83"/>
    <w:rsid w:val="007E6E99"/>
    <w:rsid w:val="007E77F6"/>
    <w:rsid w:val="007E78BC"/>
    <w:rsid w:val="007E7FE2"/>
    <w:rsid w:val="007F15B9"/>
    <w:rsid w:val="007F1850"/>
    <w:rsid w:val="007F1F25"/>
    <w:rsid w:val="007F2982"/>
    <w:rsid w:val="007F3B7A"/>
    <w:rsid w:val="007F3BC8"/>
    <w:rsid w:val="007F48F1"/>
    <w:rsid w:val="007F4B15"/>
    <w:rsid w:val="007F4D77"/>
    <w:rsid w:val="007F5466"/>
    <w:rsid w:val="007F5899"/>
    <w:rsid w:val="007F5F68"/>
    <w:rsid w:val="007F6162"/>
    <w:rsid w:val="007F6AA8"/>
    <w:rsid w:val="007F7319"/>
    <w:rsid w:val="007F7336"/>
    <w:rsid w:val="007F788B"/>
    <w:rsid w:val="007F7F45"/>
    <w:rsid w:val="008003E8"/>
    <w:rsid w:val="00800AAD"/>
    <w:rsid w:val="00801441"/>
    <w:rsid w:val="00801B2C"/>
    <w:rsid w:val="00802344"/>
    <w:rsid w:val="00802672"/>
    <w:rsid w:val="0080290F"/>
    <w:rsid w:val="008031AA"/>
    <w:rsid w:val="0080339B"/>
    <w:rsid w:val="008038E7"/>
    <w:rsid w:val="00803B96"/>
    <w:rsid w:val="00804B27"/>
    <w:rsid w:val="008056DF"/>
    <w:rsid w:val="00805C5A"/>
    <w:rsid w:val="00805E46"/>
    <w:rsid w:val="008060C0"/>
    <w:rsid w:val="00806679"/>
    <w:rsid w:val="00806EB7"/>
    <w:rsid w:val="008074A2"/>
    <w:rsid w:val="00807C3E"/>
    <w:rsid w:val="00810025"/>
    <w:rsid w:val="00810312"/>
    <w:rsid w:val="008106E8"/>
    <w:rsid w:val="008108E0"/>
    <w:rsid w:val="00810C33"/>
    <w:rsid w:val="00810CB1"/>
    <w:rsid w:val="00810FB0"/>
    <w:rsid w:val="008115FB"/>
    <w:rsid w:val="00812F66"/>
    <w:rsid w:val="0081325D"/>
    <w:rsid w:val="00813EDF"/>
    <w:rsid w:val="00815A48"/>
    <w:rsid w:val="00815AD9"/>
    <w:rsid w:val="00815F25"/>
    <w:rsid w:val="00816473"/>
    <w:rsid w:val="008167A6"/>
    <w:rsid w:val="008168AC"/>
    <w:rsid w:val="00816F92"/>
    <w:rsid w:val="00817505"/>
    <w:rsid w:val="00817E75"/>
    <w:rsid w:val="00820573"/>
    <w:rsid w:val="00820BE1"/>
    <w:rsid w:val="00820D6A"/>
    <w:rsid w:val="00820EE6"/>
    <w:rsid w:val="0082124D"/>
    <w:rsid w:val="008218BE"/>
    <w:rsid w:val="00821C66"/>
    <w:rsid w:val="00822A7C"/>
    <w:rsid w:val="00823554"/>
    <w:rsid w:val="0082355B"/>
    <w:rsid w:val="00823C67"/>
    <w:rsid w:val="008242B1"/>
    <w:rsid w:val="00824857"/>
    <w:rsid w:val="00824C2B"/>
    <w:rsid w:val="00824C2D"/>
    <w:rsid w:val="00824C87"/>
    <w:rsid w:val="0082507E"/>
    <w:rsid w:val="00825E27"/>
    <w:rsid w:val="00826140"/>
    <w:rsid w:val="008268A1"/>
    <w:rsid w:val="00826906"/>
    <w:rsid w:val="00826FEC"/>
    <w:rsid w:val="00827047"/>
    <w:rsid w:val="00827603"/>
    <w:rsid w:val="00827685"/>
    <w:rsid w:val="008303F1"/>
    <w:rsid w:val="00830714"/>
    <w:rsid w:val="008308D7"/>
    <w:rsid w:val="00830F7F"/>
    <w:rsid w:val="008312FB"/>
    <w:rsid w:val="00831A5B"/>
    <w:rsid w:val="00831EBD"/>
    <w:rsid w:val="0083271E"/>
    <w:rsid w:val="00834575"/>
    <w:rsid w:val="0083460C"/>
    <w:rsid w:val="00834919"/>
    <w:rsid w:val="0083505B"/>
    <w:rsid w:val="00835938"/>
    <w:rsid w:val="00835945"/>
    <w:rsid w:val="00836318"/>
    <w:rsid w:val="00836633"/>
    <w:rsid w:val="00836D2C"/>
    <w:rsid w:val="00836D73"/>
    <w:rsid w:val="0083780A"/>
    <w:rsid w:val="00837E49"/>
    <w:rsid w:val="00840411"/>
    <w:rsid w:val="00840A1A"/>
    <w:rsid w:val="00840C7E"/>
    <w:rsid w:val="00840CA8"/>
    <w:rsid w:val="00841121"/>
    <w:rsid w:val="00841414"/>
    <w:rsid w:val="00841E0D"/>
    <w:rsid w:val="00842745"/>
    <w:rsid w:val="00842E87"/>
    <w:rsid w:val="00842FD6"/>
    <w:rsid w:val="00843462"/>
    <w:rsid w:val="00843B99"/>
    <w:rsid w:val="00844082"/>
    <w:rsid w:val="00844219"/>
    <w:rsid w:val="008449E5"/>
    <w:rsid w:val="00845056"/>
    <w:rsid w:val="00845E0A"/>
    <w:rsid w:val="00845E52"/>
    <w:rsid w:val="00845ED3"/>
    <w:rsid w:val="008461A0"/>
    <w:rsid w:val="00846FBD"/>
    <w:rsid w:val="0084747E"/>
    <w:rsid w:val="008476A2"/>
    <w:rsid w:val="00847A54"/>
    <w:rsid w:val="00850F63"/>
    <w:rsid w:val="0085134C"/>
    <w:rsid w:val="008519C9"/>
    <w:rsid w:val="008520FB"/>
    <w:rsid w:val="00852231"/>
    <w:rsid w:val="0085274D"/>
    <w:rsid w:val="00853584"/>
    <w:rsid w:val="00853890"/>
    <w:rsid w:val="00853D98"/>
    <w:rsid w:val="00854AE0"/>
    <w:rsid w:val="00854F1F"/>
    <w:rsid w:val="00855BBA"/>
    <w:rsid w:val="00855BDB"/>
    <w:rsid w:val="00856CF3"/>
    <w:rsid w:val="008573EA"/>
    <w:rsid w:val="008577BC"/>
    <w:rsid w:val="00857EEC"/>
    <w:rsid w:val="00860311"/>
    <w:rsid w:val="0086161F"/>
    <w:rsid w:val="00861DB5"/>
    <w:rsid w:val="00861E4E"/>
    <w:rsid w:val="00862842"/>
    <w:rsid w:val="008628B1"/>
    <w:rsid w:val="00862F60"/>
    <w:rsid w:val="00863388"/>
    <w:rsid w:val="00863D3F"/>
    <w:rsid w:val="00863F8F"/>
    <w:rsid w:val="00865BA7"/>
    <w:rsid w:val="008661BF"/>
    <w:rsid w:val="0086698B"/>
    <w:rsid w:val="00867006"/>
    <w:rsid w:val="008671F6"/>
    <w:rsid w:val="00870127"/>
    <w:rsid w:val="00870838"/>
    <w:rsid w:val="00870A0D"/>
    <w:rsid w:val="008710C4"/>
    <w:rsid w:val="00871594"/>
    <w:rsid w:val="00871A5D"/>
    <w:rsid w:val="00871F2A"/>
    <w:rsid w:val="00872F5A"/>
    <w:rsid w:val="0087374E"/>
    <w:rsid w:val="00873767"/>
    <w:rsid w:val="008739BE"/>
    <w:rsid w:val="008748B1"/>
    <w:rsid w:val="00876F7E"/>
    <w:rsid w:val="00876FB5"/>
    <w:rsid w:val="008774FD"/>
    <w:rsid w:val="008775B0"/>
    <w:rsid w:val="00880ACE"/>
    <w:rsid w:val="00881350"/>
    <w:rsid w:val="00881AE3"/>
    <w:rsid w:val="008823C4"/>
    <w:rsid w:val="008823F4"/>
    <w:rsid w:val="00882839"/>
    <w:rsid w:val="0088284A"/>
    <w:rsid w:val="00882D4E"/>
    <w:rsid w:val="00882FC1"/>
    <w:rsid w:val="00882FD7"/>
    <w:rsid w:val="00883229"/>
    <w:rsid w:val="0088324F"/>
    <w:rsid w:val="00883518"/>
    <w:rsid w:val="00883626"/>
    <w:rsid w:val="00883E79"/>
    <w:rsid w:val="008840C8"/>
    <w:rsid w:val="008844A1"/>
    <w:rsid w:val="00884875"/>
    <w:rsid w:val="00884A33"/>
    <w:rsid w:val="0088598F"/>
    <w:rsid w:val="008863A3"/>
    <w:rsid w:val="008863E8"/>
    <w:rsid w:val="00886435"/>
    <w:rsid w:val="00886485"/>
    <w:rsid w:val="00887711"/>
    <w:rsid w:val="008878A8"/>
    <w:rsid w:val="008901F9"/>
    <w:rsid w:val="008902FB"/>
    <w:rsid w:val="0089054A"/>
    <w:rsid w:val="00891176"/>
    <w:rsid w:val="008913FD"/>
    <w:rsid w:val="00891769"/>
    <w:rsid w:val="00891967"/>
    <w:rsid w:val="00891CFF"/>
    <w:rsid w:val="00892D9C"/>
    <w:rsid w:val="008931B1"/>
    <w:rsid w:val="0089326E"/>
    <w:rsid w:val="008934DC"/>
    <w:rsid w:val="0089385D"/>
    <w:rsid w:val="0089390C"/>
    <w:rsid w:val="0089422C"/>
    <w:rsid w:val="0089427F"/>
    <w:rsid w:val="00894396"/>
    <w:rsid w:val="00894577"/>
    <w:rsid w:val="00894861"/>
    <w:rsid w:val="00894FBC"/>
    <w:rsid w:val="0089505D"/>
    <w:rsid w:val="008952E6"/>
    <w:rsid w:val="008956B3"/>
    <w:rsid w:val="008959B4"/>
    <w:rsid w:val="008964EB"/>
    <w:rsid w:val="008978F6"/>
    <w:rsid w:val="00897A13"/>
    <w:rsid w:val="008A1306"/>
    <w:rsid w:val="008A133F"/>
    <w:rsid w:val="008A19F8"/>
    <w:rsid w:val="008A2729"/>
    <w:rsid w:val="008A30B9"/>
    <w:rsid w:val="008A3669"/>
    <w:rsid w:val="008A3726"/>
    <w:rsid w:val="008A4583"/>
    <w:rsid w:val="008A5851"/>
    <w:rsid w:val="008A5968"/>
    <w:rsid w:val="008A6E13"/>
    <w:rsid w:val="008A73A4"/>
    <w:rsid w:val="008A7AFE"/>
    <w:rsid w:val="008A7C23"/>
    <w:rsid w:val="008A7D7B"/>
    <w:rsid w:val="008B00FB"/>
    <w:rsid w:val="008B019D"/>
    <w:rsid w:val="008B056C"/>
    <w:rsid w:val="008B0B4C"/>
    <w:rsid w:val="008B0C28"/>
    <w:rsid w:val="008B1465"/>
    <w:rsid w:val="008B1679"/>
    <w:rsid w:val="008B16FF"/>
    <w:rsid w:val="008B1E46"/>
    <w:rsid w:val="008B2198"/>
    <w:rsid w:val="008B29EC"/>
    <w:rsid w:val="008B2C37"/>
    <w:rsid w:val="008B2F4C"/>
    <w:rsid w:val="008B375E"/>
    <w:rsid w:val="008B37EC"/>
    <w:rsid w:val="008B3EAD"/>
    <w:rsid w:val="008B3EE8"/>
    <w:rsid w:val="008B3FCC"/>
    <w:rsid w:val="008B425E"/>
    <w:rsid w:val="008B4DAF"/>
    <w:rsid w:val="008B50BA"/>
    <w:rsid w:val="008B5849"/>
    <w:rsid w:val="008B5EB9"/>
    <w:rsid w:val="008B709B"/>
    <w:rsid w:val="008B7A43"/>
    <w:rsid w:val="008B7CB1"/>
    <w:rsid w:val="008C07BF"/>
    <w:rsid w:val="008C07C3"/>
    <w:rsid w:val="008C097F"/>
    <w:rsid w:val="008C09CF"/>
    <w:rsid w:val="008C0C57"/>
    <w:rsid w:val="008C16CA"/>
    <w:rsid w:val="008C1929"/>
    <w:rsid w:val="008C1A4A"/>
    <w:rsid w:val="008C1ECB"/>
    <w:rsid w:val="008C20F1"/>
    <w:rsid w:val="008C24ED"/>
    <w:rsid w:val="008C4224"/>
    <w:rsid w:val="008C5031"/>
    <w:rsid w:val="008C56AE"/>
    <w:rsid w:val="008C5874"/>
    <w:rsid w:val="008C61CC"/>
    <w:rsid w:val="008C639E"/>
    <w:rsid w:val="008C64F0"/>
    <w:rsid w:val="008C6832"/>
    <w:rsid w:val="008C684D"/>
    <w:rsid w:val="008C6C1D"/>
    <w:rsid w:val="008C72F1"/>
    <w:rsid w:val="008C7FF5"/>
    <w:rsid w:val="008D0782"/>
    <w:rsid w:val="008D1040"/>
    <w:rsid w:val="008D142B"/>
    <w:rsid w:val="008D16A6"/>
    <w:rsid w:val="008D17BE"/>
    <w:rsid w:val="008D1DE7"/>
    <w:rsid w:val="008D219B"/>
    <w:rsid w:val="008D2472"/>
    <w:rsid w:val="008D252A"/>
    <w:rsid w:val="008D27C5"/>
    <w:rsid w:val="008D3A62"/>
    <w:rsid w:val="008D3DB9"/>
    <w:rsid w:val="008D518F"/>
    <w:rsid w:val="008D5701"/>
    <w:rsid w:val="008D5B5F"/>
    <w:rsid w:val="008D6044"/>
    <w:rsid w:val="008D6855"/>
    <w:rsid w:val="008D7723"/>
    <w:rsid w:val="008D7D56"/>
    <w:rsid w:val="008D7DEA"/>
    <w:rsid w:val="008D7EB8"/>
    <w:rsid w:val="008E0500"/>
    <w:rsid w:val="008E0B38"/>
    <w:rsid w:val="008E0FD3"/>
    <w:rsid w:val="008E0FDA"/>
    <w:rsid w:val="008E134C"/>
    <w:rsid w:val="008E1372"/>
    <w:rsid w:val="008E1A39"/>
    <w:rsid w:val="008E2404"/>
    <w:rsid w:val="008E256B"/>
    <w:rsid w:val="008E2CB4"/>
    <w:rsid w:val="008E2E80"/>
    <w:rsid w:val="008E300B"/>
    <w:rsid w:val="008E35E8"/>
    <w:rsid w:val="008E35F0"/>
    <w:rsid w:val="008E3CBE"/>
    <w:rsid w:val="008E3D10"/>
    <w:rsid w:val="008E43AB"/>
    <w:rsid w:val="008E441D"/>
    <w:rsid w:val="008E4429"/>
    <w:rsid w:val="008E5A8A"/>
    <w:rsid w:val="008E62C9"/>
    <w:rsid w:val="008E6A0E"/>
    <w:rsid w:val="008E6AFF"/>
    <w:rsid w:val="008E7207"/>
    <w:rsid w:val="008E72AD"/>
    <w:rsid w:val="008E797B"/>
    <w:rsid w:val="008F00CB"/>
    <w:rsid w:val="008F039A"/>
    <w:rsid w:val="008F0F81"/>
    <w:rsid w:val="008F13FE"/>
    <w:rsid w:val="008F2E4C"/>
    <w:rsid w:val="008F2F8F"/>
    <w:rsid w:val="008F3083"/>
    <w:rsid w:val="008F3550"/>
    <w:rsid w:val="008F376F"/>
    <w:rsid w:val="008F3DE2"/>
    <w:rsid w:val="008F42D4"/>
    <w:rsid w:val="008F45F1"/>
    <w:rsid w:val="008F47E9"/>
    <w:rsid w:val="008F48E8"/>
    <w:rsid w:val="008F4EB0"/>
    <w:rsid w:val="008F54DD"/>
    <w:rsid w:val="008F6131"/>
    <w:rsid w:val="008F7000"/>
    <w:rsid w:val="008F7738"/>
    <w:rsid w:val="008F7F26"/>
    <w:rsid w:val="008F7F9B"/>
    <w:rsid w:val="0090026B"/>
    <w:rsid w:val="00900757"/>
    <w:rsid w:val="00900DD9"/>
    <w:rsid w:val="00900F4A"/>
    <w:rsid w:val="00901A23"/>
    <w:rsid w:val="00902837"/>
    <w:rsid w:val="00903DEA"/>
    <w:rsid w:val="00903E4D"/>
    <w:rsid w:val="0090455C"/>
    <w:rsid w:val="00904BB3"/>
    <w:rsid w:val="0090516D"/>
    <w:rsid w:val="00905A9C"/>
    <w:rsid w:val="00905E4F"/>
    <w:rsid w:val="00906536"/>
    <w:rsid w:val="00906AC8"/>
    <w:rsid w:val="00907969"/>
    <w:rsid w:val="00907D1C"/>
    <w:rsid w:val="00910369"/>
    <w:rsid w:val="00910EDB"/>
    <w:rsid w:val="00910F68"/>
    <w:rsid w:val="0091107C"/>
    <w:rsid w:val="0091129D"/>
    <w:rsid w:val="0091188D"/>
    <w:rsid w:val="00911954"/>
    <w:rsid w:val="0091199D"/>
    <w:rsid w:val="00911EA6"/>
    <w:rsid w:val="0091220B"/>
    <w:rsid w:val="009132AC"/>
    <w:rsid w:val="009136BE"/>
    <w:rsid w:val="00913D5B"/>
    <w:rsid w:val="00915024"/>
    <w:rsid w:val="009150D9"/>
    <w:rsid w:val="009151C9"/>
    <w:rsid w:val="0091533C"/>
    <w:rsid w:val="00915527"/>
    <w:rsid w:val="00915744"/>
    <w:rsid w:val="009157B8"/>
    <w:rsid w:val="00915E3F"/>
    <w:rsid w:val="00916FC6"/>
    <w:rsid w:val="00916FF3"/>
    <w:rsid w:val="009176B3"/>
    <w:rsid w:val="00917A7E"/>
    <w:rsid w:val="00917E96"/>
    <w:rsid w:val="00920059"/>
    <w:rsid w:val="0092022D"/>
    <w:rsid w:val="00920D96"/>
    <w:rsid w:val="00920F28"/>
    <w:rsid w:val="00920F3B"/>
    <w:rsid w:val="00922592"/>
    <w:rsid w:val="00922ACA"/>
    <w:rsid w:val="00922F6F"/>
    <w:rsid w:val="00922FED"/>
    <w:rsid w:val="00923016"/>
    <w:rsid w:val="009239F1"/>
    <w:rsid w:val="009244EB"/>
    <w:rsid w:val="009260BB"/>
    <w:rsid w:val="00926B95"/>
    <w:rsid w:val="00926FCB"/>
    <w:rsid w:val="00927761"/>
    <w:rsid w:val="00927898"/>
    <w:rsid w:val="0092797B"/>
    <w:rsid w:val="00927E8E"/>
    <w:rsid w:val="00930962"/>
    <w:rsid w:val="00930C83"/>
    <w:rsid w:val="00930D30"/>
    <w:rsid w:val="00931548"/>
    <w:rsid w:val="00931778"/>
    <w:rsid w:val="009319D0"/>
    <w:rsid w:val="00931B4B"/>
    <w:rsid w:val="00931E52"/>
    <w:rsid w:val="00931FC6"/>
    <w:rsid w:val="009322F9"/>
    <w:rsid w:val="00932921"/>
    <w:rsid w:val="00932DAC"/>
    <w:rsid w:val="0093329F"/>
    <w:rsid w:val="009339EE"/>
    <w:rsid w:val="00933C59"/>
    <w:rsid w:val="00933D48"/>
    <w:rsid w:val="0093444B"/>
    <w:rsid w:val="009348C6"/>
    <w:rsid w:val="00934BC8"/>
    <w:rsid w:val="00934F77"/>
    <w:rsid w:val="00935097"/>
    <w:rsid w:val="009352D5"/>
    <w:rsid w:val="00935872"/>
    <w:rsid w:val="00935E7D"/>
    <w:rsid w:val="009367B7"/>
    <w:rsid w:val="00936847"/>
    <w:rsid w:val="00936ECB"/>
    <w:rsid w:val="009379D7"/>
    <w:rsid w:val="00937F02"/>
    <w:rsid w:val="00940677"/>
    <w:rsid w:val="009406BA"/>
    <w:rsid w:val="00940C88"/>
    <w:rsid w:val="009411D7"/>
    <w:rsid w:val="009412ED"/>
    <w:rsid w:val="009414F6"/>
    <w:rsid w:val="0094169B"/>
    <w:rsid w:val="00941C68"/>
    <w:rsid w:val="00941EF9"/>
    <w:rsid w:val="00941FC3"/>
    <w:rsid w:val="009420DF"/>
    <w:rsid w:val="00942C28"/>
    <w:rsid w:val="00943434"/>
    <w:rsid w:val="00943794"/>
    <w:rsid w:val="00943C9E"/>
    <w:rsid w:val="0094480A"/>
    <w:rsid w:val="00945539"/>
    <w:rsid w:val="00945A70"/>
    <w:rsid w:val="00946B00"/>
    <w:rsid w:val="0095001A"/>
    <w:rsid w:val="009501CB"/>
    <w:rsid w:val="00950453"/>
    <w:rsid w:val="0095113D"/>
    <w:rsid w:val="009511D8"/>
    <w:rsid w:val="009512D5"/>
    <w:rsid w:val="009517FB"/>
    <w:rsid w:val="00951AFB"/>
    <w:rsid w:val="00951D51"/>
    <w:rsid w:val="00952165"/>
    <w:rsid w:val="00952C20"/>
    <w:rsid w:val="009531FE"/>
    <w:rsid w:val="00953200"/>
    <w:rsid w:val="009538A0"/>
    <w:rsid w:val="00953F54"/>
    <w:rsid w:val="009544BC"/>
    <w:rsid w:val="0095458F"/>
    <w:rsid w:val="00955799"/>
    <w:rsid w:val="009560F8"/>
    <w:rsid w:val="009563A9"/>
    <w:rsid w:val="009565F7"/>
    <w:rsid w:val="009570B0"/>
    <w:rsid w:val="009570CC"/>
    <w:rsid w:val="009572E7"/>
    <w:rsid w:val="00957780"/>
    <w:rsid w:val="00957D45"/>
    <w:rsid w:val="00960378"/>
    <w:rsid w:val="00960D50"/>
    <w:rsid w:val="00961173"/>
    <w:rsid w:val="00961716"/>
    <w:rsid w:val="00961801"/>
    <w:rsid w:val="0096236F"/>
    <w:rsid w:val="00962802"/>
    <w:rsid w:val="00962F3C"/>
    <w:rsid w:val="00963CB7"/>
    <w:rsid w:val="0096425C"/>
    <w:rsid w:val="0096452E"/>
    <w:rsid w:val="00964797"/>
    <w:rsid w:val="0096538A"/>
    <w:rsid w:val="00965CBA"/>
    <w:rsid w:val="00965F63"/>
    <w:rsid w:val="009712BA"/>
    <w:rsid w:val="0097154C"/>
    <w:rsid w:val="009719E3"/>
    <w:rsid w:val="00971B72"/>
    <w:rsid w:val="009725C7"/>
    <w:rsid w:val="00972704"/>
    <w:rsid w:val="00973177"/>
    <w:rsid w:val="00973469"/>
    <w:rsid w:val="00973B17"/>
    <w:rsid w:val="00973C24"/>
    <w:rsid w:val="009744FA"/>
    <w:rsid w:val="009749DB"/>
    <w:rsid w:val="00974D01"/>
    <w:rsid w:val="009755C9"/>
    <w:rsid w:val="009759E1"/>
    <w:rsid w:val="00975B62"/>
    <w:rsid w:val="0097668B"/>
    <w:rsid w:val="009766EF"/>
    <w:rsid w:val="00976A45"/>
    <w:rsid w:val="00976B4B"/>
    <w:rsid w:val="00976EC1"/>
    <w:rsid w:val="00977082"/>
    <w:rsid w:val="009774DE"/>
    <w:rsid w:val="00977810"/>
    <w:rsid w:val="00981011"/>
    <w:rsid w:val="00981866"/>
    <w:rsid w:val="00981B83"/>
    <w:rsid w:val="00981FFB"/>
    <w:rsid w:val="00982245"/>
    <w:rsid w:val="00982303"/>
    <w:rsid w:val="00982DC2"/>
    <w:rsid w:val="00983575"/>
    <w:rsid w:val="00983CD6"/>
    <w:rsid w:val="00983DFF"/>
    <w:rsid w:val="009845F0"/>
    <w:rsid w:val="009848AA"/>
    <w:rsid w:val="00984B04"/>
    <w:rsid w:val="00984D90"/>
    <w:rsid w:val="0098573F"/>
    <w:rsid w:val="00985AD3"/>
    <w:rsid w:val="00985B1A"/>
    <w:rsid w:val="00985B8E"/>
    <w:rsid w:val="00985CE1"/>
    <w:rsid w:val="00986000"/>
    <w:rsid w:val="009860CE"/>
    <w:rsid w:val="00986590"/>
    <w:rsid w:val="009865AA"/>
    <w:rsid w:val="00986792"/>
    <w:rsid w:val="00986950"/>
    <w:rsid w:val="00986EBD"/>
    <w:rsid w:val="00986F59"/>
    <w:rsid w:val="009873E4"/>
    <w:rsid w:val="00987C17"/>
    <w:rsid w:val="0099091F"/>
    <w:rsid w:val="00991434"/>
    <w:rsid w:val="009921E8"/>
    <w:rsid w:val="00992828"/>
    <w:rsid w:val="0099283D"/>
    <w:rsid w:val="00992BD8"/>
    <w:rsid w:val="009934C7"/>
    <w:rsid w:val="00993C22"/>
    <w:rsid w:val="0099499C"/>
    <w:rsid w:val="00995589"/>
    <w:rsid w:val="009956EB"/>
    <w:rsid w:val="00995C8D"/>
    <w:rsid w:val="00996241"/>
    <w:rsid w:val="0099761D"/>
    <w:rsid w:val="009A0013"/>
    <w:rsid w:val="009A0330"/>
    <w:rsid w:val="009A24CB"/>
    <w:rsid w:val="009A2638"/>
    <w:rsid w:val="009A2D1C"/>
    <w:rsid w:val="009A32F0"/>
    <w:rsid w:val="009A38C5"/>
    <w:rsid w:val="009A3F53"/>
    <w:rsid w:val="009A4A2A"/>
    <w:rsid w:val="009A4CF0"/>
    <w:rsid w:val="009A5357"/>
    <w:rsid w:val="009A591E"/>
    <w:rsid w:val="009A5FDC"/>
    <w:rsid w:val="009A7B00"/>
    <w:rsid w:val="009B1287"/>
    <w:rsid w:val="009B229C"/>
    <w:rsid w:val="009B332C"/>
    <w:rsid w:val="009B364B"/>
    <w:rsid w:val="009B399D"/>
    <w:rsid w:val="009B4632"/>
    <w:rsid w:val="009B4B49"/>
    <w:rsid w:val="009B5479"/>
    <w:rsid w:val="009B6DF6"/>
    <w:rsid w:val="009B75FA"/>
    <w:rsid w:val="009B7683"/>
    <w:rsid w:val="009C0AA1"/>
    <w:rsid w:val="009C0B02"/>
    <w:rsid w:val="009C149E"/>
    <w:rsid w:val="009C2848"/>
    <w:rsid w:val="009C2B35"/>
    <w:rsid w:val="009C33CE"/>
    <w:rsid w:val="009C470D"/>
    <w:rsid w:val="009C4779"/>
    <w:rsid w:val="009C4D38"/>
    <w:rsid w:val="009C56EA"/>
    <w:rsid w:val="009C59C7"/>
    <w:rsid w:val="009C5A65"/>
    <w:rsid w:val="009C5D68"/>
    <w:rsid w:val="009C689A"/>
    <w:rsid w:val="009D0B10"/>
    <w:rsid w:val="009D1E3B"/>
    <w:rsid w:val="009D2497"/>
    <w:rsid w:val="009D2D80"/>
    <w:rsid w:val="009D3C14"/>
    <w:rsid w:val="009D46FB"/>
    <w:rsid w:val="009D5005"/>
    <w:rsid w:val="009D5152"/>
    <w:rsid w:val="009D5944"/>
    <w:rsid w:val="009D5C0A"/>
    <w:rsid w:val="009D6074"/>
    <w:rsid w:val="009D60ED"/>
    <w:rsid w:val="009D6534"/>
    <w:rsid w:val="009D7019"/>
    <w:rsid w:val="009D7721"/>
    <w:rsid w:val="009D7D98"/>
    <w:rsid w:val="009E04B1"/>
    <w:rsid w:val="009E11D9"/>
    <w:rsid w:val="009E1935"/>
    <w:rsid w:val="009E2026"/>
    <w:rsid w:val="009E2BFB"/>
    <w:rsid w:val="009E2C85"/>
    <w:rsid w:val="009E3BEE"/>
    <w:rsid w:val="009E3D4B"/>
    <w:rsid w:val="009E418C"/>
    <w:rsid w:val="009E4269"/>
    <w:rsid w:val="009E43BC"/>
    <w:rsid w:val="009E4C0D"/>
    <w:rsid w:val="009E5AF4"/>
    <w:rsid w:val="009E5FDD"/>
    <w:rsid w:val="009E6120"/>
    <w:rsid w:val="009E61E6"/>
    <w:rsid w:val="009E724A"/>
    <w:rsid w:val="009E7962"/>
    <w:rsid w:val="009E7D93"/>
    <w:rsid w:val="009E7FD3"/>
    <w:rsid w:val="009F00CB"/>
    <w:rsid w:val="009F0B2E"/>
    <w:rsid w:val="009F127B"/>
    <w:rsid w:val="009F1AA0"/>
    <w:rsid w:val="009F21D3"/>
    <w:rsid w:val="009F350E"/>
    <w:rsid w:val="009F3C67"/>
    <w:rsid w:val="009F3D0E"/>
    <w:rsid w:val="009F3EA4"/>
    <w:rsid w:val="009F3FF0"/>
    <w:rsid w:val="009F4092"/>
    <w:rsid w:val="009F5279"/>
    <w:rsid w:val="009F5329"/>
    <w:rsid w:val="009F53FD"/>
    <w:rsid w:val="009F55CB"/>
    <w:rsid w:val="009F5DE8"/>
    <w:rsid w:val="009F68EF"/>
    <w:rsid w:val="009F6BA9"/>
    <w:rsid w:val="009F7082"/>
    <w:rsid w:val="009F71F7"/>
    <w:rsid w:val="009F758F"/>
    <w:rsid w:val="009F788F"/>
    <w:rsid w:val="009F7A36"/>
    <w:rsid w:val="00A0045C"/>
    <w:rsid w:val="00A0065F"/>
    <w:rsid w:val="00A0161C"/>
    <w:rsid w:val="00A01E74"/>
    <w:rsid w:val="00A021F1"/>
    <w:rsid w:val="00A0245E"/>
    <w:rsid w:val="00A0248E"/>
    <w:rsid w:val="00A029EC"/>
    <w:rsid w:val="00A02B2A"/>
    <w:rsid w:val="00A0315F"/>
    <w:rsid w:val="00A04A0F"/>
    <w:rsid w:val="00A04A2B"/>
    <w:rsid w:val="00A04AB4"/>
    <w:rsid w:val="00A04CE3"/>
    <w:rsid w:val="00A0556F"/>
    <w:rsid w:val="00A06C27"/>
    <w:rsid w:val="00A0768B"/>
    <w:rsid w:val="00A105A5"/>
    <w:rsid w:val="00A10E09"/>
    <w:rsid w:val="00A112A0"/>
    <w:rsid w:val="00A11872"/>
    <w:rsid w:val="00A11D7E"/>
    <w:rsid w:val="00A12E07"/>
    <w:rsid w:val="00A138FE"/>
    <w:rsid w:val="00A139AB"/>
    <w:rsid w:val="00A1434E"/>
    <w:rsid w:val="00A14C60"/>
    <w:rsid w:val="00A150AB"/>
    <w:rsid w:val="00A159AE"/>
    <w:rsid w:val="00A15CBF"/>
    <w:rsid w:val="00A16094"/>
    <w:rsid w:val="00A161CA"/>
    <w:rsid w:val="00A162C0"/>
    <w:rsid w:val="00A165BD"/>
    <w:rsid w:val="00A16A41"/>
    <w:rsid w:val="00A1784E"/>
    <w:rsid w:val="00A2105B"/>
    <w:rsid w:val="00A223A9"/>
    <w:rsid w:val="00A22D74"/>
    <w:rsid w:val="00A23BC0"/>
    <w:rsid w:val="00A24C62"/>
    <w:rsid w:val="00A250FF"/>
    <w:rsid w:val="00A25F9D"/>
    <w:rsid w:val="00A25FCA"/>
    <w:rsid w:val="00A25FCB"/>
    <w:rsid w:val="00A2681F"/>
    <w:rsid w:val="00A26AE8"/>
    <w:rsid w:val="00A26CFC"/>
    <w:rsid w:val="00A26D04"/>
    <w:rsid w:val="00A26F3C"/>
    <w:rsid w:val="00A27642"/>
    <w:rsid w:val="00A304BD"/>
    <w:rsid w:val="00A3162C"/>
    <w:rsid w:val="00A32732"/>
    <w:rsid w:val="00A32AA0"/>
    <w:rsid w:val="00A32CFC"/>
    <w:rsid w:val="00A33451"/>
    <w:rsid w:val="00A3362E"/>
    <w:rsid w:val="00A34432"/>
    <w:rsid w:val="00A3483A"/>
    <w:rsid w:val="00A34861"/>
    <w:rsid w:val="00A34EA6"/>
    <w:rsid w:val="00A350D5"/>
    <w:rsid w:val="00A35593"/>
    <w:rsid w:val="00A35783"/>
    <w:rsid w:val="00A359F1"/>
    <w:rsid w:val="00A3691A"/>
    <w:rsid w:val="00A36EF0"/>
    <w:rsid w:val="00A375B4"/>
    <w:rsid w:val="00A375F0"/>
    <w:rsid w:val="00A40B1F"/>
    <w:rsid w:val="00A4133B"/>
    <w:rsid w:val="00A4178F"/>
    <w:rsid w:val="00A42047"/>
    <w:rsid w:val="00A428BC"/>
    <w:rsid w:val="00A42CD2"/>
    <w:rsid w:val="00A43019"/>
    <w:rsid w:val="00A435BC"/>
    <w:rsid w:val="00A435E5"/>
    <w:rsid w:val="00A43F6B"/>
    <w:rsid w:val="00A44268"/>
    <w:rsid w:val="00A44612"/>
    <w:rsid w:val="00A454C0"/>
    <w:rsid w:val="00A45752"/>
    <w:rsid w:val="00A45FAD"/>
    <w:rsid w:val="00A462F6"/>
    <w:rsid w:val="00A467B4"/>
    <w:rsid w:val="00A467E5"/>
    <w:rsid w:val="00A46927"/>
    <w:rsid w:val="00A46D4D"/>
    <w:rsid w:val="00A46D6D"/>
    <w:rsid w:val="00A5021C"/>
    <w:rsid w:val="00A50695"/>
    <w:rsid w:val="00A50794"/>
    <w:rsid w:val="00A50A52"/>
    <w:rsid w:val="00A50B33"/>
    <w:rsid w:val="00A50FF1"/>
    <w:rsid w:val="00A51B61"/>
    <w:rsid w:val="00A51DC5"/>
    <w:rsid w:val="00A522F8"/>
    <w:rsid w:val="00A5279B"/>
    <w:rsid w:val="00A52CD3"/>
    <w:rsid w:val="00A52F35"/>
    <w:rsid w:val="00A53F50"/>
    <w:rsid w:val="00A53FA5"/>
    <w:rsid w:val="00A54005"/>
    <w:rsid w:val="00A54086"/>
    <w:rsid w:val="00A5449D"/>
    <w:rsid w:val="00A5465B"/>
    <w:rsid w:val="00A55D98"/>
    <w:rsid w:val="00A55E36"/>
    <w:rsid w:val="00A55E68"/>
    <w:rsid w:val="00A5697D"/>
    <w:rsid w:val="00A56B6E"/>
    <w:rsid w:val="00A56FBA"/>
    <w:rsid w:val="00A577DD"/>
    <w:rsid w:val="00A57A80"/>
    <w:rsid w:val="00A57EA6"/>
    <w:rsid w:val="00A57F98"/>
    <w:rsid w:val="00A60184"/>
    <w:rsid w:val="00A60A21"/>
    <w:rsid w:val="00A60A40"/>
    <w:rsid w:val="00A611FC"/>
    <w:rsid w:val="00A61E0E"/>
    <w:rsid w:val="00A6254F"/>
    <w:rsid w:val="00A62BBE"/>
    <w:rsid w:val="00A62EFF"/>
    <w:rsid w:val="00A640BD"/>
    <w:rsid w:val="00A644B4"/>
    <w:rsid w:val="00A64A30"/>
    <w:rsid w:val="00A64BA1"/>
    <w:rsid w:val="00A6501F"/>
    <w:rsid w:val="00A65197"/>
    <w:rsid w:val="00A65299"/>
    <w:rsid w:val="00A65592"/>
    <w:rsid w:val="00A655E5"/>
    <w:rsid w:val="00A6581F"/>
    <w:rsid w:val="00A66E9A"/>
    <w:rsid w:val="00A671E6"/>
    <w:rsid w:val="00A67E95"/>
    <w:rsid w:val="00A71182"/>
    <w:rsid w:val="00A711E0"/>
    <w:rsid w:val="00A7269D"/>
    <w:rsid w:val="00A728D1"/>
    <w:rsid w:val="00A72C9C"/>
    <w:rsid w:val="00A7323D"/>
    <w:rsid w:val="00A73531"/>
    <w:rsid w:val="00A748B9"/>
    <w:rsid w:val="00A74A72"/>
    <w:rsid w:val="00A74C63"/>
    <w:rsid w:val="00A74D51"/>
    <w:rsid w:val="00A74FD8"/>
    <w:rsid w:val="00A75AC8"/>
    <w:rsid w:val="00A76D1F"/>
    <w:rsid w:val="00A76EB0"/>
    <w:rsid w:val="00A77057"/>
    <w:rsid w:val="00A77BD2"/>
    <w:rsid w:val="00A77EFC"/>
    <w:rsid w:val="00A8014A"/>
    <w:rsid w:val="00A8042D"/>
    <w:rsid w:val="00A804C8"/>
    <w:rsid w:val="00A8054C"/>
    <w:rsid w:val="00A80975"/>
    <w:rsid w:val="00A81BF1"/>
    <w:rsid w:val="00A81E16"/>
    <w:rsid w:val="00A82019"/>
    <w:rsid w:val="00A821CB"/>
    <w:rsid w:val="00A824AB"/>
    <w:rsid w:val="00A82BBC"/>
    <w:rsid w:val="00A82CAB"/>
    <w:rsid w:val="00A83BA1"/>
    <w:rsid w:val="00A84092"/>
    <w:rsid w:val="00A84C81"/>
    <w:rsid w:val="00A84F2E"/>
    <w:rsid w:val="00A84FD4"/>
    <w:rsid w:val="00A85279"/>
    <w:rsid w:val="00A854E6"/>
    <w:rsid w:val="00A85BCC"/>
    <w:rsid w:val="00A85D68"/>
    <w:rsid w:val="00A86089"/>
    <w:rsid w:val="00A877FA"/>
    <w:rsid w:val="00A87B30"/>
    <w:rsid w:val="00A87B95"/>
    <w:rsid w:val="00A9022E"/>
    <w:rsid w:val="00A9194A"/>
    <w:rsid w:val="00A919C1"/>
    <w:rsid w:val="00A92599"/>
    <w:rsid w:val="00A92AB4"/>
    <w:rsid w:val="00A92F65"/>
    <w:rsid w:val="00A93939"/>
    <w:rsid w:val="00A94114"/>
    <w:rsid w:val="00A94ACE"/>
    <w:rsid w:val="00A95309"/>
    <w:rsid w:val="00A954FD"/>
    <w:rsid w:val="00A96720"/>
    <w:rsid w:val="00A96CCA"/>
    <w:rsid w:val="00A97074"/>
    <w:rsid w:val="00A970B9"/>
    <w:rsid w:val="00A97EFF"/>
    <w:rsid w:val="00AA0960"/>
    <w:rsid w:val="00AA0BA9"/>
    <w:rsid w:val="00AA1407"/>
    <w:rsid w:val="00AA1C33"/>
    <w:rsid w:val="00AA1CF7"/>
    <w:rsid w:val="00AA2138"/>
    <w:rsid w:val="00AA2E60"/>
    <w:rsid w:val="00AA3984"/>
    <w:rsid w:val="00AA4A36"/>
    <w:rsid w:val="00AA4E8E"/>
    <w:rsid w:val="00AA50E0"/>
    <w:rsid w:val="00AA5EA0"/>
    <w:rsid w:val="00AA5F77"/>
    <w:rsid w:val="00AA62F6"/>
    <w:rsid w:val="00AA65E7"/>
    <w:rsid w:val="00AA666F"/>
    <w:rsid w:val="00AA6ED8"/>
    <w:rsid w:val="00AA717B"/>
    <w:rsid w:val="00AA739C"/>
    <w:rsid w:val="00AA7D8F"/>
    <w:rsid w:val="00AB044E"/>
    <w:rsid w:val="00AB051F"/>
    <w:rsid w:val="00AB0979"/>
    <w:rsid w:val="00AB1206"/>
    <w:rsid w:val="00AB1399"/>
    <w:rsid w:val="00AB14B5"/>
    <w:rsid w:val="00AB237C"/>
    <w:rsid w:val="00AB2759"/>
    <w:rsid w:val="00AB3D7E"/>
    <w:rsid w:val="00AB4F09"/>
    <w:rsid w:val="00AB598A"/>
    <w:rsid w:val="00AB5AD8"/>
    <w:rsid w:val="00AB5B52"/>
    <w:rsid w:val="00AB61BC"/>
    <w:rsid w:val="00AB6B0E"/>
    <w:rsid w:val="00AB6F60"/>
    <w:rsid w:val="00AB71BE"/>
    <w:rsid w:val="00AB72DB"/>
    <w:rsid w:val="00AB7429"/>
    <w:rsid w:val="00AB7BB4"/>
    <w:rsid w:val="00AC01FF"/>
    <w:rsid w:val="00AC0357"/>
    <w:rsid w:val="00AC0CD7"/>
    <w:rsid w:val="00AC13B2"/>
    <w:rsid w:val="00AC15E8"/>
    <w:rsid w:val="00AC267D"/>
    <w:rsid w:val="00AC2C86"/>
    <w:rsid w:val="00AC3974"/>
    <w:rsid w:val="00AC50DB"/>
    <w:rsid w:val="00AC5567"/>
    <w:rsid w:val="00AC589C"/>
    <w:rsid w:val="00AC5E3B"/>
    <w:rsid w:val="00AC6030"/>
    <w:rsid w:val="00AC6286"/>
    <w:rsid w:val="00AC64E4"/>
    <w:rsid w:val="00AC736C"/>
    <w:rsid w:val="00AC7AD9"/>
    <w:rsid w:val="00AC7E0A"/>
    <w:rsid w:val="00AD0002"/>
    <w:rsid w:val="00AD059B"/>
    <w:rsid w:val="00AD0DED"/>
    <w:rsid w:val="00AD1D53"/>
    <w:rsid w:val="00AD1FF5"/>
    <w:rsid w:val="00AD2C40"/>
    <w:rsid w:val="00AD2E36"/>
    <w:rsid w:val="00AD4C49"/>
    <w:rsid w:val="00AD512A"/>
    <w:rsid w:val="00AD51B8"/>
    <w:rsid w:val="00AD5343"/>
    <w:rsid w:val="00AD5B3A"/>
    <w:rsid w:val="00AD5D7C"/>
    <w:rsid w:val="00AD5E1E"/>
    <w:rsid w:val="00AD686B"/>
    <w:rsid w:val="00AE00E9"/>
    <w:rsid w:val="00AE0A45"/>
    <w:rsid w:val="00AE0D79"/>
    <w:rsid w:val="00AE0EDB"/>
    <w:rsid w:val="00AE1400"/>
    <w:rsid w:val="00AE1683"/>
    <w:rsid w:val="00AE19F6"/>
    <w:rsid w:val="00AE1D2F"/>
    <w:rsid w:val="00AE1F74"/>
    <w:rsid w:val="00AE242A"/>
    <w:rsid w:val="00AE253D"/>
    <w:rsid w:val="00AE2B12"/>
    <w:rsid w:val="00AE34B8"/>
    <w:rsid w:val="00AE35DB"/>
    <w:rsid w:val="00AE3EA0"/>
    <w:rsid w:val="00AE4368"/>
    <w:rsid w:val="00AE4517"/>
    <w:rsid w:val="00AE4914"/>
    <w:rsid w:val="00AE5021"/>
    <w:rsid w:val="00AE5743"/>
    <w:rsid w:val="00AE5B2C"/>
    <w:rsid w:val="00AE626F"/>
    <w:rsid w:val="00AE632C"/>
    <w:rsid w:val="00AE6903"/>
    <w:rsid w:val="00AE6A03"/>
    <w:rsid w:val="00AE6CC4"/>
    <w:rsid w:val="00AE7322"/>
    <w:rsid w:val="00AF0894"/>
    <w:rsid w:val="00AF0ABB"/>
    <w:rsid w:val="00AF0EF6"/>
    <w:rsid w:val="00AF2491"/>
    <w:rsid w:val="00AF2B66"/>
    <w:rsid w:val="00AF2B78"/>
    <w:rsid w:val="00AF4EA6"/>
    <w:rsid w:val="00AF5549"/>
    <w:rsid w:val="00AF599A"/>
    <w:rsid w:val="00AF599F"/>
    <w:rsid w:val="00AF59B7"/>
    <w:rsid w:val="00AF5F7A"/>
    <w:rsid w:val="00AF60EF"/>
    <w:rsid w:val="00AF6D76"/>
    <w:rsid w:val="00AF6FAC"/>
    <w:rsid w:val="00AF7150"/>
    <w:rsid w:val="00AF7367"/>
    <w:rsid w:val="00AF7F7C"/>
    <w:rsid w:val="00AF7FCE"/>
    <w:rsid w:val="00B0029A"/>
    <w:rsid w:val="00B00BF6"/>
    <w:rsid w:val="00B013F1"/>
    <w:rsid w:val="00B014EA"/>
    <w:rsid w:val="00B015DA"/>
    <w:rsid w:val="00B0188D"/>
    <w:rsid w:val="00B02769"/>
    <w:rsid w:val="00B0282E"/>
    <w:rsid w:val="00B03006"/>
    <w:rsid w:val="00B04005"/>
    <w:rsid w:val="00B04E1C"/>
    <w:rsid w:val="00B06837"/>
    <w:rsid w:val="00B06BA4"/>
    <w:rsid w:val="00B06CE2"/>
    <w:rsid w:val="00B06DF8"/>
    <w:rsid w:val="00B075D7"/>
    <w:rsid w:val="00B1209D"/>
    <w:rsid w:val="00B12775"/>
    <w:rsid w:val="00B12BB4"/>
    <w:rsid w:val="00B12C1C"/>
    <w:rsid w:val="00B132AF"/>
    <w:rsid w:val="00B132F8"/>
    <w:rsid w:val="00B13C1A"/>
    <w:rsid w:val="00B13DAA"/>
    <w:rsid w:val="00B13DC0"/>
    <w:rsid w:val="00B1459F"/>
    <w:rsid w:val="00B16A51"/>
    <w:rsid w:val="00B16DBF"/>
    <w:rsid w:val="00B170BA"/>
    <w:rsid w:val="00B170D1"/>
    <w:rsid w:val="00B177FB"/>
    <w:rsid w:val="00B1789A"/>
    <w:rsid w:val="00B2130E"/>
    <w:rsid w:val="00B213EA"/>
    <w:rsid w:val="00B21B77"/>
    <w:rsid w:val="00B22DA2"/>
    <w:rsid w:val="00B23DEB"/>
    <w:rsid w:val="00B249F4"/>
    <w:rsid w:val="00B24F77"/>
    <w:rsid w:val="00B26002"/>
    <w:rsid w:val="00B262F4"/>
    <w:rsid w:val="00B2648C"/>
    <w:rsid w:val="00B26743"/>
    <w:rsid w:val="00B26E7D"/>
    <w:rsid w:val="00B27096"/>
    <w:rsid w:val="00B27CD6"/>
    <w:rsid w:val="00B30068"/>
    <w:rsid w:val="00B30869"/>
    <w:rsid w:val="00B30B92"/>
    <w:rsid w:val="00B30DF7"/>
    <w:rsid w:val="00B31080"/>
    <w:rsid w:val="00B313D1"/>
    <w:rsid w:val="00B315FC"/>
    <w:rsid w:val="00B31A9B"/>
    <w:rsid w:val="00B31E1D"/>
    <w:rsid w:val="00B327A4"/>
    <w:rsid w:val="00B33729"/>
    <w:rsid w:val="00B33A4F"/>
    <w:rsid w:val="00B33E9B"/>
    <w:rsid w:val="00B34450"/>
    <w:rsid w:val="00B34A3F"/>
    <w:rsid w:val="00B34ABE"/>
    <w:rsid w:val="00B34D56"/>
    <w:rsid w:val="00B353BC"/>
    <w:rsid w:val="00B355FD"/>
    <w:rsid w:val="00B35633"/>
    <w:rsid w:val="00B35C23"/>
    <w:rsid w:val="00B366F9"/>
    <w:rsid w:val="00B36A8C"/>
    <w:rsid w:val="00B3720E"/>
    <w:rsid w:val="00B3749B"/>
    <w:rsid w:val="00B37ACE"/>
    <w:rsid w:val="00B37BF1"/>
    <w:rsid w:val="00B37D99"/>
    <w:rsid w:val="00B37EAB"/>
    <w:rsid w:val="00B40167"/>
    <w:rsid w:val="00B40454"/>
    <w:rsid w:val="00B406DF"/>
    <w:rsid w:val="00B40ECE"/>
    <w:rsid w:val="00B41221"/>
    <w:rsid w:val="00B41C25"/>
    <w:rsid w:val="00B4407F"/>
    <w:rsid w:val="00B44CAE"/>
    <w:rsid w:val="00B4548F"/>
    <w:rsid w:val="00B45751"/>
    <w:rsid w:val="00B45861"/>
    <w:rsid w:val="00B45A9E"/>
    <w:rsid w:val="00B45F64"/>
    <w:rsid w:val="00B46293"/>
    <w:rsid w:val="00B464F6"/>
    <w:rsid w:val="00B467F1"/>
    <w:rsid w:val="00B46B4B"/>
    <w:rsid w:val="00B47755"/>
    <w:rsid w:val="00B478C1"/>
    <w:rsid w:val="00B47DE2"/>
    <w:rsid w:val="00B507CD"/>
    <w:rsid w:val="00B508FA"/>
    <w:rsid w:val="00B51EE0"/>
    <w:rsid w:val="00B52A50"/>
    <w:rsid w:val="00B52CF5"/>
    <w:rsid w:val="00B52D95"/>
    <w:rsid w:val="00B53327"/>
    <w:rsid w:val="00B53456"/>
    <w:rsid w:val="00B5372B"/>
    <w:rsid w:val="00B537A0"/>
    <w:rsid w:val="00B53807"/>
    <w:rsid w:val="00B53A2A"/>
    <w:rsid w:val="00B540A2"/>
    <w:rsid w:val="00B551B3"/>
    <w:rsid w:val="00B55954"/>
    <w:rsid w:val="00B5645A"/>
    <w:rsid w:val="00B57B9E"/>
    <w:rsid w:val="00B60596"/>
    <w:rsid w:val="00B6063B"/>
    <w:rsid w:val="00B61279"/>
    <w:rsid w:val="00B63433"/>
    <w:rsid w:val="00B6589F"/>
    <w:rsid w:val="00B673E6"/>
    <w:rsid w:val="00B67A56"/>
    <w:rsid w:val="00B7090B"/>
    <w:rsid w:val="00B7099C"/>
    <w:rsid w:val="00B70A7F"/>
    <w:rsid w:val="00B70DCF"/>
    <w:rsid w:val="00B7151F"/>
    <w:rsid w:val="00B729AF"/>
    <w:rsid w:val="00B7328F"/>
    <w:rsid w:val="00B732B2"/>
    <w:rsid w:val="00B73442"/>
    <w:rsid w:val="00B7354A"/>
    <w:rsid w:val="00B73D08"/>
    <w:rsid w:val="00B740A8"/>
    <w:rsid w:val="00B7439E"/>
    <w:rsid w:val="00B74884"/>
    <w:rsid w:val="00B748F4"/>
    <w:rsid w:val="00B74BDD"/>
    <w:rsid w:val="00B75294"/>
    <w:rsid w:val="00B75F90"/>
    <w:rsid w:val="00B76237"/>
    <w:rsid w:val="00B772AD"/>
    <w:rsid w:val="00B775A1"/>
    <w:rsid w:val="00B77E34"/>
    <w:rsid w:val="00B80381"/>
    <w:rsid w:val="00B803AB"/>
    <w:rsid w:val="00B80750"/>
    <w:rsid w:val="00B807C5"/>
    <w:rsid w:val="00B8080D"/>
    <w:rsid w:val="00B80D8A"/>
    <w:rsid w:val="00B8134C"/>
    <w:rsid w:val="00B81709"/>
    <w:rsid w:val="00B81ABF"/>
    <w:rsid w:val="00B81C52"/>
    <w:rsid w:val="00B8451B"/>
    <w:rsid w:val="00B85398"/>
    <w:rsid w:val="00B8560E"/>
    <w:rsid w:val="00B856A6"/>
    <w:rsid w:val="00B861A1"/>
    <w:rsid w:val="00B868AC"/>
    <w:rsid w:val="00B868FF"/>
    <w:rsid w:val="00B8736D"/>
    <w:rsid w:val="00B87769"/>
    <w:rsid w:val="00B87972"/>
    <w:rsid w:val="00B92870"/>
    <w:rsid w:val="00B92C72"/>
    <w:rsid w:val="00B92E39"/>
    <w:rsid w:val="00B92F02"/>
    <w:rsid w:val="00B9313E"/>
    <w:rsid w:val="00B9329C"/>
    <w:rsid w:val="00B93608"/>
    <w:rsid w:val="00B93AC6"/>
    <w:rsid w:val="00B959CA"/>
    <w:rsid w:val="00B95DA1"/>
    <w:rsid w:val="00B9633D"/>
    <w:rsid w:val="00B96534"/>
    <w:rsid w:val="00B967EC"/>
    <w:rsid w:val="00B97151"/>
    <w:rsid w:val="00B971FB"/>
    <w:rsid w:val="00B97E97"/>
    <w:rsid w:val="00BA13EF"/>
    <w:rsid w:val="00BA1EB2"/>
    <w:rsid w:val="00BA1FA2"/>
    <w:rsid w:val="00BA318A"/>
    <w:rsid w:val="00BA3521"/>
    <w:rsid w:val="00BA4E0C"/>
    <w:rsid w:val="00BA5594"/>
    <w:rsid w:val="00BA5911"/>
    <w:rsid w:val="00BA5AA9"/>
    <w:rsid w:val="00BA5D17"/>
    <w:rsid w:val="00BA679A"/>
    <w:rsid w:val="00BA7611"/>
    <w:rsid w:val="00BA76EF"/>
    <w:rsid w:val="00BA7818"/>
    <w:rsid w:val="00BB0796"/>
    <w:rsid w:val="00BB083E"/>
    <w:rsid w:val="00BB0EB5"/>
    <w:rsid w:val="00BB1233"/>
    <w:rsid w:val="00BB1844"/>
    <w:rsid w:val="00BB2735"/>
    <w:rsid w:val="00BB2F6A"/>
    <w:rsid w:val="00BB35B5"/>
    <w:rsid w:val="00BB35E1"/>
    <w:rsid w:val="00BB3CF8"/>
    <w:rsid w:val="00BB42D5"/>
    <w:rsid w:val="00BB441F"/>
    <w:rsid w:val="00BB46CE"/>
    <w:rsid w:val="00BB5ADE"/>
    <w:rsid w:val="00BB5EDA"/>
    <w:rsid w:val="00BB6652"/>
    <w:rsid w:val="00BB7893"/>
    <w:rsid w:val="00BB7DD5"/>
    <w:rsid w:val="00BB7E95"/>
    <w:rsid w:val="00BC0211"/>
    <w:rsid w:val="00BC050C"/>
    <w:rsid w:val="00BC0759"/>
    <w:rsid w:val="00BC0D87"/>
    <w:rsid w:val="00BC0DAD"/>
    <w:rsid w:val="00BC0E26"/>
    <w:rsid w:val="00BC123D"/>
    <w:rsid w:val="00BC18A4"/>
    <w:rsid w:val="00BC1E1A"/>
    <w:rsid w:val="00BC1F9B"/>
    <w:rsid w:val="00BC2082"/>
    <w:rsid w:val="00BC2C2E"/>
    <w:rsid w:val="00BC35C5"/>
    <w:rsid w:val="00BC4407"/>
    <w:rsid w:val="00BC440C"/>
    <w:rsid w:val="00BC4CCF"/>
    <w:rsid w:val="00BC4FB8"/>
    <w:rsid w:val="00BC5627"/>
    <w:rsid w:val="00BC5F23"/>
    <w:rsid w:val="00BC6522"/>
    <w:rsid w:val="00BC6FED"/>
    <w:rsid w:val="00BC705C"/>
    <w:rsid w:val="00BC7FD9"/>
    <w:rsid w:val="00BD003B"/>
    <w:rsid w:val="00BD0271"/>
    <w:rsid w:val="00BD099E"/>
    <w:rsid w:val="00BD0CFB"/>
    <w:rsid w:val="00BD0F3A"/>
    <w:rsid w:val="00BD12B7"/>
    <w:rsid w:val="00BD1334"/>
    <w:rsid w:val="00BD15EF"/>
    <w:rsid w:val="00BD33CA"/>
    <w:rsid w:val="00BD35D0"/>
    <w:rsid w:val="00BD5141"/>
    <w:rsid w:val="00BD57C3"/>
    <w:rsid w:val="00BD5CF8"/>
    <w:rsid w:val="00BD5DE0"/>
    <w:rsid w:val="00BD6487"/>
    <w:rsid w:val="00BD7DBB"/>
    <w:rsid w:val="00BE0B4A"/>
    <w:rsid w:val="00BE0C03"/>
    <w:rsid w:val="00BE1E6B"/>
    <w:rsid w:val="00BE1ECB"/>
    <w:rsid w:val="00BE2710"/>
    <w:rsid w:val="00BE2C65"/>
    <w:rsid w:val="00BE2F01"/>
    <w:rsid w:val="00BE31FB"/>
    <w:rsid w:val="00BE379F"/>
    <w:rsid w:val="00BE3C7A"/>
    <w:rsid w:val="00BE44B0"/>
    <w:rsid w:val="00BE4E2A"/>
    <w:rsid w:val="00BE57BD"/>
    <w:rsid w:val="00BE5B8B"/>
    <w:rsid w:val="00BE5D2A"/>
    <w:rsid w:val="00BE66E8"/>
    <w:rsid w:val="00BE696D"/>
    <w:rsid w:val="00BE69CB"/>
    <w:rsid w:val="00BE6FEE"/>
    <w:rsid w:val="00BE73ED"/>
    <w:rsid w:val="00BE7BF0"/>
    <w:rsid w:val="00BF018D"/>
    <w:rsid w:val="00BF02A8"/>
    <w:rsid w:val="00BF06B0"/>
    <w:rsid w:val="00BF0E42"/>
    <w:rsid w:val="00BF134C"/>
    <w:rsid w:val="00BF1383"/>
    <w:rsid w:val="00BF258C"/>
    <w:rsid w:val="00BF26E2"/>
    <w:rsid w:val="00BF2B05"/>
    <w:rsid w:val="00BF2B56"/>
    <w:rsid w:val="00BF2BDE"/>
    <w:rsid w:val="00BF2E5A"/>
    <w:rsid w:val="00BF2EF3"/>
    <w:rsid w:val="00BF34B6"/>
    <w:rsid w:val="00BF4D65"/>
    <w:rsid w:val="00BF4DAF"/>
    <w:rsid w:val="00BF4E99"/>
    <w:rsid w:val="00BF55CD"/>
    <w:rsid w:val="00BF5773"/>
    <w:rsid w:val="00BF5902"/>
    <w:rsid w:val="00BF5EFA"/>
    <w:rsid w:val="00BF6B21"/>
    <w:rsid w:val="00BF6C49"/>
    <w:rsid w:val="00BF6D6E"/>
    <w:rsid w:val="00BF72BC"/>
    <w:rsid w:val="00BF7400"/>
    <w:rsid w:val="00BF7585"/>
    <w:rsid w:val="00BF7768"/>
    <w:rsid w:val="00C0081E"/>
    <w:rsid w:val="00C00A7E"/>
    <w:rsid w:val="00C00BA0"/>
    <w:rsid w:val="00C0240E"/>
    <w:rsid w:val="00C02CF8"/>
    <w:rsid w:val="00C02E53"/>
    <w:rsid w:val="00C03300"/>
    <w:rsid w:val="00C03682"/>
    <w:rsid w:val="00C038CB"/>
    <w:rsid w:val="00C044E6"/>
    <w:rsid w:val="00C04BF2"/>
    <w:rsid w:val="00C051A7"/>
    <w:rsid w:val="00C05682"/>
    <w:rsid w:val="00C056BB"/>
    <w:rsid w:val="00C05C75"/>
    <w:rsid w:val="00C05CD2"/>
    <w:rsid w:val="00C060AA"/>
    <w:rsid w:val="00C06B5E"/>
    <w:rsid w:val="00C07068"/>
    <w:rsid w:val="00C07568"/>
    <w:rsid w:val="00C079CB"/>
    <w:rsid w:val="00C107F8"/>
    <w:rsid w:val="00C10934"/>
    <w:rsid w:val="00C10A62"/>
    <w:rsid w:val="00C113DB"/>
    <w:rsid w:val="00C12287"/>
    <w:rsid w:val="00C12D8F"/>
    <w:rsid w:val="00C12E6B"/>
    <w:rsid w:val="00C12F8B"/>
    <w:rsid w:val="00C133C5"/>
    <w:rsid w:val="00C136DB"/>
    <w:rsid w:val="00C1399E"/>
    <w:rsid w:val="00C144D1"/>
    <w:rsid w:val="00C15D08"/>
    <w:rsid w:val="00C1660E"/>
    <w:rsid w:val="00C16C84"/>
    <w:rsid w:val="00C17192"/>
    <w:rsid w:val="00C17198"/>
    <w:rsid w:val="00C1796C"/>
    <w:rsid w:val="00C17D38"/>
    <w:rsid w:val="00C17E40"/>
    <w:rsid w:val="00C20379"/>
    <w:rsid w:val="00C205E5"/>
    <w:rsid w:val="00C20A36"/>
    <w:rsid w:val="00C210BC"/>
    <w:rsid w:val="00C21546"/>
    <w:rsid w:val="00C21621"/>
    <w:rsid w:val="00C2177C"/>
    <w:rsid w:val="00C22749"/>
    <w:rsid w:val="00C22B19"/>
    <w:rsid w:val="00C23264"/>
    <w:rsid w:val="00C232C7"/>
    <w:rsid w:val="00C23495"/>
    <w:rsid w:val="00C234DE"/>
    <w:rsid w:val="00C23A8D"/>
    <w:rsid w:val="00C23EEE"/>
    <w:rsid w:val="00C246AF"/>
    <w:rsid w:val="00C255DF"/>
    <w:rsid w:val="00C25638"/>
    <w:rsid w:val="00C25C01"/>
    <w:rsid w:val="00C26225"/>
    <w:rsid w:val="00C26BD9"/>
    <w:rsid w:val="00C279BF"/>
    <w:rsid w:val="00C27A89"/>
    <w:rsid w:val="00C30671"/>
    <w:rsid w:val="00C3119E"/>
    <w:rsid w:val="00C3153E"/>
    <w:rsid w:val="00C31622"/>
    <w:rsid w:val="00C318CE"/>
    <w:rsid w:val="00C32E9A"/>
    <w:rsid w:val="00C33049"/>
    <w:rsid w:val="00C33981"/>
    <w:rsid w:val="00C33ED2"/>
    <w:rsid w:val="00C34554"/>
    <w:rsid w:val="00C3470C"/>
    <w:rsid w:val="00C3495D"/>
    <w:rsid w:val="00C354F0"/>
    <w:rsid w:val="00C358E2"/>
    <w:rsid w:val="00C35EF9"/>
    <w:rsid w:val="00C367AD"/>
    <w:rsid w:val="00C36D75"/>
    <w:rsid w:val="00C37508"/>
    <w:rsid w:val="00C37BE2"/>
    <w:rsid w:val="00C4080F"/>
    <w:rsid w:val="00C40D23"/>
    <w:rsid w:val="00C43079"/>
    <w:rsid w:val="00C439E5"/>
    <w:rsid w:val="00C439F2"/>
    <w:rsid w:val="00C43BEF"/>
    <w:rsid w:val="00C444CB"/>
    <w:rsid w:val="00C44617"/>
    <w:rsid w:val="00C4481A"/>
    <w:rsid w:val="00C4496C"/>
    <w:rsid w:val="00C453A4"/>
    <w:rsid w:val="00C45FA0"/>
    <w:rsid w:val="00C46B67"/>
    <w:rsid w:val="00C46E5F"/>
    <w:rsid w:val="00C46F88"/>
    <w:rsid w:val="00C47B03"/>
    <w:rsid w:val="00C47CB4"/>
    <w:rsid w:val="00C47D70"/>
    <w:rsid w:val="00C50ECC"/>
    <w:rsid w:val="00C50FC3"/>
    <w:rsid w:val="00C511C9"/>
    <w:rsid w:val="00C52579"/>
    <w:rsid w:val="00C53EFB"/>
    <w:rsid w:val="00C5456F"/>
    <w:rsid w:val="00C546C0"/>
    <w:rsid w:val="00C54716"/>
    <w:rsid w:val="00C54A3E"/>
    <w:rsid w:val="00C54B67"/>
    <w:rsid w:val="00C555E0"/>
    <w:rsid w:val="00C55621"/>
    <w:rsid w:val="00C55658"/>
    <w:rsid w:val="00C55784"/>
    <w:rsid w:val="00C55856"/>
    <w:rsid w:val="00C55A1D"/>
    <w:rsid w:val="00C55B3A"/>
    <w:rsid w:val="00C55B6A"/>
    <w:rsid w:val="00C55BB0"/>
    <w:rsid w:val="00C566DE"/>
    <w:rsid w:val="00C567EB"/>
    <w:rsid w:val="00C56AB0"/>
    <w:rsid w:val="00C60881"/>
    <w:rsid w:val="00C6091B"/>
    <w:rsid w:val="00C61330"/>
    <w:rsid w:val="00C614D1"/>
    <w:rsid w:val="00C61541"/>
    <w:rsid w:val="00C61F98"/>
    <w:rsid w:val="00C6201A"/>
    <w:rsid w:val="00C6367E"/>
    <w:rsid w:val="00C6376D"/>
    <w:rsid w:val="00C637ED"/>
    <w:rsid w:val="00C63804"/>
    <w:rsid w:val="00C642C3"/>
    <w:rsid w:val="00C654D2"/>
    <w:rsid w:val="00C656CF"/>
    <w:rsid w:val="00C65DD0"/>
    <w:rsid w:val="00C66209"/>
    <w:rsid w:val="00C66AF8"/>
    <w:rsid w:val="00C66F5B"/>
    <w:rsid w:val="00C70F0F"/>
    <w:rsid w:val="00C72042"/>
    <w:rsid w:val="00C727CA"/>
    <w:rsid w:val="00C729AC"/>
    <w:rsid w:val="00C72D69"/>
    <w:rsid w:val="00C73365"/>
    <w:rsid w:val="00C73492"/>
    <w:rsid w:val="00C73D72"/>
    <w:rsid w:val="00C73DB6"/>
    <w:rsid w:val="00C74157"/>
    <w:rsid w:val="00C743F7"/>
    <w:rsid w:val="00C7474D"/>
    <w:rsid w:val="00C74F11"/>
    <w:rsid w:val="00C75803"/>
    <w:rsid w:val="00C75950"/>
    <w:rsid w:val="00C75ACD"/>
    <w:rsid w:val="00C75C99"/>
    <w:rsid w:val="00C76294"/>
    <w:rsid w:val="00C7665C"/>
    <w:rsid w:val="00C766E3"/>
    <w:rsid w:val="00C767A8"/>
    <w:rsid w:val="00C76E5B"/>
    <w:rsid w:val="00C772E7"/>
    <w:rsid w:val="00C776CB"/>
    <w:rsid w:val="00C778D4"/>
    <w:rsid w:val="00C80B02"/>
    <w:rsid w:val="00C816A0"/>
    <w:rsid w:val="00C81929"/>
    <w:rsid w:val="00C81A33"/>
    <w:rsid w:val="00C82934"/>
    <w:rsid w:val="00C8371C"/>
    <w:rsid w:val="00C83787"/>
    <w:rsid w:val="00C83A97"/>
    <w:rsid w:val="00C83E8B"/>
    <w:rsid w:val="00C84755"/>
    <w:rsid w:val="00C84DAB"/>
    <w:rsid w:val="00C84F76"/>
    <w:rsid w:val="00C8587A"/>
    <w:rsid w:val="00C862FD"/>
    <w:rsid w:val="00C86320"/>
    <w:rsid w:val="00C865CB"/>
    <w:rsid w:val="00C866C4"/>
    <w:rsid w:val="00C86CBA"/>
    <w:rsid w:val="00C876D0"/>
    <w:rsid w:val="00C87A9E"/>
    <w:rsid w:val="00C9009E"/>
    <w:rsid w:val="00C9040B"/>
    <w:rsid w:val="00C90695"/>
    <w:rsid w:val="00C90851"/>
    <w:rsid w:val="00C90D70"/>
    <w:rsid w:val="00C90DD9"/>
    <w:rsid w:val="00C9138A"/>
    <w:rsid w:val="00C91A92"/>
    <w:rsid w:val="00C92E09"/>
    <w:rsid w:val="00C93577"/>
    <w:rsid w:val="00C94089"/>
    <w:rsid w:val="00C94219"/>
    <w:rsid w:val="00C9468E"/>
    <w:rsid w:val="00C94AB6"/>
    <w:rsid w:val="00C94B12"/>
    <w:rsid w:val="00C9596D"/>
    <w:rsid w:val="00C96365"/>
    <w:rsid w:val="00C9636B"/>
    <w:rsid w:val="00C96530"/>
    <w:rsid w:val="00C96EDA"/>
    <w:rsid w:val="00C97D33"/>
    <w:rsid w:val="00CA027D"/>
    <w:rsid w:val="00CA03E0"/>
    <w:rsid w:val="00CA058B"/>
    <w:rsid w:val="00CA1F77"/>
    <w:rsid w:val="00CA257B"/>
    <w:rsid w:val="00CA2636"/>
    <w:rsid w:val="00CA33B6"/>
    <w:rsid w:val="00CA3787"/>
    <w:rsid w:val="00CA3C0B"/>
    <w:rsid w:val="00CA417C"/>
    <w:rsid w:val="00CA41B2"/>
    <w:rsid w:val="00CA46FB"/>
    <w:rsid w:val="00CA545C"/>
    <w:rsid w:val="00CA63FE"/>
    <w:rsid w:val="00CA6407"/>
    <w:rsid w:val="00CA6A03"/>
    <w:rsid w:val="00CA6ACA"/>
    <w:rsid w:val="00CA7218"/>
    <w:rsid w:val="00CA7A81"/>
    <w:rsid w:val="00CA7F75"/>
    <w:rsid w:val="00CB0951"/>
    <w:rsid w:val="00CB2C8E"/>
    <w:rsid w:val="00CB306E"/>
    <w:rsid w:val="00CB552B"/>
    <w:rsid w:val="00CB57A4"/>
    <w:rsid w:val="00CB57C6"/>
    <w:rsid w:val="00CB5E5A"/>
    <w:rsid w:val="00CB635B"/>
    <w:rsid w:val="00CB6A61"/>
    <w:rsid w:val="00CB6B0F"/>
    <w:rsid w:val="00CB6F88"/>
    <w:rsid w:val="00CB789F"/>
    <w:rsid w:val="00CB7F20"/>
    <w:rsid w:val="00CC02D9"/>
    <w:rsid w:val="00CC1011"/>
    <w:rsid w:val="00CC1517"/>
    <w:rsid w:val="00CC19AE"/>
    <w:rsid w:val="00CC2347"/>
    <w:rsid w:val="00CC23C7"/>
    <w:rsid w:val="00CC3AD3"/>
    <w:rsid w:val="00CC4349"/>
    <w:rsid w:val="00CC4478"/>
    <w:rsid w:val="00CC4A68"/>
    <w:rsid w:val="00CC4EDC"/>
    <w:rsid w:val="00CC50B7"/>
    <w:rsid w:val="00CC50D4"/>
    <w:rsid w:val="00CC57CD"/>
    <w:rsid w:val="00CC5802"/>
    <w:rsid w:val="00CC59AC"/>
    <w:rsid w:val="00CC59B2"/>
    <w:rsid w:val="00CC627A"/>
    <w:rsid w:val="00CC658A"/>
    <w:rsid w:val="00CC7B0D"/>
    <w:rsid w:val="00CD0E73"/>
    <w:rsid w:val="00CD15AF"/>
    <w:rsid w:val="00CD1B32"/>
    <w:rsid w:val="00CD1C24"/>
    <w:rsid w:val="00CD2C40"/>
    <w:rsid w:val="00CD3F90"/>
    <w:rsid w:val="00CD43D1"/>
    <w:rsid w:val="00CD53CA"/>
    <w:rsid w:val="00CD558B"/>
    <w:rsid w:val="00CD5D3D"/>
    <w:rsid w:val="00CD5E6E"/>
    <w:rsid w:val="00CD6025"/>
    <w:rsid w:val="00CD615C"/>
    <w:rsid w:val="00CD64D7"/>
    <w:rsid w:val="00CD6602"/>
    <w:rsid w:val="00CE04CA"/>
    <w:rsid w:val="00CE04CF"/>
    <w:rsid w:val="00CE0C3B"/>
    <w:rsid w:val="00CE0F50"/>
    <w:rsid w:val="00CE13C4"/>
    <w:rsid w:val="00CE184F"/>
    <w:rsid w:val="00CE2BE1"/>
    <w:rsid w:val="00CE3CE6"/>
    <w:rsid w:val="00CE3EE9"/>
    <w:rsid w:val="00CE42CA"/>
    <w:rsid w:val="00CE4DE0"/>
    <w:rsid w:val="00CE5082"/>
    <w:rsid w:val="00CE609E"/>
    <w:rsid w:val="00CE6D25"/>
    <w:rsid w:val="00CE6D92"/>
    <w:rsid w:val="00CE702D"/>
    <w:rsid w:val="00CE77A2"/>
    <w:rsid w:val="00CF0649"/>
    <w:rsid w:val="00CF0E69"/>
    <w:rsid w:val="00CF1121"/>
    <w:rsid w:val="00CF1130"/>
    <w:rsid w:val="00CF13EF"/>
    <w:rsid w:val="00CF19B0"/>
    <w:rsid w:val="00CF1D2F"/>
    <w:rsid w:val="00CF258A"/>
    <w:rsid w:val="00CF2617"/>
    <w:rsid w:val="00CF2756"/>
    <w:rsid w:val="00CF292B"/>
    <w:rsid w:val="00CF2C35"/>
    <w:rsid w:val="00CF3494"/>
    <w:rsid w:val="00CF3639"/>
    <w:rsid w:val="00CF36B0"/>
    <w:rsid w:val="00CF4076"/>
    <w:rsid w:val="00CF424F"/>
    <w:rsid w:val="00CF4D33"/>
    <w:rsid w:val="00CF5455"/>
    <w:rsid w:val="00CF58CF"/>
    <w:rsid w:val="00CF5E17"/>
    <w:rsid w:val="00CF5E8D"/>
    <w:rsid w:val="00CF6358"/>
    <w:rsid w:val="00CF6D8B"/>
    <w:rsid w:val="00CF74B8"/>
    <w:rsid w:val="00CF771F"/>
    <w:rsid w:val="00CF7F59"/>
    <w:rsid w:val="00D00769"/>
    <w:rsid w:val="00D00D24"/>
    <w:rsid w:val="00D01236"/>
    <w:rsid w:val="00D015D4"/>
    <w:rsid w:val="00D019B9"/>
    <w:rsid w:val="00D01EBC"/>
    <w:rsid w:val="00D01FEF"/>
    <w:rsid w:val="00D02241"/>
    <w:rsid w:val="00D02CC0"/>
    <w:rsid w:val="00D04073"/>
    <w:rsid w:val="00D041E8"/>
    <w:rsid w:val="00D042F3"/>
    <w:rsid w:val="00D04527"/>
    <w:rsid w:val="00D045D2"/>
    <w:rsid w:val="00D04871"/>
    <w:rsid w:val="00D0555B"/>
    <w:rsid w:val="00D05710"/>
    <w:rsid w:val="00D058ED"/>
    <w:rsid w:val="00D0606E"/>
    <w:rsid w:val="00D06479"/>
    <w:rsid w:val="00D0654F"/>
    <w:rsid w:val="00D07569"/>
    <w:rsid w:val="00D077A8"/>
    <w:rsid w:val="00D07C27"/>
    <w:rsid w:val="00D10299"/>
    <w:rsid w:val="00D10786"/>
    <w:rsid w:val="00D10B42"/>
    <w:rsid w:val="00D10E0A"/>
    <w:rsid w:val="00D10EEF"/>
    <w:rsid w:val="00D112B4"/>
    <w:rsid w:val="00D1179F"/>
    <w:rsid w:val="00D11919"/>
    <w:rsid w:val="00D133D8"/>
    <w:rsid w:val="00D135C7"/>
    <w:rsid w:val="00D136A6"/>
    <w:rsid w:val="00D13929"/>
    <w:rsid w:val="00D13E26"/>
    <w:rsid w:val="00D1409A"/>
    <w:rsid w:val="00D141D1"/>
    <w:rsid w:val="00D14BEC"/>
    <w:rsid w:val="00D14F53"/>
    <w:rsid w:val="00D1541A"/>
    <w:rsid w:val="00D16712"/>
    <w:rsid w:val="00D16C76"/>
    <w:rsid w:val="00D16FD8"/>
    <w:rsid w:val="00D173AE"/>
    <w:rsid w:val="00D21169"/>
    <w:rsid w:val="00D21173"/>
    <w:rsid w:val="00D21392"/>
    <w:rsid w:val="00D21466"/>
    <w:rsid w:val="00D21479"/>
    <w:rsid w:val="00D21A28"/>
    <w:rsid w:val="00D22228"/>
    <w:rsid w:val="00D225AB"/>
    <w:rsid w:val="00D23315"/>
    <w:rsid w:val="00D23665"/>
    <w:rsid w:val="00D23797"/>
    <w:rsid w:val="00D24190"/>
    <w:rsid w:val="00D26887"/>
    <w:rsid w:val="00D26957"/>
    <w:rsid w:val="00D26AB9"/>
    <w:rsid w:val="00D2712D"/>
    <w:rsid w:val="00D2770D"/>
    <w:rsid w:val="00D3067F"/>
    <w:rsid w:val="00D306DB"/>
    <w:rsid w:val="00D3074B"/>
    <w:rsid w:val="00D31333"/>
    <w:rsid w:val="00D31575"/>
    <w:rsid w:val="00D31DEB"/>
    <w:rsid w:val="00D31E86"/>
    <w:rsid w:val="00D32398"/>
    <w:rsid w:val="00D32B5F"/>
    <w:rsid w:val="00D3305E"/>
    <w:rsid w:val="00D33C60"/>
    <w:rsid w:val="00D3403E"/>
    <w:rsid w:val="00D347AB"/>
    <w:rsid w:val="00D34EC6"/>
    <w:rsid w:val="00D35016"/>
    <w:rsid w:val="00D3505D"/>
    <w:rsid w:val="00D35659"/>
    <w:rsid w:val="00D35900"/>
    <w:rsid w:val="00D35D6B"/>
    <w:rsid w:val="00D364E2"/>
    <w:rsid w:val="00D36FED"/>
    <w:rsid w:val="00D374B0"/>
    <w:rsid w:val="00D402D6"/>
    <w:rsid w:val="00D404B4"/>
    <w:rsid w:val="00D40AF3"/>
    <w:rsid w:val="00D41DF9"/>
    <w:rsid w:val="00D4279E"/>
    <w:rsid w:val="00D432BB"/>
    <w:rsid w:val="00D433A7"/>
    <w:rsid w:val="00D43ABA"/>
    <w:rsid w:val="00D43C42"/>
    <w:rsid w:val="00D44525"/>
    <w:rsid w:val="00D45172"/>
    <w:rsid w:val="00D4534E"/>
    <w:rsid w:val="00D468B1"/>
    <w:rsid w:val="00D469EA"/>
    <w:rsid w:val="00D46B1B"/>
    <w:rsid w:val="00D46EBD"/>
    <w:rsid w:val="00D473BF"/>
    <w:rsid w:val="00D477B9"/>
    <w:rsid w:val="00D4797D"/>
    <w:rsid w:val="00D5000C"/>
    <w:rsid w:val="00D50039"/>
    <w:rsid w:val="00D51548"/>
    <w:rsid w:val="00D51568"/>
    <w:rsid w:val="00D51C72"/>
    <w:rsid w:val="00D52ABA"/>
    <w:rsid w:val="00D5326E"/>
    <w:rsid w:val="00D53BA5"/>
    <w:rsid w:val="00D54307"/>
    <w:rsid w:val="00D5496A"/>
    <w:rsid w:val="00D55975"/>
    <w:rsid w:val="00D55AAC"/>
    <w:rsid w:val="00D563DE"/>
    <w:rsid w:val="00D574BF"/>
    <w:rsid w:val="00D57A6E"/>
    <w:rsid w:val="00D57AFC"/>
    <w:rsid w:val="00D57B5A"/>
    <w:rsid w:val="00D60148"/>
    <w:rsid w:val="00D60467"/>
    <w:rsid w:val="00D60A10"/>
    <w:rsid w:val="00D61382"/>
    <w:rsid w:val="00D61BCF"/>
    <w:rsid w:val="00D620E7"/>
    <w:rsid w:val="00D6215B"/>
    <w:rsid w:val="00D62197"/>
    <w:rsid w:val="00D629EF"/>
    <w:rsid w:val="00D6304B"/>
    <w:rsid w:val="00D64195"/>
    <w:rsid w:val="00D64AAC"/>
    <w:rsid w:val="00D64BC8"/>
    <w:rsid w:val="00D65402"/>
    <w:rsid w:val="00D65640"/>
    <w:rsid w:val="00D6574C"/>
    <w:rsid w:val="00D65BDA"/>
    <w:rsid w:val="00D66373"/>
    <w:rsid w:val="00D66770"/>
    <w:rsid w:val="00D673CB"/>
    <w:rsid w:val="00D67762"/>
    <w:rsid w:val="00D67949"/>
    <w:rsid w:val="00D67F80"/>
    <w:rsid w:val="00D67FFC"/>
    <w:rsid w:val="00D7029E"/>
    <w:rsid w:val="00D707CE"/>
    <w:rsid w:val="00D7093C"/>
    <w:rsid w:val="00D70AB6"/>
    <w:rsid w:val="00D72940"/>
    <w:rsid w:val="00D72FFE"/>
    <w:rsid w:val="00D7338E"/>
    <w:rsid w:val="00D736BE"/>
    <w:rsid w:val="00D739EB"/>
    <w:rsid w:val="00D73E15"/>
    <w:rsid w:val="00D7400C"/>
    <w:rsid w:val="00D743D5"/>
    <w:rsid w:val="00D7512F"/>
    <w:rsid w:val="00D75F4F"/>
    <w:rsid w:val="00D76CD5"/>
    <w:rsid w:val="00D76E54"/>
    <w:rsid w:val="00D77140"/>
    <w:rsid w:val="00D801DC"/>
    <w:rsid w:val="00D809E2"/>
    <w:rsid w:val="00D8150A"/>
    <w:rsid w:val="00D81898"/>
    <w:rsid w:val="00D81D1E"/>
    <w:rsid w:val="00D83390"/>
    <w:rsid w:val="00D84D96"/>
    <w:rsid w:val="00D8510B"/>
    <w:rsid w:val="00D852BD"/>
    <w:rsid w:val="00D85441"/>
    <w:rsid w:val="00D85BEA"/>
    <w:rsid w:val="00D8683F"/>
    <w:rsid w:val="00D871AD"/>
    <w:rsid w:val="00D87656"/>
    <w:rsid w:val="00D877A0"/>
    <w:rsid w:val="00D9015D"/>
    <w:rsid w:val="00D90423"/>
    <w:rsid w:val="00D9091A"/>
    <w:rsid w:val="00D91443"/>
    <w:rsid w:val="00D9160F"/>
    <w:rsid w:val="00D917E3"/>
    <w:rsid w:val="00D91B65"/>
    <w:rsid w:val="00D92134"/>
    <w:rsid w:val="00D930AA"/>
    <w:rsid w:val="00D93D8E"/>
    <w:rsid w:val="00D93E52"/>
    <w:rsid w:val="00D93F93"/>
    <w:rsid w:val="00D94526"/>
    <w:rsid w:val="00D94CFE"/>
    <w:rsid w:val="00D94E93"/>
    <w:rsid w:val="00D95565"/>
    <w:rsid w:val="00D960A5"/>
    <w:rsid w:val="00D96C7D"/>
    <w:rsid w:val="00D97DAF"/>
    <w:rsid w:val="00DA044C"/>
    <w:rsid w:val="00DA0860"/>
    <w:rsid w:val="00DA1221"/>
    <w:rsid w:val="00DA15EB"/>
    <w:rsid w:val="00DA1980"/>
    <w:rsid w:val="00DA212A"/>
    <w:rsid w:val="00DA37C8"/>
    <w:rsid w:val="00DA3979"/>
    <w:rsid w:val="00DA43C6"/>
    <w:rsid w:val="00DA499E"/>
    <w:rsid w:val="00DA507F"/>
    <w:rsid w:val="00DA5F3B"/>
    <w:rsid w:val="00DA6966"/>
    <w:rsid w:val="00DA6C35"/>
    <w:rsid w:val="00DA6D9E"/>
    <w:rsid w:val="00DA70ED"/>
    <w:rsid w:val="00DB02D1"/>
    <w:rsid w:val="00DB04C0"/>
    <w:rsid w:val="00DB100B"/>
    <w:rsid w:val="00DB213A"/>
    <w:rsid w:val="00DB2C9B"/>
    <w:rsid w:val="00DB32CC"/>
    <w:rsid w:val="00DB337D"/>
    <w:rsid w:val="00DB3DB1"/>
    <w:rsid w:val="00DB41F9"/>
    <w:rsid w:val="00DB4F78"/>
    <w:rsid w:val="00DB554B"/>
    <w:rsid w:val="00DB5F54"/>
    <w:rsid w:val="00DB60E5"/>
    <w:rsid w:val="00DB76EC"/>
    <w:rsid w:val="00DB7CE6"/>
    <w:rsid w:val="00DC0248"/>
    <w:rsid w:val="00DC03EE"/>
    <w:rsid w:val="00DC05DC"/>
    <w:rsid w:val="00DC05E5"/>
    <w:rsid w:val="00DC1E41"/>
    <w:rsid w:val="00DC1FF2"/>
    <w:rsid w:val="00DC2ACB"/>
    <w:rsid w:val="00DC2B5A"/>
    <w:rsid w:val="00DC301F"/>
    <w:rsid w:val="00DC3430"/>
    <w:rsid w:val="00DC4CBC"/>
    <w:rsid w:val="00DC53CC"/>
    <w:rsid w:val="00DC54B2"/>
    <w:rsid w:val="00DC5CEF"/>
    <w:rsid w:val="00DC722A"/>
    <w:rsid w:val="00DC7773"/>
    <w:rsid w:val="00DD0B60"/>
    <w:rsid w:val="00DD0EDD"/>
    <w:rsid w:val="00DD1858"/>
    <w:rsid w:val="00DD2448"/>
    <w:rsid w:val="00DD27FD"/>
    <w:rsid w:val="00DD30B9"/>
    <w:rsid w:val="00DD39DA"/>
    <w:rsid w:val="00DD3E41"/>
    <w:rsid w:val="00DD4132"/>
    <w:rsid w:val="00DD41DC"/>
    <w:rsid w:val="00DD5030"/>
    <w:rsid w:val="00DD544F"/>
    <w:rsid w:val="00DD5B28"/>
    <w:rsid w:val="00DD60F8"/>
    <w:rsid w:val="00DD6961"/>
    <w:rsid w:val="00DD6A0C"/>
    <w:rsid w:val="00DD73B6"/>
    <w:rsid w:val="00DD73D9"/>
    <w:rsid w:val="00DE04F6"/>
    <w:rsid w:val="00DE07BE"/>
    <w:rsid w:val="00DE11AF"/>
    <w:rsid w:val="00DE1400"/>
    <w:rsid w:val="00DE1480"/>
    <w:rsid w:val="00DE1B9F"/>
    <w:rsid w:val="00DE24C5"/>
    <w:rsid w:val="00DE2A11"/>
    <w:rsid w:val="00DE3920"/>
    <w:rsid w:val="00DE3B68"/>
    <w:rsid w:val="00DE3CE0"/>
    <w:rsid w:val="00DE3F52"/>
    <w:rsid w:val="00DE47A7"/>
    <w:rsid w:val="00DE4AD6"/>
    <w:rsid w:val="00DE5E52"/>
    <w:rsid w:val="00DE7566"/>
    <w:rsid w:val="00DF0601"/>
    <w:rsid w:val="00DF076C"/>
    <w:rsid w:val="00DF12E5"/>
    <w:rsid w:val="00DF165E"/>
    <w:rsid w:val="00DF1DE3"/>
    <w:rsid w:val="00DF256F"/>
    <w:rsid w:val="00DF2A9B"/>
    <w:rsid w:val="00DF2DAC"/>
    <w:rsid w:val="00DF317A"/>
    <w:rsid w:val="00DF33AC"/>
    <w:rsid w:val="00DF442F"/>
    <w:rsid w:val="00DF494C"/>
    <w:rsid w:val="00DF49CE"/>
    <w:rsid w:val="00DF50ED"/>
    <w:rsid w:val="00DF5929"/>
    <w:rsid w:val="00DF624A"/>
    <w:rsid w:val="00DF6DE8"/>
    <w:rsid w:val="00DF70A1"/>
    <w:rsid w:val="00DF70BC"/>
    <w:rsid w:val="00DF7393"/>
    <w:rsid w:val="00DF7642"/>
    <w:rsid w:val="00DF7C11"/>
    <w:rsid w:val="00E000EE"/>
    <w:rsid w:val="00E00C4D"/>
    <w:rsid w:val="00E011E7"/>
    <w:rsid w:val="00E01208"/>
    <w:rsid w:val="00E01B7D"/>
    <w:rsid w:val="00E02778"/>
    <w:rsid w:val="00E030A1"/>
    <w:rsid w:val="00E036DA"/>
    <w:rsid w:val="00E039F2"/>
    <w:rsid w:val="00E03F04"/>
    <w:rsid w:val="00E0484C"/>
    <w:rsid w:val="00E055F5"/>
    <w:rsid w:val="00E05DA9"/>
    <w:rsid w:val="00E06D65"/>
    <w:rsid w:val="00E0706A"/>
    <w:rsid w:val="00E075F2"/>
    <w:rsid w:val="00E0764B"/>
    <w:rsid w:val="00E0765D"/>
    <w:rsid w:val="00E07A62"/>
    <w:rsid w:val="00E07F7B"/>
    <w:rsid w:val="00E1039C"/>
    <w:rsid w:val="00E109CE"/>
    <w:rsid w:val="00E10C31"/>
    <w:rsid w:val="00E10E3F"/>
    <w:rsid w:val="00E10E77"/>
    <w:rsid w:val="00E11795"/>
    <w:rsid w:val="00E11A12"/>
    <w:rsid w:val="00E12878"/>
    <w:rsid w:val="00E12D72"/>
    <w:rsid w:val="00E1392F"/>
    <w:rsid w:val="00E13DBE"/>
    <w:rsid w:val="00E13E2D"/>
    <w:rsid w:val="00E13EB7"/>
    <w:rsid w:val="00E14541"/>
    <w:rsid w:val="00E15AA7"/>
    <w:rsid w:val="00E15BD8"/>
    <w:rsid w:val="00E163FA"/>
    <w:rsid w:val="00E164FC"/>
    <w:rsid w:val="00E16C9A"/>
    <w:rsid w:val="00E20073"/>
    <w:rsid w:val="00E200B5"/>
    <w:rsid w:val="00E20222"/>
    <w:rsid w:val="00E214DB"/>
    <w:rsid w:val="00E21BF7"/>
    <w:rsid w:val="00E21EE9"/>
    <w:rsid w:val="00E21FC2"/>
    <w:rsid w:val="00E22457"/>
    <w:rsid w:val="00E22483"/>
    <w:rsid w:val="00E2298F"/>
    <w:rsid w:val="00E235CE"/>
    <w:rsid w:val="00E23AD4"/>
    <w:rsid w:val="00E23D08"/>
    <w:rsid w:val="00E24816"/>
    <w:rsid w:val="00E248E9"/>
    <w:rsid w:val="00E24CB8"/>
    <w:rsid w:val="00E251A4"/>
    <w:rsid w:val="00E251B9"/>
    <w:rsid w:val="00E25375"/>
    <w:rsid w:val="00E257C1"/>
    <w:rsid w:val="00E26282"/>
    <w:rsid w:val="00E27CC0"/>
    <w:rsid w:val="00E30008"/>
    <w:rsid w:val="00E30413"/>
    <w:rsid w:val="00E307A3"/>
    <w:rsid w:val="00E308D6"/>
    <w:rsid w:val="00E310C4"/>
    <w:rsid w:val="00E31BE6"/>
    <w:rsid w:val="00E31F2E"/>
    <w:rsid w:val="00E32CFE"/>
    <w:rsid w:val="00E3343E"/>
    <w:rsid w:val="00E33728"/>
    <w:rsid w:val="00E341D4"/>
    <w:rsid w:val="00E3445A"/>
    <w:rsid w:val="00E34A94"/>
    <w:rsid w:val="00E35326"/>
    <w:rsid w:val="00E35F3A"/>
    <w:rsid w:val="00E36B28"/>
    <w:rsid w:val="00E36C1D"/>
    <w:rsid w:val="00E37093"/>
    <w:rsid w:val="00E37A75"/>
    <w:rsid w:val="00E37EB8"/>
    <w:rsid w:val="00E4037D"/>
    <w:rsid w:val="00E403A4"/>
    <w:rsid w:val="00E407D6"/>
    <w:rsid w:val="00E40D47"/>
    <w:rsid w:val="00E418D4"/>
    <w:rsid w:val="00E41F0A"/>
    <w:rsid w:val="00E42CD3"/>
    <w:rsid w:val="00E4417E"/>
    <w:rsid w:val="00E451DC"/>
    <w:rsid w:val="00E45566"/>
    <w:rsid w:val="00E460F8"/>
    <w:rsid w:val="00E46278"/>
    <w:rsid w:val="00E46361"/>
    <w:rsid w:val="00E46B28"/>
    <w:rsid w:val="00E4796F"/>
    <w:rsid w:val="00E51158"/>
    <w:rsid w:val="00E5198E"/>
    <w:rsid w:val="00E52491"/>
    <w:rsid w:val="00E52524"/>
    <w:rsid w:val="00E53738"/>
    <w:rsid w:val="00E54CBE"/>
    <w:rsid w:val="00E55005"/>
    <w:rsid w:val="00E560AA"/>
    <w:rsid w:val="00E562B2"/>
    <w:rsid w:val="00E566D3"/>
    <w:rsid w:val="00E5771C"/>
    <w:rsid w:val="00E57796"/>
    <w:rsid w:val="00E6055C"/>
    <w:rsid w:val="00E60804"/>
    <w:rsid w:val="00E60D42"/>
    <w:rsid w:val="00E613D1"/>
    <w:rsid w:val="00E61457"/>
    <w:rsid w:val="00E61485"/>
    <w:rsid w:val="00E62C11"/>
    <w:rsid w:val="00E62D74"/>
    <w:rsid w:val="00E62D75"/>
    <w:rsid w:val="00E63B08"/>
    <w:rsid w:val="00E6542C"/>
    <w:rsid w:val="00E65616"/>
    <w:rsid w:val="00E6580E"/>
    <w:rsid w:val="00E669C6"/>
    <w:rsid w:val="00E66D39"/>
    <w:rsid w:val="00E66FAB"/>
    <w:rsid w:val="00E670DD"/>
    <w:rsid w:val="00E67FF5"/>
    <w:rsid w:val="00E70977"/>
    <w:rsid w:val="00E70F68"/>
    <w:rsid w:val="00E72B22"/>
    <w:rsid w:val="00E72C90"/>
    <w:rsid w:val="00E73A7C"/>
    <w:rsid w:val="00E74177"/>
    <w:rsid w:val="00E74348"/>
    <w:rsid w:val="00E75049"/>
    <w:rsid w:val="00E764EA"/>
    <w:rsid w:val="00E769B7"/>
    <w:rsid w:val="00E77238"/>
    <w:rsid w:val="00E772C8"/>
    <w:rsid w:val="00E7732D"/>
    <w:rsid w:val="00E775B7"/>
    <w:rsid w:val="00E801F2"/>
    <w:rsid w:val="00E816B2"/>
    <w:rsid w:val="00E81D5E"/>
    <w:rsid w:val="00E82022"/>
    <w:rsid w:val="00E82858"/>
    <w:rsid w:val="00E82B62"/>
    <w:rsid w:val="00E832D4"/>
    <w:rsid w:val="00E83911"/>
    <w:rsid w:val="00E83948"/>
    <w:rsid w:val="00E83D3D"/>
    <w:rsid w:val="00E842B0"/>
    <w:rsid w:val="00E84713"/>
    <w:rsid w:val="00E85660"/>
    <w:rsid w:val="00E859A9"/>
    <w:rsid w:val="00E85C02"/>
    <w:rsid w:val="00E85C5A"/>
    <w:rsid w:val="00E85C6E"/>
    <w:rsid w:val="00E85FDB"/>
    <w:rsid w:val="00E86296"/>
    <w:rsid w:val="00E863A8"/>
    <w:rsid w:val="00E86C7D"/>
    <w:rsid w:val="00E87EEB"/>
    <w:rsid w:val="00E90726"/>
    <w:rsid w:val="00E9111C"/>
    <w:rsid w:val="00E91292"/>
    <w:rsid w:val="00E91379"/>
    <w:rsid w:val="00E91D23"/>
    <w:rsid w:val="00E927E8"/>
    <w:rsid w:val="00E92A44"/>
    <w:rsid w:val="00E92A57"/>
    <w:rsid w:val="00E92B6B"/>
    <w:rsid w:val="00E939FD"/>
    <w:rsid w:val="00E93BE4"/>
    <w:rsid w:val="00E93E15"/>
    <w:rsid w:val="00E94269"/>
    <w:rsid w:val="00E9490E"/>
    <w:rsid w:val="00E94C23"/>
    <w:rsid w:val="00E94DDC"/>
    <w:rsid w:val="00E95576"/>
    <w:rsid w:val="00E9669F"/>
    <w:rsid w:val="00E96B2E"/>
    <w:rsid w:val="00E96DFA"/>
    <w:rsid w:val="00E9767D"/>
    <w:rsid w:val="00E97774"/>
    <w:rsid w:val="00E97AAB"/>
    <w:rsid w:val="00E97DCA"/>
    <w:rsid w:val="00E97DF0"/>
    <w:rsid w:val="00EA1DDA"/>
    <w:rsid w:val="00EA30AA"/>
    <w:rsid w:val="00EA3C07"/>
    <w:rsid w:val="00EA3D80"/>
    <w:rsid w:val="00EA5313"/>
    <w:rsid w:val="00EA5696"/>
    <w:rsid w:val="00EA65E5"/>
    <w:rsid w:val="00EA7037"/>
    <w:rsid w:val="00EA71FF"/>
    <w:rsid w:val="00EA7549"/>
    <w:rsid w:val="00EA7849"/>
    <w:rsid w:val="00EB012C"/>
    <w:rsid w:val="00EB0B82"/>
    <w:rsid w:val="00EB1C74"/>
    <w:rsid w:val="00EB2A17"/>
    <w:rsid w:val="00EB2AEA"/>
    <w:rsid w:val="00EB2FFC"/>
    <w:rsid w:val="00EB3050"/>
    <w:rsid w:val="00EB32E9"/>
    <w:rsid w:val="00EB337B"/>
    <w:rsid w:val="00EB33A1"/>
    <w:rsid w:val="00EB3512"/>
    <w:rsid w:val="00EB36E7"/>
    <w:rsid w:val="00EB5628"/>
    <w:rsid w:val="00EB6C4D"/>
    <w:rsid w:val="00EB6C9B"/>
    <w:rsid w:val="00EB77D9"/>
    <w:rsid w:val="00EC0ADD"/>
    <w:rsid w:val="00EC0E23"/>
    <w:rsid w:val="00EC12B4"/>
    <w:rsid w:val="00EC1478"/>
    <w:rsid w:val="00EC149F"/>
    <w:rsid w:val="00EC1570"/>
    <w:rsid w:val="00EC19BD"/>
    <w:rsid w:val="00EC28B5"/>
    <w:rsid w:val="00EC2AFC"/>
    <w:rsid w:val="00EC37D5"/>
    <w:rsid w:val="00EC40A6"/>
    <w:rsid w:val="00EC46DB"/>
    <w:rsid w:val="00EC4E55"/>
    <w:rsid w:val="00EC584F"/>
    <w:rsid w:val="00EC624E"/>
    <w:rsid w:val="00EC62CF"/>
    <w:rsid w:val="00EC6326"/>
    <w:rsid w:val="00EC683E"/>
    <w:rsid w:val="00EC6982"/>
    <w:rsid w:val="00EC6D8F"/>
    <w:rsid w:val="00EC6F42"/>
    <w:rsid w:val="00EC720B"/>
    <w:rsid w:val="00EC7E72"/>
    <w:rsid w:val="00EC7E95"/>
    <w:rsid w:val="00ED01B4"/>
    <w:rsid w:val="00ED0377"/>
    <w:rsid w:val="00ED1F49"/>
    <w:rsid w:val="00ED221A"/>
    <w:rsid w:val="00ED3105"/>
    <w:rsid w:val="00ED3644"/>
    <w:rsid w:val="00ED37FB"/>
    <w:rsid w:val="00ED3DBD"/>
    <w:rsid w:val="00ED4085"/>
    <w:rsid w:val="00ED4468"/>
    <w:rsid w:val="00ED47B2"/>
    <w:rsid w:val="00ED4C87"/>
    <w:rsid w:val="00ED4E74"/>
    <w:rsid w:val="00ED4ECD"/>
    <w:rsid w:val="00ED5051"/>
    <w:rsid w:val="00ED5956"/>
    <w:rsid w:val="00ED59C6"/>
    <w:rsid w:val="00ED5E6B"/>
    <w:rsid w:val="00ED6F8F"/>
    <w:rsid w:val="00ED7C40"/>
    <w:rsid w:val="00EE0050"/>
    <w:rsid w:val="00EE0191"/>
    <w:rsid w:val="00EE0F00"/>
    <w:rsid w:val="00EE11CC"/>
    <w:rsid w:val="00EE14EA"/>
    <w:rsid w:val="00EE16F0"/>
    <w:rsid w:val="00EE4F61"/>
    <w:rsid w:val="00EE539E"/>
    <w:rsid w:val="00EE5763"/>
    <w:rsid w:val="00EE5847"/>
    <w:rsid w:val="00EE5FCE"/>
    <w:rsid w:val="00EE6208"/>
    <w:rsid w:val="00EE6C0E"/>
    <w:rsid w:val="00EE75ED"/>
    <w:rsid w:val="00EF0578"/>
    <w:rsid w:val="00EF089C"/>
    <w:rsid w:val="00EF0EEB"/>
    <w:rsid w:val="00EF1397"/>
    <w:rsid w:val="00EF190C"/>
    <w:rsid w:val="00EF208C"/>
    <w:rsid w:val="00EF28F4"/>
    <w:rsid w:val="00EF2D83"/>
    <w:rsid w:val="00EF34CB"/>
    <w:rsid w:val="00EF3FD5"/>
    <w:rsid w:val="00EF46AC"/>
    <w:rsid w:val="00EF52F5"/>
    <w:rsid w:val="00EF6495"/>
    <w:rsid w:val="00EF6E01"/>
    <w:rsid w:val="00EF7AC1"/>
    <w:rsid w:val="00EF7C44"/>
    <w:rsid w:val="00F00266"/>
    <w:rsid w:val="00F0095E"/>
    <w:rsid w:val="00F02802"/>
    <w:rsid w:val="00F030E8"/>
    <w:rsid w:val="00F032D0"/>
    <w:rsid w:val="00F03D36"/>
    <w:rsid w:val="00F047DA"/>
    <w:rsid w:val="00F047F9"/>
    <w:rsid w:val="00F05075"/>
    <w:rsid w:val="00F0523E"/>
    <w:rsid w:val="00F0668E"/>
    <w:rsid w:val="00F066A6"/>
    <w:rsid w:val="00F06739"/>
    <w:rsid w:val="00F06B5C"/>
    <w:rsid w:val="00F06F79"/>
    <w:rsid w:val="00F07263"/>
    <w:rsid w:val="00F07316"/>
    <w:rsid w:val="00F07B05"/>
    <w:rsid w:val="00F07B76"/>
    <w:rsid w:val="00F07CEE"/>
    <w:rsid w:val="00F1048F"/>
    <w:rsid w:val="00F10A72"/>
    <w:rsid w:val="00F12B48"/>
    <w:rsid w:val="00F13A44"/>
    <w:rsid w:val="00F13A6A"/>
    <w:rsid w:val="00F13EDA"/>
    <w:rsid w:val="00F14A52"/>
    <w:rsid w:val="00F1522E"/>
    <w:rsid w:val="00F1538A"/>
    <w:rsid w:val="00F15467"/>
    <w:rsid w:val="00F159C9"/>
    <w:rsid w:val="00F1631B"/>
    <w:rsid w:val="00F1640E"/>
    <w:rsid w:val="00F16E91"/>
    <w:rsid w:val="00F17966"/>
    <w:rsid w:val="00F179CF"/>
    <w:rsid w:val="00F17F47"/>
    <w:rsid w:val="00F20124"/>
    <w:rsid w:val="00F202F7"/>
    <w:rsid w:val="00F20536"/>
    <w:rsid w:val="00F215E1"/>
    <w:rsid w:val="00F21CAF"/>
    <w:rsid w:val="00F22359"/>
    <w:rsid w:val="00F225DC"/>
    <w:rsid w:val="00F23083"/>
    <w:rsid w:val="00F2337C"/>
    <w:rsid w:val="00F23398"/>
    <w:rsid w:val="00F23FA6"/>
    <w:rsid w:val="00F243A7"/>
    <w:rsid w:val="00F2516F"/>
    <w:rsid w:val="00F25CCC"/>
    <w:rsid w:val="00F25F20"/>
    <w:rsid w:val="00F2670B"/>
    <w:rsid w:val="00F26FAA"/>
    <w:rsid w:val="00F2761B"/>
    <w:rsid w:val="00F27E62"/>
    <w:rsid w:val="00F31611"/>
    <w:rsid w:val="00F3180B"/>
    <w:rsid w:val="00F31A8B"/>
    <w:rsid w:val="00F31D16"/>
    <w:rsid w:val="00F3251A"/>
    <w:rsid w:val="00F32F60"/>
    <w:rsid w:val="00F33822"/>
    <w:rsid w:val="00F33B7A"/>
    <w:rsid w:val="00F3457A"/>
    <w:rsid w:val="00F35460"/>
    <w:rsid w:val="00F357D5"/>
    <w:rsid w:val="00F3592F"/>
    <w:rsid w:val="00F35951"/>
    <w:rsid w:val="00F365E2"/>
    <w:rsid w:val="00F366D6"/>
    <w:rsid w:val="00F36BDF"/>
    <w:rsid w:val="00F40096"/>
    <w:rsid w:val="00F403B5"/>
    <w:rsid w:val="00F408A7"/>
    <w:rsid w:val="00F40D5B"/>
    <w:rsid w:val="00F410B1"/>
    <w:rsid w:val="00F43B76"/>
    <w:rsid w:val="00F4408E"/>
    <w:rsid w:val="00F44474"/>
    <w:rsid w:val="00F446EE"/>
    <w:rsid w:val="00F45FC1"/>
    <w:rsid w:val="00F461C5"/>
    <w:rsid w:val="00F46664"/>
    <w:rsid w:val="00F46714"/>
    <w:rsid w:val="00F46902"/>
    <w:rsid w:val="00F46BA5"/>
    <w:rsid w:val="00F46C7B"/>
    <w:rsid w:val="00F47EEB"/>
    <w:rsid w:val="00F50011"/>
    <w:rsid w:val="00F50BD9"/>
    <w:rsid w:val="00F50CA3"/>
    <w:rsid w:val="00F50DC7"/>
    <w:rsid w:val="00F516CA"/>
    <w:rsid w:val="00F52215"/>
    <w:rsid w:val="00F5240A"/>
    <w:rsid w:val="00F526CD"/>
    <w:rsid w:val="00F52A38"/>
    <w:rsid w:val="00F53425"/>
    <w:rsid w:val="00F536F8"/>
    <w:rsid w:val="00F5429B"/>
    <w:rsid w:val="00F543F5"/>
    <w:rsid w:val="00F5490B"/>
    <w:rsid w:val="00F55009"/>
    <w:rsid w:val="00F550E9"/>
    <w:rsid w:val="00F554E9"/>
    <w:rsid w:val="00F55A34"/>
    <w:rsid w:val="00F55E2F"/>
    <w:rsid w:val="00F56E2D"/>
    <w:rsid w:val="00F57059"/>
    <w:rsid w:val="00F573DC"/>
    <w:rsid w:val="00F60DF0"/>
    <w:rsid w:val="00F6158C"/>
    <w:rsid w:val="00F62B2B"/>
    <w:rsid w:val="00F63074"/>
    <w:rsid w:val="00F63A82"/>
    <w:rsid w:val="00F65969"/>
    <w:rsid w:val="00F65E68"/>
    <w:rsid w:val="00F65F49"/>
    <w:rsid w:val="00F66222"/>
    <w:rsid w:val="00F67A51"/>
    <w:rsid w:val="00F70243"/>
    <w:rsid w:val="00F70CEB"/>
    <w:rsid w:val="00F719D9"/>
    <w:rsid w:val="00F71A68"/>
    <w:rsid w:val="00F72AE6"/>
    <w:rsid w:val="00F72C25"/>
    <w:rsid w:val="00F72F87"/>
    <w:rsid w:val="00F7317B"/>
    <w:rsid w:val="00F7375E"/>
    <w:rsid w:val="00F74553"/>
    <w:rsid w:val="00F745E0"/>
    <w:rsid w:val="00F74837"/>
    <w:rsid w:val="00F7655D"/>
    <w:rsid w:val="00F7787B"/>
    <w:rsid w:val="00F77970"/>
    <w:rsid w:val="00F77BC7"/>
    <w:rsid w:val="00F77C94"/>
    <w:rsid w:val="00F803D8"/>
    <w:rsid w:val="00F808DB"/>
    <w:rsid w:val="00F80F52"/>
    <w:rsid w:val="00F8108E"/>
    <w:rsid w:val="00F81636"/>
    <w:rsid w:val="00F816C1"/>
    <w:rsid w:val="00F81829"/>
    <w:rsid w:val="00F81AD5"/>
    <w:rsid w:val="00F81BD3"/>
    <w:rsid w:val="00F8207B"/>
    <w:rsid w:val="00F828BC"/>
    <w:rsid w:val="00F82DCD"/>
    <w:rsid w:val="00F82E22"/>
    <w:rsid w:val="00F831DD"/>
    <w:rsid w:val="00F83595"/>
    <w:rsid w:val="00F835EB"/>
    <w:rsid w:val="00F837F5"/>
    <w:rsid w:val="00F8406B"/>
    <w:rsid w:val="00F84119"/>
    <w:rsid w:val="00F844DD"/>
    <w:rsid w:val="00F8472A"/>
    <w:rsid w:val="00F84980"/>
    <w:rsid w:val="00F84AA3"/>
    <w:rsid w:val="00F86030"/>
    <w:rsid w:val="00F864E9"/>
    <w:rsid w:val="00F86609"/>
    <w:rsid w:val="00F8664B"/>
    <w:rsid w:val="00F867B0"/>
    <w:rsid w:val="00F86976"/>
    <w:rsid w:val="00F86EBC"/>
    <w:rsid w:val="00F870FF"/>
    <w:rsid w:val="00F87F93"/>
    <w:rsid w:val="00F90C50"/>
    <w:rsid w:val="00F91AC0"/>
    <w:rsid w:val="00F91CDD"/>
    <w:rsid w:val="00F93249"/>
    <w:rsid w:val="00F9359C"/>
    <w:rsid w:val="00F951AA"/>
    <w:rsid w:val="00F956C4"/>
    <w:rsid w:val="00F963CB"/>
    <w:rsid w:val="00F971A4"/>
    <w:rsid w:val="00F978BF"/>
    <w:rsid w:val="00F97E8B"/>
    <w:rsid w:val="00FA0855"/>
    <w:rsid w:val="00FA0ABE"/>
    <w:rsid w:val="00FA0D53"/>
    <w:rsid w:val="00FA1AD8"/>
    <w:rsid w:val="00FA1C7A"/>
    <w:rsid w:val="00FA1CCF"/>
    <w:rsid w:val="00FA28E7"/>
    <w:rsid w:val="00FA29FE"/>
    <w:rsid w:val="00FA41A3"/>
    <w:rsid w:val="00FA6245"/>
    <w:rsid w:val="00FA6514"/>
    <w:rsid w:val="00FA6E0B"/>
    <w:rsid w:val="00FA7268"/>
    <w:rsid w:val="00FA78B3"/>
    <w:rsid w:val="00FB0086"/>
    <w:rsid w:val="00FB0301"/>
    <w:rsid w:val="00FB0BE8"/>
    <w:rsid w:val="00FB0D5A"/>
    <w:rsid w:val="00FB1A4D"/>
    <w:rsid w:val="00FB2393"/>
    <w:rsid w:val="00FB3040"/>
    <w:rsid w:val="00FB36AC"/>
    <w:rsid w:val="00FB3C03"/>
    <w:rsid w:val="00FB3E68"/>
    <w:rsid w:val="00FB45C6"/>
    <w:rsid w:val="00FB4E92"/>
    <w:rsid w:val="00FB4F92"/>
    <w:rsid w:val="00FB4FBD"/>
    <w:rsid w:val="00FB52A3"/>
    <w:rsid w:val="00FB538A"/>
    <w:rsid w:val="00FB5D74"/>
    <w:rsid w:val="00FB6D83"/>
    <w:rsid w:val="00FB6DA6"/>
    <w:rsid w:val="00FB6E3C"/>
    <w:rsid w:val="00FB7E16"/>
    <w:rsid w:val="00FB7E6C"/>
    <w:rsid w:val="00FB7EB7"/>
    <w:rsid w:val="00FB7F4D"/>
    <w:rsid w:val="00FC01DC"/>
    <w:rsid w:val="00FC0BEE"/>
    <w:rsid w:val="00FC1420"/>
    <w:rsid w:val="00FC1E34"/>
    <w:rsid w:val="00FC2B1C"/>
    <w:rsid w:val="00FC42E8"/>
    <w:rsid w:val="00FC4A6B"/>
    <w:rsid w:val="00FC4B25"/>
    <w:rsid w:val="00FC582F"/>
    <w:rsid w:val="00FC5B18"/>
    <w:rsid w:val="00FC5C33"/>
    <w:rsid w:val="00FC5C80"/>
    <w:rsid w:val="00FC5DC1"/>
    <w:rsid w:val="00FC5DE4"/>
    <w:rsid w:val="00FC61D9"/>
    <w:rsid w:val="00FC633F"/>
    <w:rsid w:val="00FC689C"/>
    <w:rsid w:val="00FC7254"/>
    <w:rsid w:val="00FC7A98"/>
    <w:rsid w:val="00FC7C42"/>
    <w:rsid w:val="00FD0593"/>
    <w:rsid w:val="00FD0839"/>
    <w:rsid w:val="00FD0845"/>
    <w:rsid w:val="00FD13BF"/>
    <w:rsid w:val="00FD16B9"/>
    <w:rsid w:val="00FD189B"/>
    <w:rsid w:val="00FD18B5"/>
    <w:rsid w:val="00FD1A4E"/>
    <w:rsid w:val="00FD1CE9"/>
    <w:rsid w:val="00FD20BD"/>
    <w:rsid w:val="00FD2CD8"/>
    <w:rsid w:val="00FD3B78"/>
    <w:rsid w:val="00FD414C"/>
    <w:rsid w:val="00FD42FB"/>
    <w:rsid w:val="00FD4D86"/>
    <w:rsid w:val="00FD4FD4"/>
    <w:rsid w:val="00FD503D"/>
    <w:rsid w:val="00FD602F"/>
    <w:rsid w:val="00FD7B72"/>
    <w:rsid w:val="00FE03A0"/>
    <w:rsid w:val="00FE060F"/>
    <w:rsid w:val="00FE1605"/>
    <w:rsid w:val="00FE19A8"/>
    <w:rsid w:val="00FE2438"/>
    <w:rsid w:val="00FE25E7"/>
    <w:rsid w:val="00FE2C34"/>
    <w:rsid w:val="00FE2DF0"/>
    <w:rsid w:val="00FE3403"/>
    <w:rsid w:val="00FE376A"/>
    <w:rsid w:val="00FE4388"/>
    <w:rsid w:val="00FE4BD4"/>
    <w:rsid w:val="00FE4BF9"/>
    <w:rsid w:val="00FE4F7C"/>
    <w:rsid w:val="00FE5813"/>
    <w:rsid w:val="00FE5FB1"/>
    <w:rsid w:val="00FE6CA9"/>
    <w:rsid w:val="00FE71ED"/>
    <w:rsid w:val="00FE79D6"/>
    <w:rsid w:val="00FE7EE6"/>
    <w:rsid w:val="00FF04AD"/>
    <w:rsid w:val="00FF171A"/>
    <w:rsid w:val="00FF19E4"/>
    <w:rsid w:val="00FF2574"/>
    <w:rsid w:val="00FF28A1"/>
    <w:rsid w:val="00FF308F"/>
    <w:rsid w:val="00FF3BF8"/>
    <w:rsid w:val="00FF3C75"/>
    <w:rsid w:val="00FF4564"/>
    <w:rsid w:val="00FF4B4E"/>
    <w:rsid w:val="00FF5318"/>
    <w:rsid w:val="00FF5A22"/>
    <w:rsid w:val="00FF64AB"/>
    <w:rsid w:val="00FF7098"/>
    <w:rsid w:val="00FF7123"/>
    <w:rsid w:val="00FF7833"/>
    <w:rsid w:val="00FF79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F6C26F-47A7-4466-B4F0-411844AFD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2917"/>
    <w:pPr>
      <w:spacing w:after="120" w:line="240" w:lineRule="auto"/>
      <w:jc w:val="both"/>
    </w:pPr>
    <w:rPr>
      <w:rFonts w:ascii="Calibri" w:eastAsia="Times New Roman" w:hAnsi="Calibri" w:cs="Times New Roman"/>
      <w:sz w:val="20"/>
      <w:szCs w:val="24"/>
      <w:lang w:val="en-US"/>
    </w:rPr>
  </w:style>
  <w:style w:type="paragraph" w:styleId="Heading1">
    <w:name w:val="heading 1"/>
    <w:basedOn w:val="Normal"/>
    <w:next w:val="Normal"/>
    <w:link w:val="Heading1Char1"/>
    <w:uiPriority w:val="9"/>
    <w:qFormat/>
    <w:rsid w:val="00F46C7B"/>
    <w:pPr>
      <w:keepNext/>
      <w:spacing w:before="240" w:after="60"/>
      <w:outlineLvl w:val="0"/>
    </w:pPr>
    <w:rPr>
      <w:rFonts w:ascii="Cambria" w:eastAsia="SimSun" w:hAnsi="Cambria"/>
      <w:b/>
      <w:kern w:val="32"/>
      <w:sz w:val="32"/>
      <w:szCs w:val="20"/>
    </w:rPr>
  </w:style>
  <w:style w:type="paragraph" w:styleId="Heading2">
    <w:name w:val="heading 2"/>
    <w:basedOn w:val="Normal"/>
    <w:next w:val="Normal"/>
    <w:link w:val="Heading2Char"/>
    <w:uiPriority w:val="9"/>
    <w:qFormat/>
    <w:rsid w:val="00F46C7B"/>
    <w:pPr>
      <w:keepNext/>
      <w:numPr>
        <w:ilvl w:val="1"/>
        <w:numId w:val="4"/>
      </w:numPr>
      <w:shd w:val="clear" w:color="auto" w:fill="8DB3E2"/>
      <w:tabs>
        <w:tab w:val="left" w:pos="941"/>
        <w:tab w:val="num" w:pos="1440"/>
      </w:tabs>
      <w:ind w:left="1440"/>
      <w:outlineLvl w:val="1"/>
    </w:pPr>
    <w:rPr>
      <w:rFonts w:asciiTheme="minorHAnsi" w:hAnsiTheme="minorHAnsi"/>
      <w:b/>
      <w:bCs/>
      <w:iCs/>
      <w:caps/>
      <w:color w:val="FFFFFF"/>
      <w:szCs w:val="20"/>
    </w:rPr>
  </w:style>
  <w:style w:type="paragraph" w:styleId="Heading3">
    <w:name w:val="heading 3"/>
    <w:basedOn w:val="Normal"/>
    <w:next w:val="Normal"/>
    <w:link w:val="Heading3Char"/>
    <w:qFormat/>
    <w:rsid w:val="00F46C7B"/>
    <w:pPr>
      <w:keepNext/>
      <w:spacing w:before="240" w:after="60"/>
      <w:outlineLvl w:val="2"/>
    </w:pPr>
    <w:rPr>
      <w:rFonts w:ascii="Cambria" w:eastAsia="SimSun" w:hAnsi="Cambria"/>
      <w:b/>
      <w:sz w:val="26"/>
      <w:szCs w:val="20"/>
    </w:rPr>
  </w:style>
  <w:style w:type="paragraph" w:styleId="Heading4">
    <w:name w:val="heading 4"/>
    <w:basedOn w:val="Normal"/>
    <w:next w:val="Normal"/>
    <w:link w:val="Heading4Char"/>
    <w:qFormat/>
    <w:rsid w:val="00F46C7B"/>
    <w:pPr>
      <w:keepNext/>
      <w:spacing w:before="240" w:after="60"/>
      <w:outlineLvl w:val="3"/>
    </w:pPr>
    <w:rPr>
      <w:rFonts w:eastAsia="SimSun"/>
      <w:b/>
      <w:sz w:val="28"/>
      <w:szCs w:val="20"/>
    </w:rPr>
  </w:style>
  <w:style w:type="paragraph" w:styleId="Heading5">
    <w:name w:val="heading 5"/>
    <w:basedOn w:val="Normal"/>
    <w:next w:val="Normal"/>
    <w:link w:val="Heading5Char1"/>
    <w:qFormat/>
    <w:rsid w:val="00F46C7B"/>
    <w:pPr>
      <w:spacing w:before="240" w:after="60"/>
      <w:outlineLvl w:val="4"/>
    </w:pPr>
    <w:rPr>
      <w:rFonts w:eastAsia="SimSun"/>
      <w:b/>
      <w:i/>
      <w:sz w:val="26"/>
      <w:szCs w:val="20"/>
    </w:rPr>
  </w:style>
  <w:style w:type="paragraph" w:styleId="Heading6">
    <w:name w:val="heading 6"/>
    <w:basedOn w:val="Normal"/>
    <w:next w:val="Normal"/>
    <w:link w:val="Heading6Char"/>
    <w:qFormat/>
    <w:rsid w:val="00F46C7B"/>
    <w:pPr>
      <w:spacing w:before="240" w:after="60"/>
      <w:outlineLvl w:val="5"/>
    </w:pPr>
    <w:rPr>
      <w:rFonts w:eastAsia="SimSun"/>
      <w:b/>
      <w:szCs w:val="20"/>
    </w:rPr>
  </w:style>
  <w:style w:type="paragraph" w:styleId="Heading7">
    <w:name w:val="heading 7"/>
    <w:basedOn w:val="Normal"/>
    <w:next w:val="Normal"/>
    <w:link w:val="Heading7Char"/>
    <w:qFormat/>
    <w:rsid w:val="00F46C7B"/>
    <w:pPr>
      <w:spacing w:before="240" w:after="60"/>
      <w:outlineLvl w:val="6"/>
    </w:pPr>
    <w:rPr>
      <w:rFonts w:eastAsia="SimSun"/>
      <w:sz w:val="24"/>
      <w:szCs w:val="20"/>
    </w:rPr>
  </w:style>
  <w:style w:type="paragraph" w:styleId="Heading8">
    <w:name w:val="heading 8"/>
    <w:basedOn w:val="Normal"/>
    <w:next w:val="Normal"/>
    <w:link w:val="Heading8Char"/>
    <w:qFormat/>
    <w:rsid w:val="00F46C7B"/>
    <w:pPr>
      <w:spacing w:before="240" w:after="60"/>
      <w:outlineLvl w:val="7"/>
    </w:pPr>
    <w:rPr>
      <w:rFonts w:eastAsia="SimSun"/>
      <w:i/>
      <w:sz w:val="24"/>
      <w:szCs w:val="20"/>
    </w:rPr>
  </w:style>
  <w:style w:type="paragraph" w:styleId="Heading9">
    <w:name w:val="heading 9"/>
    <w:basedOn w:val="Normal"/>
    <w:next w:val="Normal"/>
    <w:link w:val="Heading9Char"/>
    <w:qFormat/>
    <w:rsid w:val="00F46C7B"/>
    <w:pPr>
      <w:spacing w:before="240" w:after="60"/>
      <w:outlineLvl w:val="8"/>
    </w:pPr>
    <w:rPr>
      <w:rFonts w:ascii="Cambria" w:eastAsia="SimSun" w:hAnsi="Cambria"/>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rsid w:val="00F46C7B"/>
    <w:rPr>
      <w:rFonts w:ascii="Cambria" w:eastAsia="SimSun" w:hAnsi="Cambria" w:cs="Times New Roman"/>
      <w:b/>
      <w:kern w:val="32"/>
      <w:sz w:val="32"/>
      <w:szCs w:val="20"/>
      <w:lang w:val="en-US"/>
    </w:rPr>
  </w:style>
  <w:style w:type="character" w:customStyle="1" w:styleId="Heading2Char">
    <w:name w:val="Heading 2 Char"/>
    <w:basedOn w:val="DefaultParagraphFont"/>
    <w:link w:val="Heading2"/>
    <w:uiPriority w:val="9"/>
    <w:rsid w:val="00F46C7B"/>
    <w:rPr>
      <w:rFonts w:eastAsia="Times New Roman" w:cs="Times New Roman"/>
      <w:b/>
      <w:bCs/>
      <w:iCs/>
      <w:caps/>
      <w:color w:val="FFFFFF"/>
      <w:sz w:val="20"/>
      <w:szCs w:val="20"/>
      <w:shd w:val="clear" w:color="auto" w:fill="8DB3E2"/>
      <w:lang w:val="en-US"/>
    </w:rPr>
  </w:style>
  <w:style w:type="character" w:customStyle="1" w:styleId="Heading3Char">
    <w:name w:val="Heading 3 Char"/>
    <w:basedOn w:val="DefaultParagraphFont"/>
    <w:link w:val="Heading3"/>
    <w:uiPriority w:val="9"/>
    <w:rsid w:val="00F46C7B"/>
    <w:rPr>
      <w:rFonts w:ascii="Cambria" w:eastAsia="SimSun" w:hAnsi="Cambria" w:cs="Times New Roman"/>
      <w:b/>
      <w:sz w:val="26"/>
      <w:szCs w:val="20"/>
      <w:lang w:val="en-US"/>
    </w:rPr>
  </w:style>
  <w:style w:type="character" w:customStyle="1" w:styleId="Heading4Char">
    <w:name w:val="Heading 4 Char"/>
    <w:basedOn w:val="DefaultParagraphFont"/>
    <w:link w:val="Heading4"/>
    <w:uiPriority w:val="9"/>
    <w:rsid w:val="00F46C7B"/>
    <w:rPr>
      <w:rFonts w:ascii="Calibri" w:eastAsia="SimSun" w:hAnsi="Calibri" w:cs="Times New Roman"/>
      <w:b/>
      <w:sz w:val="28"/>
      <w:szCs w:val="20"/>
      <w:lang w:val="en-US"/>
    </w:rPr>
  </w:style>
  <w:style w:type="character" w:customStyle="1" w:styleId="Heading5Char1">
    <w:name w:val="Heading 5 Char1"/>
    <w:basedOn w:val="DefaultParagraphFont"/>
    <w:link w:val="Heading5"/>
    <w:uiPriority w:val="9"/>
    <w:rsid w:val="00F46C7B"/>
    <w:rPr>
      <w:rFonts w:ascii="Calibri" w:eastAsia="SimSun" w:hAnsi="Calibri" w:cs="Times New Roman"/>
      <w:b/>
      <w:i/>
      <w:sz w:val="26"/>
      <w:szCs w:val="20"/>
      <w:lang w:val="en-US"/>
    </w:rPr>
  </w:style>
  <w:style w:type="character" w:customStyle="1" w:styleId="Heading6Char">
    <w:name w:val="Heading 6 Char"/>
    <w:basedOn w:val="DefaultParagraphFont"/>
    <w:link w:val="Heading6"/>
    <w:uiPriority w:val="9"/>
    <w:rsid w:val="00F46C7B"/>
    <w:rPr>
      <w:rFonts w:ascii="Calibri" w:eastAsia="SimSun" w:hAnsi="Calibri" w:cs="Times New Roman"/>
      <w:b/>
      <w:sz w:val="20"/>
      <w:szCs w:val="20"/>
      <w:lang w:val="en-US"/>
    </w:rPr>
  </w:style>
  <w:style w:type="character" w:customStyle="1" w:styleId="Heading7Char">
    <w:name w:val="Heading 7 Char"/>
    <w:basedOn w:val="DefaultParagraphFont"/>
    <w:link w:val="Heading7"/>
    <w:uiPriority w:val="9"/>
    <w:rsid w:val="00F46C7B"/>
    <w:rPr>
      <w:rFonts w:ascii="Calibri" w:eastAsia="SimSun" w:hAnsi="Calibri" w:cs="Times New Roman"/>
      <w:sz w:val="24"/>
      <w:szCs w:val="20"/>
      <w:lang w:val="en-US"/>
    </w:rPr>
  </w:style>
  <w:style w:type="character" w:customStyle="1" w:styleId="Heading8Char">
    <w:name w:val="Heading 8 Char"/>
    <w:basedOn w:val="DefaultParagraphFont"/>
    <w:link w:val="Heading8"/>
    <w:uiPriority w:val="9"/>
    <w:rsid w:val="00F46C7B"/>
    <w:rPr>
      <w:rFonts w:ascii="Calibri" w:eastAsia="SimSun" w:hAnsi="Calibri" w:cs="Times New Roman"/>
      <w:i/>
      <w:sz w:val="24"/>
      <w:szCs w:val="20"/>
      <w:lang w:val="en-US"/>
    </w:rPr>
  </w:style>
  <w:style w:type="character" w:customStyle="1" w:styleId="Heading9Char">
    <w:name w:val="Heading 9 Char"/>
    <w:basedOn w:val="DefaultParagraphFont"/>
    <w:link w:val="Heading9"/>
    <w:uiPriority w:val="9"/>
    <w:rsid w:val="00F46C7B"/>
    <w:rPr>
      <w:rFonts w:ascii="Cambria" w:eastAsia="SimSun" w:hAnsi="Cambria" w:cs="Times New Roman"/>
      <w:sz w:val="20"/>
      <w:szCs w:val="20"/>
      <w:lang w:val="en-US"/>
    </w:rPr>
  </w:style>
  <w:style w:type="character" w:customStyle="1" w:styleId="Heading1Char">
    <w:name w:val="Heading 1 Char"/>
    <w:basedOn w:val="DefaultParagraphFont"/>
    <w:uiPriority w:val="99"/>
    <w:locked/>
    <w:rsid w:val="00F46C7B"/>
    <w:rPr>
      <w:rFonts w:ascii="Tahoma" w:eastAsia="SimSun" w:hAnsi="Tahoma" w:cs="Times New Roman"/>
      <w:b/>
      <w:i/>
      <w:color w:val="666699"/>
      <w:kern w:val="28"/>
      <w:sz w:val="26"/>
      <w:lang w:val="en-GB"/>
    </w:rPr>
  </w:style>
  <w:style w:type="character" w:customStyle="1" w:styleId="Heading5Char">
    <w:name w:val="Heading 5 Char"/>
    <w:basedOn w:val="DefaultParagraphFont"/>
    <w:uiPriority w:val="99"/>
    <w:locked/>
    <w:rsid w:val="00F46C7B"/>
    <w:rPr>
      <w:rFonts w:ascii="Garamond" w:hAnsi="Garamond" w:cs="Times New Roman"/>
      <w:b/>
      <w:sz w:val="24"/>
      <w:lang w:eastAsia="fr-FR"/>
    </w:rPr>
  </w:style>
  <w:style w:type="paragraph" w:styleId="BodyText">
    <w:name w:val="Body Text"/>
    <w:aliases w:val="b,bt"/>
    <w:basedOn w:val="Normal"/>
    <w:link w:val="BodyTextChar2"/>
    <w:uiPriority w:val="99"/>
    <w:rsid w:val="00F46C7B"/>
    <w:pPr>
      <w:spacing w:after="240"/>
    </w:pPr>
    <w:rPr>
      <w:szCs w:val="20"/>
    </w:rPr>
  </w:style>
  <w:style w:type="character" w:customStyle="1" w:styleId="BodyTextChar2">
    <w:name w:val="Body Text Char2"/>
    <w:aliases w:val="b Char,bt Char"/>
    <w:basedOn w:val="DefaultParagraphFont"/>
    <w:link w:val="BodyText"/>
    <w:uiPriority w:val="99"/>
    <w:rsid w:val="00F46C7B"/>
    <w:rPr>
      <w:rFonts w:ascii="Times New Roman" w:eastAsia="Times New Roman" w:hAnsi="Times New Roman" w:cs="Times New Roman"/>
      <w:sz w:val="20"/>
      <w:szCs w:val="20"/>
      <w:lang w:val="en-US"/>
    </w:rPr>
  </w:style>
  <w:style w:type="character" w:customStyle="1" w:styleId="BodyTextChar">
    <w:name w:val="Body Text Char"/>
    <w:basedOn w:val="DefaultParagraphFont"/>
    <w:uiPriority w:val="99"/>
    <w:locked/>
    <w:rsid w:val="00F46C7B"/>
    <w:rPr>
      <w:rFonts w:ascii="Times New Roman" w:hAnsi="Times New Roman" w:cs="Times New Roman"/>
      <w:sz w:val="24"/>
    </w:rPr>
  </w:style>
  <w:style w:type="paragraph" w:styleId="BodyText2">
    <w:name w:val="Body Text 2"/>
    <w:aliases w:val="b2"/>
    <w:basedOn w:val="BodyText"/>
    <w:link w:val="BodyText2Char"/>
    <w:uiPriority w:val="99"/>
    <w:rsid w:val="00F46C7B"/>
    <w:pPr>
      <w:spacing w:after="120"/>
      <w:jc w:val="center"/>
    </w:pPr>
  </w:style>
  <w:style w:type="character" w:customStyle="1" w:styleId="BodyText2Char">
    <w:name w:val="Body Text 2 Char"/>
    <w:aliases w:val="b2 Char"/>
    <w:basedOn w:val="DefaultParagraphFont"/>
    <w:link w:val="BodyText2"/>
    <w:uiPriority w:val="99"/>
    <w:rsid w:val="00F46C7B"/>
    <w:rPr>
      <w:rFonts w:ascii="Times New Roman" w:eastAsia="Times New Roman" w:hAnsi="Times New Roman" w:cs="Times New Roman"/>
      <w:sz w:val="20"/>
      <w:szCs w:val="20"/>
      <w:lang w:val="en-US"/>
    </w:rPr>
  </w:style>
  <w:style w:type="paragraph" w:styleId="Header">
    <w:name w:val="header"/>
    <w:basedOn w:val="Normal"/>
    <w:link w:val="HeaderChar1"/>
    <w:uiPriority w:val="99"/>
    <w:rsid w:val="00F46C7B"/>
    <w:pPr>
      <w:widowControl w:val="0"/>
      <w:tabs>
        <w:tab w:val="center" w:pos="4320"/>
        <w:tab w:val="right" w:pos="8640"/>
      </w:tabs>
    </w:pPr>
    <w:rPr>
      <w:szCs w:val="20"/>
    </w:rPr>
  </w:style>
  <w:style w:type="character" w:customStyle="1" w:styleId="HeaderChar1">
    <w:name w:val="Header Char1"/>
    <w:basedOn w:val="DefaultParagraphFont"/>
    <w:link w:val="Header"/>
    <w:uiPriority w:val="99"/>
    <w:rsid w:val="00F46C7B"/>
    <w:rPr>
      <w:rFonts w:ascii="Times New Roman" w:eastAsia="Times New Roman" w:hAnsi="Times New Roman" w:cs="Times New Roman"/>
      <w:sz w:val="20"/>
      <w:szCs w:val="20"/>
      <w:lang w:val="en-US"/>
    </w:rPr>
  </w:style>
  <w:style w:type="character" w:customStyle="1" w:styleId="HeaderChar">
    <w:name w:val="Header Char"/>
    <w:basedOn w:val="DefaultParagraphFont"/>
    <w:uiPriority w:val="99"/>
    <w:locked/>
    <w:rsid w:val="00F46C7B"/>
    <w:rPr>
      <w:rFonts w:ascii="Trebuchet MS" w:hAnsi="Trebuchet MS" w:cs="Times New Roman"/>
      <w:sz w:val="20"/>
    </w:rPr>
  </w:style>
  <w:style w:type="paragraph" w:styleId="BodyText3">
    <w:name w:val="Body Text 3"/>
    <w:aliases w:val="b3"/>
    <w:basedOn w:val="Normal"/>
    <w:link w:val="BodyText3Char"/>
    <w:uiPriority w:val="99"/>
    <w:rsid w:val="00F46C7B"/>
    <w:pPr>
      <w:spacing w:after="240"/>
    </w:pPr>
    <w:rPr>
      <w:i/>
      <w:szCs w:val="20"/>
    </w:rPr>
  </w:style>
  <w:style w:type="character" w:customStyle="1" w:styleId="BodyText3Char">
    <w:name w:val="Body Text 3 Char"/>
    <w:aliases w:val="b3 Char"/>
    <w:basedOn w:val="DefaultParagraphFont"/>
    <w:link w:val="BodyText3"/>
    <w:uiPriority w:val="99"/>
    <w:rsid w:val="00F46C7B"/>
    <w:rPr>
      <w:rFonts w:ascii="Times New Roman" w:eastAsia="Times New Roman" w:hAnsi="Times New Roman" w:cs="Times New Roman"/>
      <w:i/>
      <w:sz w:val="20"/>
      <w:szCs w:val="20"/>
      <w:lang w:val="en-US"/>
    </w:rPr>
  </w:style>
  <w:style w:type="character" w:styleId="Hyperlink">
    <w:name w:val="Hyperlink"/>
    <w:basedOn w:val="DefaultParagraphFont"/>
    <w:uiPriority w:val="99"/>
    <w:rsid w:val="00F46C7B"/>
    <w:rPr>
      <w:rFonts w:cs="Times New Roman"/>
      <w:color w:val="0000FF"/>
      <w:u w:val="single"/>
    </w:rPr>
  </w:style>
  <w:style w:type="paragraph" w:styleId="Footer">
    <w:name w:val="footer"/>
    <w:basedOn w:val="Normal"/>
    <w:link w:val="FooterChar1"/>
    <w:uiPriority w:val="99"/>
    <w:rsid w:val="00F46C7B"/>
    <w:pPr>
      <w:tabs>
        <w:tab w:val="center" w:pos="4536"/>
        <w:tab w:val="right" w:pos="9072"/>
      </w:tabs>
    </w:pPr>
    <w:rPr>
      <w:sz w:val="24"/>
      <w:szCs w:val="20"/>
    </w:rPr>
  </w:style>
  <w:style w:type="character" w:customStyle="1" w:styleId="FooterChar1">
    <w:name w:val="Footer Char1"/>
    <w:basedOn w:val="DefaultParagraphFont"/>
    <w:link w:val="Footer"/>
    <w:uiPriority w:val="99"/>
    <w:rsid w:val="00F46C7B"/>
    <w:rPr>
      <w:rFonts w:ascii="Times New Roman" w:eastAsia="Times New Roman" w:hAnsi="Times New Roman" w:cs="Times New Roman"/>
      <w:sz w:val="24"/>
      <w:szCs w:val="20"/>
      <w:lang w:val="en-US"/>
    </w:rPr>
  </w:style>
  <w:style w:type="character" w:customStyle="1" w:styleId="FooterChar">
    <w:name w:val="Footer Char"/>
    <w:basedOn w:val="DefaultParagraphFont"/>
    <w:uiPriority w:val="99"/>
    <w:locked/>
    <w:rsid w:val="00F46C7B"/>
    <w:rPr>
      <w:rFonts w:ascii="Trebuchet MS" w:hAnsi="Trebuchet MS" w:cs="Times New Roman"/>
      <w:sz w:val="19"/>
    </w:rPr>
  </w:style>
  <w:style w:type="character" w:styleId="PageNumber">
    <w:name w:val="page number"/>
    <w:basedOn w:val="DefaultParagraphFont"/>
    <w:uiPriority w:val="99"/>
    <w:rsid w:val="00F46C7B"/>
    <w:rPr>
      <w:rFonts w:cs="Times New Roman"/>
    </w:rPr>
  </w:style>
  <w:style w:type="paragraph" w:styleId="BodyTextIndent3">
    <w:name w:val="Body Text Indent 3"/>
    <w:basedOn w:val="Normal"/>
    <w:link w:val="BodyTextIndent3Char"/>
    <w:uiPriority w:val="99"/>
    <w:rsid w:val="00F46C7B"/>
    <w:pPr>
      <w:ind w:left="720"/>
    </w:pPr>
    <w:rPr>
      <w:rFonts w:ascii="Arial" w:hAnsi="Arial"/>
      <w:szCs w:val="20"/>
    </w:rPr>
  </w:style>
  <w:style w:type="character" w:customStyle="1" w:styleId="BodyTextIndent3Char">
    <w:name w:val="Body Text Indent 3 Char"/>
    <w:basedOn w:val="DefaultParagraphFont"/>
    <w:link w:val="BodyTextIndent3"/>
    <w:uiPriority w:val="99"/>
    <w:rsid w:val="00F46C7B"/>
    <w:rPr>
      <w:rFonts w:ascii="Arial" w:eastAsia="Times New Roman" w:hAnsi="Arial" w:cs="Times New Roman"/>
      <w:sz w:val="20"/>
      <w:szCs w:val="20"/>
      <w:lang w:val="en-US"/>
    </w:rPr>
  </w:style>
  <w:style w:type="paragraph" w:styleId="BlockText">
    <w:name w:val="Block Text"/>
    <w:aliases w:val="bl"/>
    <w:basedOn w:val="Normal"/>
    <w:uiPriority w:val="99"/>
    <w:rsid w:val="00F46C7B"/>
    <w:pPr>
      <w:pBdr>
        <w:top w:val="single" w:sz="2" w:space="1" w:color="000000"/>
        <w:left w:val="single" w:sz="2" w:space="4" w:color="000000"/>
        <w:bottom w:val="single" w:sz="2" w:space="1" w:color="000000"/>
        <w:right w:val="single" w:sz="2" w:space="4" w:color="000000"/>
      </w:pBdr>
      <w:tabs>
        <w:tab w:val="left" w:pos="8647"/>
      </w:tabs>
      <w:spacing w:after="240"/>
      <w:ind w:right="-2"/>
    </w:pPr>
    <w:rPr>
      <w:szCs w:val="22"/>
    </w:rPr>
  </w:style>
  <w:style w:type="paragraph" w:styleId="TOC1">
    <w:name w:val="toc 1"/>
    <w:aliases w:val="toc1"/>
    <w:basedOn w:val="Normal"/>
    <w:next w:val="Normal"/>
    <w:link w:val="TOC1Char"/>
    <w:autoRedefine/>
    <w:uiPriority w:val="39"/>
    <w:rsid w:val="003D20F8"/>
    <w:pPr>
      <w:keepNext/>
      <w:tabs>
        <w:tab w:val="left" w:pos="539"/>
        <w:tab w:val="right" w:leader="dot" w:pos="9639"/>
      </w:tabs>
      <w:spacing w:before="180" w:after="180"/>
      <w:jc w:val="center"/>
    </w:pPr>
    <w:rPr>
      <w:rFonts w:ascii="Times New Roman Gras" w:hAnsi="Times New Roman Gras"/>
      <w:b/>
      <w:noProof/>
      <w:szCs w:val="20"/>
    </w:rPr>
  </w:style>
  <w:style w:type="paragraph" w:styleId="TOC2">
    <w:name w:val="toc 2"/>
    <w:aliases w:val="toc2"/>
    <w:basedOn w:val="Normal"/>
    <w:next w:val="Normal"/>
    <w:autoRedefine/>
    <w:uiPriority w:val="39"/>
    <w:rsid w:val="001C638E"/>
    <w:pPr>
      <w:tabs>
        <w:tab w:val="left" w:pos="0"/>
        <w:tab w:val="left" w:pos="960"/>
        <w:tab w:val="right" w:leader="dot" w:pos="9639"/>
      </w:tabs>
      <w:spacing w:before="60" w:after="60"/>
      <w:ind w:left="539" w:hanging="539"/>
    </w:pPr>
    <w:rPr>
      <w:rFonts w:asciiTheme="minorHAnsi" w:hAnsiTheme="minorHAnsi"/>
      <w:b/>
      <w:noProof/>
      <w:color w:val="7030A0"/>
      <w:szCs w:val="18"/>
      <w:lang w:val="fr-FR"/>
    </w:rPr>
  </w:style>
  <w:style w:type="paragraph" w:styleId="FootnoteText">
    <w:name w:val="footnote text"/>
    <w:basedOn w:val="Normal"/>
    <w:link w:val="FootnoteTextChar2"/>
    <w:uiPriority w:val="99"/>
    <w:rsid w:val="00F46C7B"/>
    <w:rPr>
      <w:szCs w:val="20"/>
    </w:rPr>
  </w:style>
  <w:style w:type="character" w:customStyle="1" w:styleId="FootnoteTextChar2">
    <w:name w:val="Footnote Text Char2"/>
    <w:basedOn w:val="DefaultParagraphFont"/>
    <w:link w:val="FootnoteText"/>
    <w:uiPriority w:val="99"/>
    <w:rsid w:val="00F46C7B"/>
    <w:rPr>
      <w:rFonts w:ascii="Times New Roman" w:eastAsia="Times New Roman" w:hAnsi="Times New Roman" w:cs="Times New Roman"/>
      <w:sz w:val="20"/>
      <w:szCs w:val="20"/>
      <w:lang w:val="en-US"/>
    </w:rPr>
  </w:style>
  <w:style w:type="character" w:customStyle="1" w:styleId="FootnoteTextChar">
    <w:name w:val="Footnote Text Char"/>
    <w:basedOn w:val="DefaultParagraphFont"/>
    <w:uiPriority w:val="99"/>
    <w:semiHidden/>
    <w:locked/>
    <w:rsid w:val="00F46C7B"/>
    <w:rPr>
      <w:rFonts w:ascii="Times New Roman" w:hAnsi="Times New Roman" w:cs="Times New Roman"/>
      <w:sz w:val="20"/>
      <w:lang w:eastAsia="fr-FR"/>
    </w:rPr>
  </w:style>
  <w:style w:type="character" w:styleId="FootnoteReference">
    <w:name w:val="footnote reference"/>
    <w:basedOn w:val="DefaultParagraphFont"/>
    <w:uiPriority w:val="99"/>
    <w:rsid w:val="00F46C7B"/>
    <w:rPr>
      <w:rFonts w:cs="Times New Roman"/>
      <w:vertAlign w:val="superscript"/>
    </w:rPr>
  </w:style>
  <w:style w:type="paragraph" w:styleId="Title">
    <w:name w:val="Title"/>
    <w:aliases w:val="t"/>
    <w:basedOn w:val="Normal"/>
    <w:link w:val="TitleChar"/>
    <w:uiPriority w:val="10"/>
    <w:qFormat/>
    <w:rsid w:val="00F46C7B"/>
    <w:pPr>
      <w:spacing w:after="240"/>
      <w:jc w:val="center"/>
    </w:pPr>
    <w:rPr>
      <w:b/>
      <w:szCs w:val="20"/>
    </w:rPr>
  </w:style>
  <w:style w:type="character" w:customStyle="1" w:styleId="TitleChar">
    <w:name w:val="Title Char"/>
    <w:aliases w:val="t Char"/>
    <w:basedOn w:val="DefaultParagraphFont"/>
    <w:link w:val="Title"/>
    <w:uiPriority w:val="10"/>
    <w:rsid w:val="00F46C7B"/>
    <w:rPr>
      <w:rFonts w:ascii="Times New Roman" w:eastAsia="Times New Roman" w:hAnsi="Times New Roman" w:cs="Times New Roman"/>
      <w:b/>
      <w:sz w:val="20"/>
      <w:szCs w:val="20"/>
      <w:lang w:val="en-US"/>
    </w:rPr>
  </w:style>
  <w:style w:type="paragraph" w:styleId="Subtitle">
    <w:name w:val="Subtitle"/>
    <w:aliases w:val="su"/>
    <w:basedOn w:val="Normal"/>
    <w:link w:val="SubtitleChar"/>
    <w:uiPriority w:val="11"/>
    <w:qFormat/>
    <w:rsid w:val="00F46C7B"/>
    <w:pPr>
      <w:spacing w:line="360" w:lineRule="auto"/>
      <w:jc w:val="center"/>
    </w:pPr>
    <w:rPr>
      <w:b/>
      <w:szCs w:val="20"/>
    </w:rPr>
  </w:style>
  <w:style w:type="character" w:customStyle="1" w:styleId="SubtitleChar">
    <w:name w:val="Subtitle Char"/>
    <w:aliases w:val="su Char"/>
    <w:basedOn w:val="DefaultParagraphFont"/>
    <w:link w:val="Subtitle"/>
    <w:uiPriority w:val="11"/>
    <w:rsid w:val="00F46C7B"/>
    <w:rPr>
      <w:rFonts w:ascii="Times New Roman" w:eastAsia="Times New Roman" w:hAnsi="Times New Roman" w:cs="Times New Roman"/>
      <w:b/>
      <w:sz w:val="20"/>
      <w:szCs w:val="20"/>
      <w:lang w:val="en-US"/>
    </w:rPr>
  </w:style>
  <w:style w:type="character" w:customStyle="1" w:styleId="zzmpTrailerItem">
    <w:name w:val="zzmpTrailerItem"/>
    <w:basedOn w:val="DefaultParagraphFont"/>
    <w:rsid w:val="00BC18A4"/>
    <w:rPr>
      <w:rFonts w:ascii="Calibri" w:hAnsi="Calibri" w:cs="Times New Roman"/>
      <w:dstrike w:val="0"/>
      <w:noProof/>
      <w:color w:val="auto"/>
      <w:spacing w:val="0"/>
      <w:position w:val="0"/>
      <w:sz w:val="16"/>
      <w:szCs w:val="16"/>
      <w:u w:val="none"/>
      <w:effect w:val="none"/>
      <w:vertAlign w:val="baseline"/>
    </w:rPr>
  </w:style>
  <w:style w:type="paragraph" w:customStyle="1" w:styleId="BlockLeft">
    <w:name w:val="Block Left"/>
    <w:basedOn w:val="Normal"/>
    <w:link w:val="BlockLeftChar"/>
    <w:uiPriority w:val="99"/>
    <w:rsid w:val="00F46C7B"/>
    <w:rPr>
      <w:szCs w:val="20"/>
    </w:rPr>
  </w:style>
  <w:style w:type="paragraph" w:customStyle="1" w:styleId="ConmainL1">
    <w:name w:val="Conmain_L1"/>
    <w:basedOn w:val="Normal"/>
    <w:next w:val="ConmainL2"/>
    <w:uiPriority w:val="99"/>
    <w:rsid w:val="00F46C7B"/>
    <w:pPr>
      <w:keepNext/>
      <w:pageBreakBefore/>
      <w:tabs>
        <w:tab w:val="num" w:pos="720"/>
      </w:tabs>
      <w:spacing w:after="240"/>
      <w:ind w:left="720" w:hanging="720"/>
      <w:outlineLvl w:val="0"/>
    </w:pPr>
    <w:rPr>
      <w:b/>
      <w:caps/>
      <w:szCs w:val="22"/>
    </w:rPr>
  </w:style>
  <w:style w:type="paragraph" w:customStyle="1" w:styleId="ConmainL2">
    <w:name w:val="Conmain_L2"/>
    <w:basedOn w:val="Normal"/>
    <w:link w:val="ConmainL2CharChar1"/>
    <w:uiPriority w:val="99"/>
    <w:rsid w:val="00F46C7B"/>
    <w:pPr>
      <w:keepNext/>
      <w:numPr>
        <w:numId w:val="1"/>
      </w:numPr>
      <w:spacing w:after="240"/>
      <w:outlineLvl w:val="1"/>
    </w:pPr>
    <w:rPr>
      <w:b/>
      <w:szCs w:val="20"/>
    </w:rPr>
  </w:style>
  <w:style w:type="paragraph" w:customStyle="1" w:styleId="ConmainL3">
    <w:name w:val="Conmain_L3"/>
    <w:basedOn w:val="Normal"/>
    <w:uiPriority w:val="99"/>
    <w:rsid w:val="00F46C7B"/>
    <w:pPr>
      <w:keepNext/>
      <w:tabs>
        <w:tab w:val="num" w:pos="360"/>
      </w:tabs>
      <w:spacing w:after="240"/>
      <w:ind w:left="360" w:hanging="360"/>
      <w:outlineLvl w:val="2"/>
    </w:pPr>
    <w:rPr>
      <w:szCs w:val="22"/>
    </w:rPr>
  </w:style>
  <w:style w:type="paragraph" w:customStyle="1" w:styleId="ConmainL4">
    <w:name w:val="Conmain_L4"/>
    <w:basedOn w:val="Normal"/>
    <w:uiPriority w:val="99"/>
    <w:rsid w:val="00F46C7B"/>
    <w:pPr>
      <w:keepNext/>
      <w:keepLines/>
      <w:tabs>
        <w:tab w:val="num" w:pos="360"/>
      </w:tabs>
      <w:spacing w:after="240"/>
      <w:ind w:left="360" w:hanging="360"/>
      <w:outlineLvl w:val="3"/>
    </w:pPr>
    <w:rPr>
      <w:noProof/>
      <w:szCs w:val="22"/>
    </w:rPr>
  </w:style>
  <w:style w:type="paragraph" w:customStyle="1" w:styleId="ConmainL5">
    <w:name w:val="Conmain_L5"/>
    <w:basedOn w:val="Normal"/>
    <w:uiPriority w:val="99"/>
    <w:rsid w:val="00F46C7B"/>
    <w:pPr>
      <w:spacing w:after="240"/>
      <w:outlineLvl w:val="4"/>
    </w:pPr>
    <w:rPr>
      <w:i/>
      <w:szCs w:val="20"/>
    </w:rPr>
  </w:style>
  <w:style w:type="paragraph" w:customStyle="1" w:styleId="ConmainL6">
    <w:name w:val="Conmain_L6"/>
    <w:basedOn w:val="Normal"/>
    <w:uiPriority w:val="99"/>
    <w:rsid w:val="00F46C7B"/>
    <w:pPr>
      <w:tabs>
        <w:tab w:val="num" w:pos="3600"/>
      </w:tabs>
      <w:spacing w:after="240"/>
      <w:ind w:left="3600" w:hanging="720"/>
      <w:outlineLvl w:val="5"/>
    </w:pPr>
    <w:rPr>
      <w:szCs w:val="20"/>
    </w:rPr>
  </w:style>
  <w:style w:type="paragraph" w:customStyle="1" w:styleId="ConmainL7">
    <w:name w:val="Conmain_L7"/>
    <w:basedOn w:val="Normal"/>
    <w:uiPriority w:val="99"/>
    <w:rsid w:val="00F46C7B"/>
    <w:pPr>
      <w:tabs>
        <w:tab w:val="num" w:pos="1440"/>
      </w:tabs>
      <w:spacing w:after="240"/>
      <w:ind w:left="1440" w:hanging="720"/>
      <w:outlineLvl w:val="6"/>
    </w:pPr>
    <w:rPr>
      <w:szCs w:val="20"/>
    </w:rPr>
  </w:style>
  <w:style w:type="paragraph" w:customStyle="1" w:styleId="ConmainL8">
    <w:name w:val="Conmain_L8"/>
    <w:basedOn w:val="Normal"/>
    <w:uiPriority w:val="99"/>
    <w:rsid w:val="00F46C7B"/>
    <w:pPr>
      <w:numPr>
        <w:numId w:val="2"/>
      </w:numPr>
      <w:tabs>
        <w:tab w:val="clear" w:pos="643"/>
        <w:tab w:val="num" w:pos="2880"/>
      </w:tabs>
      <w:spacing w:after="240"/>
      <w:ind w:left="2880" w:hanging="720"/>
      <w:outlineLvl w:val="7"/>
    </w:pPr>
    <w:rPr>
      <w:szCs w:val="20"/>
    </w:rPr>
  </w:style>
  <w:style w:type="paragraph" w:customStyle="1" w:styleId="ConmainL9">
    <w:name w:val="Conmain_L9"/>
    <w:basedOn w:val="Normal"/>
    <w:uiPriority w:val="99"/>
    <w:rsid w:val="00F46C7B"/>
    <w:pPr>
      <w:numPr>
        <w:numId w:val="3"/>
      </w:numPr>
      <w:tabs>
        <w:tab w:val="clear" w:pos="926"/>
      </w:tabs>
      <w:spacing w:after="240"/>
      <w:ind w:left="0" w:firstLine="0"/>
      <w:outlineLvl w:val="8"/>
    </w:pPr>
    <w:rPr>
      <w:szCs w:val="20"/>
    </w:rPr>
  </w:style>
  <w:style w:type="paragraph" w:styleId="ListParagraph">
    <w:name w:val="List Paragraph"/>
    <w:basedOn w:val="Normal"/>
    <w:link w:val="ListParagraphChar"/>
    <w:uiPriority w:val="34"/>
    <w:qFormat/>
    <w:rsid w:val="00F46C7B"/>
    <w:pPr>
      <w:ind w:left="708"/>
    </w:pPr>
  </w:style>
  <w:style w:type="paragraph" w:styleId="NormalWeb">
    <w:name w:val="Normal (Web)"/>
    <w:basedOn w:val="Normal"/>
    <w:uiPriority w:val="99"/>
    <w:rsid w:val="00F46C7B"/>
    <w:pPr>
      <w:spacing w:before="100" w:beforeAutospacing="1" w:after="100" w:afterAutospacing="1"/>
    </w:pPr>
  </w:style>
  <w:style w:type="paragraph" w:customStyle="1" w:styleId="Source">
    <w:name w:val="Source"/>
    <w:basedOn w:val="Normal"/>
    <w:uiPriority w:val="99"/>
    <w:rsid w:val="00F46C7B"/>
    <w:pPr>
      <w:spacing w:after="240"/>
      <w:jc w:val="right"/>
    </w:pPr>
  </w:style>
  <w:style w:type="paragraph" w:customStyle="1" w:styleId="SubtitleItalic">
    <w:name w:val="Subtitle Italic"/>
    <w:basedOn w:val="Normal"/>
    <w:next w:val="BodyText"/>
    <w:uiPriority w:val="99"/>
    <w:rsid w:val="00F46C7B"/>
    <w:pPr>
      <w:keepNext/>
      <w:spacing w:after="240"/>
    </w:pPr>
    <w:rPr>
      <w:i/>
      <w:szCs w:val="20"/>
      <w:lang w:eastAsia="zh-CN"/>
    </w:rPr>
  </w:style>
  <w:style w:type="paragraph" w:customStyle="1" w:styleId="SubtitleUnderline">
    <w:name w:val="Subtitle Underline"/>
    <w:basedOn w:val="Normal"/>
    <w:next w:val="BodyText"/>
    <w:uiPriority w:val="99"/>
    <w:rsid w:val="00F46C7B"/>
    <w:pPr>
      <w:keepNext/>
      <w:spacing w:after="240"/>
      <w:jc w:val="center"/>
    </w:pPr>
    <w:rPr>
      <w:rFonts w:ascii="Times New Roman Bold" w:hAnsi="Times New Roman Bold" w:cs="Times New Roman Bold"/>
      <w:b/>
      <w:sz w:val="24"/>
      <w:szCs w:val="20"/>
      <w:u w:val="single"/>
      <w:lang w:eastAsia="zh-CN"/>
    </w:rPr>
  </w:style>
  <w:style w:type="paragraph" w:customStyle="1" w:styleId="Graphic">
    <w:name w:val="Graphic"/>
    <w:basedOn w:val="Normal"/>
    <w:uiPriority w:val="99"/>
    <w:rsid w:val="00F46C7B"/>
    <w:pPr>
      <w:spacing w:before="120" w:after="240"/>
      <w:jc w:val="center"/>
    </w:pPr>
    <w:rPr>
      <w:sz w:val="24"/>
      <w:szCs w:val="20"/>
      <w:lang w:eastAsia="zh-CN"/>
    </w:rPr>
  </w:style>
  <w:style w:type="character" w:customStyle="1" w:styleId="DocID">
    <w:name w:val="DocID"/>
    <w:uiPriority w:val="99"/>
    <w:rsid w:val="00F46C7B"/>
    <w:rPr>
      <w:rFonts w:ascii="Times New Roman" w:hAnsi="Times New Roman"/>
      <w:sz w:val="16"/>
    </w:rPr>
  </w:style>
  <w:style w:type="paragraph" w:styleId="ListBullet">
    <w:name w:val="List Bullet"/>
    <w:basedOn w:val="Normal"/>
    <w:uiPriority w:val="99"/>
    <w:rsid w:val="00F46C7B"/>
    <w:pPr>
      <w:numPr>
        <w:numId w:val="4"/>
      </w:numPr>
      <w:spacing w:after="240" w:line="240" w:lineRule="atLeast"/>
      <w:ind w:left="720"/>
      <w:contextualSpacing/>
    </w:pPr>
    <w:rPr>
      <w:rFonts w:eastAsia="SimSun"/>
      <w:szCs w:val="20"/>
      <w:lang w:val="en-GB" w:eastAsia="zh-CN"/>
    </w:rPr>
  </w:style>
  <w:style w:type="paragraph" w:styleId="ListBullet2">
    <w:name w:val="List Bullet 2"/>
    <w:basedOn w:val="Normal"/>
    <w:uiPriority w:val="99"/>
    <w:rsid w:val="00F46C7B"/>
    <w:pPr>
      <w:numPr>
        <w:numId w:val="7"/>
      </w:numPr>
      <w:spacing w:after="240" w:line="240" w:lineRule="atLeast"/>
      <w:ind w:left="1080"/>
    </w:pPr>
    <w:rPr>
      <w:rFonts w:eastAsia="SimSun"/>
      <w:szCs w:val="20"/>
      <w:lang w:val="en-GB" w:eastAsia="zh-CN"/>
    </w:rPr>
  </w:style>
  <w:style w:type="paragraph" w:styleId="ListBullet3">
    <w:name w:val="List Bullet 3"/>
    <w:basedOn w:val="Normal"/>
    <w:uiPriority w:val="99"/>
    <w:rsid w:val="00F46C7B"/>
    <w:pPr>
      <w:numPr>
        <w:numId w:val="8"/>
      </w:numPr>
      <w:spacing w:line="240" w:lineRule="atLeast"/>
      <w:ind w:left="1800"/>
    </w:pPr>
    <w:rPr>
      <w:rFonts w:eastAsia="SimSun"/>
      <w:szCs w:val="20"/>
      <w:lang w:val="en-GB" w:eastAsia="zh-CN"/>
    </w:rPr>
  </w:style>
  <w:style w:type="paragraph" w:styleId="ListBullet4">
    <w:name w:val="List Bullet 4"/>
    <w:basedOn w:val="Normal"/>
    <w:uiPriority w:val="99"/>
    <w:rsid w:val="00F46C7B"/>
    <w:pPr>
      <w:numPr>
        <w:ilvl w:val="3"/>
        <w:numId w:val="4"/>
      </w:numPr>
      <w:spacing w:after="240" w:line="240" w:lineRule="atLeast"/>
    </w:pPr>
    <w:rPr>
      <w:rFonts w:ascii="Arial" w:eastAsia="SimSun" w:hAnsi="Arial"/>
      <w:szCs w:val="20"/>
      <w:lang w:val="en-GB" w:eastAsia="zh-CN"/>
    </w:rPr>
  </w:style>
  <w:style w:type="paragraph" w:styleId="ListBullet5">
    <w:name w:val="List Bullet 5"/>
    <w:basedOn w:val="Normal"/>
    <w:uiPriority w:val="99"/>
    <w:rsid w:val="00F46C7B"/>
    <w:pPr>
      <w:numPr>
        <w:ilvl w:val="4"/>
        <w:numId w:val="4"/>
      </w:numPr>
      <w:spacing w:after="240" w:line="240" w:lineRule="atLeast"/>
    </w:pPr>
    <w:rPr>
      <w:rFonts w:ascii="Arial" w:eastAsia="SimSun" w:hAnsi="Arial"/>
      <w:szCs w:val="20"/>
      <w:lang w:val="en-GB" w:eastAsia="zh-CN"/>
    </w:rPr>
  </w:style>
  <w:style w:type="character" w:customStyle="1" w:styleId="ConmainL2Char">
    <w:name w:val="Conmain_L2 Char"/>
    <w:uiPriority w:val="99"/>
    <w:rsid w:val="00F46C7B"/>
    <w:rPr>
      <w:rFonts w:ascii="Arial" w:hAnsi="Arial"/>
      <w:b/>
      <w:sz w:val="22"/>
      <w:lang w:val="fr-FR" w:eastAsia="en-US"/>
    </w:rPr>
  </w:style>
  <w:style w:type="paragraph" w:customStyle="1" w:styleId="A-Puces">
    <w:name w:val="A-Puces"/>
    <w:basedOn w:val="Normal"/>
    <w:autoRedefine/>
    <w:uiPriority w:val="99"/>
    <w:rsid w:val="00F46C7B"/>
    <w:pPr>
      <w:numPr>
        <w:numId w:val="5"/>
      </w:numPr>
      <w:spacing w:after="60"/>
      <w:ind w:hanging="357"/>
    </w:pPr>
    <w:rPr>
      <w:szCs w:val="22"/>
    </w:rPr>
  </w:style>
  <w:style w:type="paragraph" w:customStyle="1" w:styleId="ENUM1">
    <w:name w:val="ENUM.1"/>
    <w:basedOn w:val="Normal"/>
    <w:uiPriority w:val="99"/>
    <w:rsid w:val="00F46C7B"/>
    <w:pPr>
      <w:keepLines/>
      <w:tabs>
        <w:tab w:val="left" w:pos="284"/>
      </w:tabs>
      <w:spacing w:after="240"/>
      <w:ind w:left="288" w:hanging="288"/>
    </w:pPr>
    <w:rPr>
      <w:sz w:val="24"/>
      <w:szCs w:val="20"/>
    </w:rPr>
  </w:style>
  <w:style w:type="paragraph" w:customStyle="1" w:styleId="StyleGauche1cm">
    <w:name w:val="Style Gauche :  1 cm"/>
    <w:basedOn w:val="Normal"/>
    <w:uiPriority w:val="99"/>
    <w:rsid w:val="00F46C7B"/>
    <w:pPr>
      <w:widowControl w:val="0"/>
      <w:spacing w:line="280" w:lineRule="exact"/>
      <w:ind w:left="567"/>
    </w:pPr>
    <w:rPr>
      <w:rFonts w:ascii="Arial" w:hAnsi="Arial"/>
      <w:szCs w:val="20"/>
    </w:rPr>
  </w:style>
  <w:style w:type="paragraph" w:customStyle="1" w:styleId="HyphenBullet">
    <w:name w:val="Hyphen Bullet"/>
    <w:basedOn w:val="BodyText"/>
    <w:uiPriority w:val="99"/>
    <w:rsid w:val="00F46C7B"/>
    <w:pPr>
      <w:numPr>
        <w:numId w:val="6"/>
      </w:numPr>
    </w:pPr>
  </w:style>
  <w:style w:type="paragraph" w:customStyle="1" w:styleId="BlockIndent">
    <w:name w:val="Block Indent"/>
    <w:basedOn w:val="BodyText"/>
    <w:uiPriority w:val="99"/>
    <w:rsid w:val="00F46C7B"/>
    <w:pPr>
      <w:spacing w:after="0"/>
      <w:ind w:left="5490"/>
    </w:pPr>
  </w:style>
  <w:style w:type="paragraph" w:customStyle="1" w:styleId="Hanging1">
    <w:name w:val="Hanging1"/>
    <w:basedOn w:val="Normal"/>
    <w:uiPriority w:val="99"/>
    <w:rsid w:val="00F46C7B"/>
    <w:pPr>
      <w:spacing w:after="240"/>
      <w:ind w:left="1080" w:hanging="360"/>
      <w:contextualSpacing/>
    </w:pPr>
  </w:style>
  <w:style w:type="paragraph" w:customStyle="1" w:styleId="TableKey1">
    <w:name w:val="TableKey1"/>
    <w:basedOn w:val="Normal"/>
    <w:uiPriority w:val="99"/>
    <w:rsid w:val="00F46C7B"/>
    <w:pPr>
      <w:spacing w:after="240"/>
    </w:pPr>
    <w:rPr>
      <w:rFonts w:eastAsia="EUAlbertina-Regular-Identity-H"/>
      <w:sz w:val="18"/>
      <w:szCs w:val="18"/>
    </w:rPr>
  </w:style>
  <w:style w:type="paragraph" w:customStyle="1" w:styleId="TableKey2">
    <w:name w:val="TableKey2"/>
    <w:basedOn w:val="Normal"/>
    <w:uiPriority w:val="99"/>
    <w:rsid w:val="00F46C7B"/>
    <w:pPr>
      <w:spacing w:after="240"/>
      <w:ind w:left="706"/>
      <w:outlineLvl w:val="0"/>
    </w:pPr>
    <w:rPr>
      <w:sz w:val="18"/>
      <w:szCs w:val="18"/>
    </w:rPr>
  </w:style>
  <w:style w:type="paragraph" w:customStyle="1" w:styleId="Tabletxt-1">
    <w:name w:val="Tabletxt-1"/>
    <w:basedOn w:val="Normal"/>
    <w:uiPriority w:val="99"/>
    <w:rsid w:val="00F46C7B"/>
    <w:rPr>
      <w:rFonts w:eastAsia="EUAlbertina-Regular-Identity-H"/>
      <w:szCs w:val="20"/>
    </w:rPr>
  </w:style>
  <w:style w:type="paragraph" w:customStyle="1" w:styleId="Tabletxt-2">
    <w:name w:val="Tabletxt-2"/>
    <w:basedOn w:val="Normal"/>
    <w:uiPriority w:val="99"/>
    <w:rsid w:val="00F46C7B"/>
    <w:pPr>
      <w:ind w:left="173"/>
    </w:pPr>
    <w:rPr>
      <w:rFonts w:eastAsia="EUAlbertina-Regular-Identity-H"/>
      <w:szCs w:val="20"/>
    </w:rPr>
  </w:style>
  <w:style w:type="paragraph" w:customStyle="1" w:styleId="Tabletxt-3">
    <w:name w:val="Tabletxt-3"/>
    <w:basedOn w:val="Normal"/>
    <w:uiPriority w:val="99"/>
    <w:rsid w:val="00F46C7B"/>
    <w:pPr>
      <w:ind w:left="346"/>
    </w:pPr>
    <w:rPr>
      <w:rFonts w:eastAsia="EUAlbertina-Regular-Identity-H"/>
      <w:szCs w:val="20"/>
    </w:rPr>
  </w:style>
  <w:style w:type="paragraph" w:customStyle="1" w:styleId="Centertxt">
    <w:name w:val="Centertxt"/>
    <w:basedOn w:val="Normal"/>
    <w:uiPriority w:val="99"/>
    <w:rsid w:val="00F46C7B"/>
    <w:pPr>
      <w:spacing w:after="240"/>
      <w:jc w:val="center"/>
    </w:pPr>
    <w:rPr>
      <w:rFonts w:eastAsia="EUAlbertina-Regular-Identity-H"/>
    </w:rPr>
  </w:style>
  <w:style w:type="table" w:styleId="TableGrid">
    <w:name w:val="Table Grid"/>
    <w:aliases w:val="Smart Text Table"/>
    <w:basedOn w:val="TableNormal"/>
    <w:rsid w:val="00F46C7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
    <w:name w:val="Body Text First Indent"/>
    <w:basedOn w:val="BodyText"/>
    <w:link w:val="BodyTextFirstIndentChar"/>
    <w:uiPriority w:val="99"/>
    <w:rsid w:val="00F46C7B"/>
    <w:pPr>
      <w:spacing w:after="120"/>
      <w:ind w:firstLine="210"/>
      <w:jc w:val="left"/>
    </w:pPr>
    <w:rPr>
      <w:szCs w:val="22"/>
    </w:rPr>
  </w:style>
  <w:style w:type="character" w:customStyle="1" w:styleId="BodyTextFirstIndentChar">
    <w:name w:val="Body Text First Indent Char"/>
    <w:basedOn w:val="BodyTextChar2"/>
    <w:link w:val="BodyTextFirstIndent"/>
    <w:uiPriority w:val="99"/>
    <w:rsid w:val="00F46C7B"/>
    <w:rPr>
      <w:rFonts w:ascii="Times New Roman" w:eastAsia="Times New Roman" w:hAnsi="Times New Roman" w:cs="Times New Roman"/>
      <w:sz w:val="20"/>
      <w:szCs w:val="20"/>
      <w:lang w:val="en-US"/>
    </w:rPr>
  </w:style>
  <w:style w:type="character" w:customStyle="1" w:styleId="apple-style-span">
    <w:name w:val="apple-style-span"/>
    <w:uiPriority w:val="99"/>
    <w:rsid w:val="00F46C7B"/>
  </w:style>
  <w:style w:type="paragraph" w:styleId="EndnoteText">
    <w:name w:val="endnote text"/>
    <w:basedOn w:val="Normal"/>
    <w:link w:val="EndnoteTextChar"/>
    <w:uiPriority w:val="99"/>
    <w:rsid w:val="00F46C7B"/>
    <w:rPr>
      <w:szCs w:val="20"/>
    </w:rPr>
  </w:style>
  <w:style w:type="character" w:customStyle="1" w:styleId="EndnoteTextChar">
    <w:name w:val="Endnote Text Char"/>
    <w:basedOn w:val="DefaultParagraphFont"/>
    <w:link w:val="EndnoteText"/>
    <w:uiPriority w:val="99"/>
    <w:rsid w:val="00F46C7B"/>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rsid w:val="00F46C7B"/>
    <w:rPr>
      <w:rFonts w:cs="Times New Roman"/>
      <w:vertAlign w:val="superscript"/>
    </w:rPr>
  </w:style>
  <w:style w:type="character" w:customStyle="1" w:styleId="BodyTextChar1">
    <w:name w:val="Body Text Char1"/>
    <w:uiPriority w:val="99"/>
    <w:rsid w:val="00F46C7B"/>
    <w:rPr>
      <w:sz w:val="22"/>
      <w:lang w:val="fr-FR" w:eastAsia="fr-FR"/>
    </w:rPr>
  </w:style>
  <w:style w:type="character" w:customStyle="1" w:styleId="BlockLeftChar">
    <w:name w:val="Block Left Char"/>
    <w:link w:val="BlockLeft"/>
    <w:uiPriority w:val="99"/>
    <w:locked/>
    <w:rsid w:val="00F46C7B"/>
    <w:rPr>
      <w:rFonts w:ascii="Times New Roman" w:eastAsia="Times New Roman" w:hAnsi="Times New Roman" w:cs="Times New Roman"/>
      <w:sz w:val="20"/>
      <w:szCs w:val="20"/>
      <w:lang w:val="en-US"/>
    </w:rPr>
  </w:style>
  <w:style w:type="character" w:customStyle="1" w:styleId="ConmainL2CharChar1">
    <w:name w:val="Conmain_L2 Char Char1"/>
    <w:link w:val="ConmainL2"/>
    <w:uiPriority w:val="99"/>
    <w:locked/>
    <w:rsid w:val="00F46C7B"/>
    <w:rPr>
      <w:rFonts w:ascii="Calibri" w:eastAsia="Times New Roman" w:hAnsi="Calibri" w:cs="Times New Roman"/>
      <w:b/>
      <w:sz w:val="20"/>
      <w:szCs w:val="20"/>
      <w:lang w:val="en-US"/>
    </w:rPr>
  </w:style>
  <w:style w:type="character" w:styleId="CommentReference">
    <w:name w:val="annotation reference"/>
    <w:basedOn w:val="DefaultParagraphFont"/>
    <w:uiPriority w:val="99"/>
    <w:rsid w:val="00F46C7B"/>
    <w:rPr>
      <w:rFonts w:cs="Times New Roman"/>
      <w:sz w:val="16"/>
    </w:rPr>
  </w:style>
  <w:style w:type="paragraph" w:customStyle="1" w:styleId="Style1">
    <w:name w:val="Style1"/>
    <w:basedOn w:val="Normal"/>
    <w:uiPriority w:val="99"/>
    <w:rsid w:val="00F46C7B"/>
    <w:pPr>
      <w:ind w:left="284"/>
    </w:pPr>
    <w:rPr>
      <w:sz w:val="18"/>
      <w:szCs w:val="18"/>
    </w:rPr>
  </w:style>
  <w:style w:type="paragraph" w:customStyle="1" w:styleId="Titregauche">
    <w:name w:val="Titre gauche"/>
    <w:basedOn w:val="Normal"/>
    <w:uiPriority w:val="99"/>
    <w:rsid w:val="00F46C7B"/>
    <w:pPr>
      <w:tabs>
        <w:tab w:val="left" w:pos="720"/>
        <w:tab w:val="left" w:pos="1440"/>
        <w:tab w:val="left" w:pos="2160"/>
        <w:tab w:val="left" w:pos="2880"/>
      </w:tabs>
    </w:pPr>
    <w:rPr>
      <w:b/>
      <w:szCs w:val="22"/>
    </w:rPr>
  </w:style>
  <w:style w:type="paragraph" w:customStyle="1" w:styleId="Default">
    <w:name w:val="Default"/>
    <w:rsid w:val="00F46C7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DocumentMap">
    <w:name w:val="Document Map"/>
    <w:basedOn w:val="Normal"/>
    <w:link w:val="DocumentMapChar"/>
    <w:uiPriority w:val="99"/>
    <w:rsid w:val="00F46C7B"/>
    <w:rPr>
      <w:rFonts w:ascii="Tahoma" w:hAnsi="Tahoma"/>
      <w:sz w:val="16"/>
      <w:szCs w:val="20"/>
    </w:rPr>
  </w:style>
  <w:style w:type="character" w:customStyle="1" w:styleId="DocumentMapChar">
    <w:name w:val="Document Map Char"/>
    <w:basedOn w:val="DefaultParagraphFont"/>
    <w:link w:val="DocumentMap"/>
    <w:uiPriority w:val="99"/>
    <w:rsid w:val="00F46C7B"/>
    <w:rPr>
      <w:rFonts w:ascii="Tahoma" w:eastAsia="Times New Roman" w:hAnsi="Tahoma" w:cs="Times New Roman"/>
      <w:sz w:val="16"/>
      <w:szCs w:val="20"/>
      <w:lang w:val="en-US"/>
    </w:rPr>
  </w:style>
  <w:style w:type="paragraph" w:styleId="BalloonText">
    <w:name w:val="Balloon Text"/>
    <w:basedOn w:val="Normal"/>
    <w:link w:val="BalloonTextChar1"/>
    <w:uiPriority w:val="99"/>
    <w:rsid w:val="00F46C7B"/>
    <w:rPr>
      <w:rFonts w:ascii="Tahoma" w:hAnsi="Tahoma"/>
      <w:sz w:val="16"/>
      <w:szCs w:val="20"/>
    </w:rPr>
  </w:style>
  <w:style w:type="character" w:customStyle="1" w:styleId="BalloonTextChar1">
    <w:name w:val="Balloon Text Char1"/>
    <w:basedOn w:val="DefaultParagraphFont"/>
    <w:link w:val="BalloonText"/>
    <w:uiPriority w:val="99"/>
    <w:rsid w:val="00F46C7B"/>
    <w:rPr>
      <w:rFonts w:ascii="Tahoma" w:eastAsia="Times New Roman" w:hAnsi="Tahoma" w:cs="Times New Roman"/>
      <w:sz w:val="16"/>
      <w:szCs w:val="20"/>
      <w:lang w:val="en-US"/>
    </w:rPr>
  </w:style>
  <w:style w:type="character" w:customStyle="1" w:styleId="BalloonTextChar">
    <w:name w:val="Balloon Text Char"/>
    <w:basedOn w:val="DefaultParagraphFont"/>
    <w:uiPriority w:val="99"/>
    <w:semiHidden/>
    <w:locked/>
    <w:rsid w:val="00F46C7B"/>
    <w:rPr>
      <w:rFonts w:ascii="Tahoma" w:hAnsi="Tahoma" w:cs="Times New Roman"/>
      <w:sz w:val="16"/>
      <w:lang w:eastAsia="fr-FR"/>
    </w:rPr>
  </w:style>
  <w:style w:type="paragraph" w:styleId="CommentText">
    <w:name w:val="annotation text"/>
    <w:basedOn w:val="Normal"/>
    <w:link w:val="CommentTextChar1"/>
    <w:uiPriority w:val="99"/>
    <w:rsid w:val="00F46C7B"/>
    <w:rPr>
      <w:szCs w:val="20"/>
    </w:rPr>
  </w:style>
  <w:style w:type="character" w:customStyle="1" w:styleId="CommentTextChar1">
    <w:name w:val="Comment Text Char1"/>
    <w:basedOn w:val="DefaultParagraphFont"/>
    <w:link w:val="CommentText"/>
    <w:uiPriority w:val="99"/>
    <w:rsid w:val="00F46C7B"/>
    <w:rPr>
      <w:rFonts w:ascii="Times New Roman" w:eastAsia="Times New Roman" w:hAnsi="Times New Roman" w:cs="Times New Roman"/>
      <w:sz w:val="20"/>
      <w:szCs w:val="20"/>
      <w:lang w:val="en-US"/>
    </w:rPr>
  </w:style>
  <w:style w:type="character" w:customStyle="1" w:styleId="CommentTextChar">
    <w:name w:val="Comment Text Char"/>
    <w:basedOn w:val="DefaultParagraphFont"/>
    <w:uiPriority w:val="99"/>
    <w:locked/>
    <w:rsid w:val="00F46C7B"/>
    <w:rPr>
      <w:rFonts w:ascii="Calibri" w:hAnsi="Calibri" w:cs="Times New Roman"/>
    </w:rPr>
  </w:style>
  <w:style w:type="paragraph" w:styleId="CommentSubject">
    <w:name w:val="annotation subject"/>
    <w:basedOn w:val="CommentText"/>
    <w:next w:val="CommentText"/>
    <w:link w:val="CommentSubjectChar1"/>
    <w:uiPriority w:val="99"/>
    <w:rsid w:val="00F46C7B"/>
    <w:rPr>
      <w:b/>
    </w:rPr>
  </w:style>
  <w:style w:type="character" w:customStyle="1" w:styleId="CommentSubjectChar1">
    <w:name w:val="Comment Subject Char1"/>
    <w:basedOn w:val="CommentTextChar1"/>
    <w:link w:val="CommentSubject"/>
    <w:uiPriority w:val="99"/>
    <w:rsid w:val="00F46C7B"/>
    <w:rPr>
      <w:rFonts w:ascii="Times New Roman" w:eastAsia="Times New Roman" w:hAnsi="Times New Roman" w:cs="Times New Roman"/>
      <w:b/>
      <w:sz w:val="20"/>
      <w:szCs w:val="20"/>
      <w:lang w:val="en-US"/>
    </w:rPr>
  </w:style>
  <w:style w:type="character" w:customStyle="1" w:styleId="CommentSubjectChar">
    <w:name w:val="Comment Subject Char"/>
    <w:basedOn w:val="CommentTextChar1"/>
    <w:uiPriority w:val="99"/>
    <w:semiHidden/>
    <w:locked/>
    <w:rsid w:val="00F46C7B"/>
    <w:rPr>
      <w:rFonts w:ascii="Times New Roman" w:eastAsia="Times New Roman" w:hAnsi="Times New Roman" w:cs="Times New Roman"/>
      <w:b/>
      <w:sz w:val="20"/>
      <w:szCs w:val="20"/>
      <w:lang w:val="en-US" w:eastAsia="fr-FR"/>
    </w:rPr>
  </w:style>
  <w:style w:type="table" w:customStyle="1" w:styleId="TableGrid1">
    <w:name w:val="Table Grid1"/>
    <w:uiPriority w:val="99"/>
    <w:rsid w:val="00F46C7B"/>
    <w:pPr>
      <w:spacing w:after="0" w:line="240" w:lineRule="auto"/>
    </w:pPr>
    <w:rPr>
      <w:rFonts w:ascii="Calibri" w:eastAsia="SimSu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F46C7B"/>
  </w:style>
  <w:style w:type="character" w:customStyle="1" w:styleId="BodyTextFirstIndentChar1">
    <w:name w:val="Body Text First Indent Char1"/>
    <w:uiPriority w:val="99"/>
    <w:locked/>
    <w:rsid w:val="00F46C7B"/>
    <w:rPr>
      <w:sz w:val="24"/>
    </w:rPr>
  </w:style>
  <w:style w:type="table" w:customStyle="1" w:styleId="Grilledutableau1">
    <w:name w:val="Grille du tableau1"/>
    <w:uiPriority w:val="99"/>
    <w:rsid w:val="00F46C7B"/>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DBTitre2Car">
    <w:name w:val="DDB Titre 2 Car"/>
    <w:link w:val="DDBTitre2"/>
    <w:locked/>
    <w:rsid w:val="00F46C7B"/>
    <w:rPr>
      <w:b/>
      <w:caps/>
      <w:color w:val="FFFFFF"/>
      <w:shd w:val="clear" w:color="auto" w:fill="8DB3E2"/>
    </w:rPr>
  </w:style>
  <w:style w:type="paragraph" w:customStyle="1" w:styleId="DDBTitre2">
    <w:name w:val="DDB Titre 2"/>
    <w:basedOn w:val="Heading2"/>
    <w:link w:val="DDBTitre2Car"/>
    <w:qFormat/>
    <w:rsid w:val="00F46C7B"/>
    <w:pPr>
      <w:numPr>
        <w:numId w:val="0"/>
      </w:numPr>
    </w:pPr>
    <w:rPr>
      <w:rFonts w:eastAsiaTheme="minorHAnsi" w:cstheme="minorBidi"/>
      <w:bCs w:val="0"/>
      <w:iCs w:val="0"/>
      <w:sz w:val="22"/>
      <w:szCs w:val="22"/>
      <w:lang w:val="fr-FR"/>
    </w:rPr>
  </w:style>
  <w:style w:type="character" w:customStyle="1" w:styleId="DDBTitre3Car">
    <w:name w:val="DDB Titre 3 Car"/>
    <w:link w:val="DDBTitre3"/>
    <w:uiPriority w:val="99"/>
    <w:locked/>
    <w:rsid w:val="00F46C7B"/>
    <w:rPr>
      <w:rFonts w:ascii="Garamond" w:eastAsia="SimSun" w:hAnsi="Garamond"/>
      <w:b/>
    </w:rPr>
  </w:style>
  <w:style w:type="paragraph" w:customStyle="1" w:styleId="DDBTitre3">
    <w:name w:val="DDB Titre 3"/>
    <w:basedOn w:val="Heading3"/>
    <w:link w:val="DDBTitre3Car"/>
    <w:uiPriority w:val="99"/>
    <w:rsid w:val="00F46C7B"/>
    <w:pPr>
      <w:numPr>
        <w:ilvl w:val="3"/>
      </w:numPr>
      <w:spacing w:before="600" w:after="240"/>
      <w:ind w:left="720" w:hanging="432"/>
    </w:pPr>
    <w:rPr>
      <w:rFonts w:ascii="Garamond" w:hAnsi="Garamond" w:cstheme="minorBidi"/>
      <w:sz w:val="22"/>
      <w:szCs w:val="22"/>
      <w:lang w:val="fr-FR"/>
    </w:rPr>
  </w:style>
  <w:style w:type="paragraph" w:customStyle="1" w:styleId="BlockTextital">
    <w:name w:val="Block Text ital"/>
    <w:uiPriority w:val="99"/>
    <w:rsid w:val="00F46C7B"/>
    <w:pPr>
      <w:spacing w:after="240" w:line="240" w:lineRule="auto"/>
      <w:jc w:val="both"/>
    </w:pPr>
    <w:rPr>
      <w:rFonts w:ascii="Times New Roman" w:eastAsia="PMingLiU" w:hAnsi="Times New Roman" w:cs="Times New Roman"/>
      <w:i/>
      <w:sz w:val="20"/>
      <w:szCs w:val="24"/>
      <w:lang w:val="en-US"/>
    </w:rPr>
  </w:style>
  <w:style w:type="character" w:customStyle="1" w:styleId="BulletedListChar">
    <w:name w:val="Bulleted List Char"/>
    <w:link w:val="BulletedList"/>
    <w:uiPriority w:val="99"/>
    <w:locked/>
    <w:rsid w:val="00F46C7B"/>
    <w:rPr>
      <w:rFonts w:eastAsia="PMingLiU"/>
    </w:rPr>
  </w:style>
  <w:style w:type="paragraph" w:customStyle="1" w:styleId="BulletedList">
    <w:name w:val="Bulleted List"/>
    <w:basedOn w:val="Normal"/>
    <w:link w:val="BulletedListChar"/>
    <w:uiPriority w:val="99"/>
    <w:rsid w:val="00F46C7B"/>
    <w:pPr>
      <w:numPr>
        <w:numId w:val="12"/>
      </w:numPr>
      <w:tabs>
        <w:tab w:val="left" w:pos="1440"/>
      </w:tabs>
      <w:spacing w:after="240"/>
    </w:pPr>
    <w:rPr>
      <w:rFonts w:asciiTheme="minorHAnsi" w:eastAsia="PMingLiU" w:hAnsiTheme="minorHAnsi" w:cstheme="minorBidi"/>
      <w:sz w:val="22"/>
      <w:szCs w:val="22"/>
      <w:lang w:val="fr-FR"/>
    </w:rPr>
  </w:style>
  <w:style w:type="paragraph" w:styleId="Revision">
    <w:name w:val="Revision"/>
    <w:hidden/>
    <w:uiPriority w:val="99"/>
    <w:rsid w:val="00F46C7B"/>
    <w:pPr>
      <w:spacing w:after="0" w:line="240" w:lineRule="auto"/>
    </w:pPr>
    <w:rPr>
      <w:rFonts w:ascii="Times New Roman" w:eastAsia="Times New Roman" w:hAnsi="Times New Roman" w:cs="Times New Roman"/>
      <w:sz w:val="20"/>
      <w:szCs w:val="24"/>
      <w:lang w:val="en-US"/>
    </w:rPr>
  </w:style>
  <w:style w:type="paragraph" w:customStyle="1" w:styleId="StyleCentr">
    <w:name w:val="Style Centré"/>
    <w:basedOn w:val="Normal"/>
    <w:uiPriority w:val="99"/>
    <w:rsid w:val="00F46C7B"/>
    <w:pPr>
      <w:jc w:val="center"/>
    </w:pPr>
    <w:rPr>
      <w:rFonts w:ascii="Garamond" w:hAnsi="Garamond"/>
      <w:szCs w:val="20"/>
    </w:rPr>
  </w:style>
  <w:style w:type="paragraph" w:customStyle="1" w:styleId="DDBBullet1">
    <w:name w:val="DDB Bullet 1"/>
    <w:basedOn w:val="Normal"/>
    <w:link w:val="DDBBullet1Car"/>
    <w:uiPriority w:val="99"/>
    <w:rsid w:val="00F46C7B"/>
    <w:pPr>
      <w:numPr>
        <w:numId w:val="18"/>
      </w:numPr>
    </w:pPr>
    <w:rPr>
      <w:rFonts w:ascii="Garamond" w:hAnsi="Garamond"/>
    </w:rPr>
  </w:style>
  <w:style w:type="paragraph" w:customStyle="1" w:styleId="DDBBullet2">
    <w:name w:val="DDB Bullet 2"/>
    <w:basedOn w:val="DDBBullet1"/>
    <w:link w:val="DDBBullet2Car"/>
    <w:uiPriority w:val="99"/>
    <w:rsid w:val="00F46C7B"/>
    <w:pPr>
      <w:numPr>
        <w:ilvl w:val="1"/>
        <w:numId w:val="19"/>
      </w:numPr>
      <w:tabs>
        <w:tab w:val="num" w:pos="792"/>
        <w:tab w:val="num" w:pos="1440"/>
      </w:tabs>
      <w:ind w:left="709" w:hanging="283"/>
    </w:pPr>
  </w:style>
  <w:style w:type="paragraph" w:styleId="Index1">
    <w:name w:val="index 1"/>
    <w:basedOn w:val="Normal"/>
    <w:next w:val="Normal"/>
    <w:autoRedefine/>
    <w:uiPriority w:val="99"/>
    <w:rsid w:val="00F46C7B"/>
    <w:rPr>
      <w:rFonts w:ascii="Garamond" w:hAnsi="Garamond"/>
    </w:rPr>
  </w:style>
  <w:style w:type="paragraph" w:styleId="Index2">
    <w:name w:val="index 2"/>
    <w:basedOn w:val="Normal"/>
    <w:next w:val="Normal"/>
    <w:autoRedefine/>
    <w:uiPriority w:val="99"/>
    <w:rsid w:val="00F46C7B"/>
    <w:pPr>
      <w:ind w:left="1440" w:hanging="720"/>
    </w:pPr>
    <w:rPr>
      <w:rFonts w:ascii="Garamond" w:hAnsi="Garamond"/>
    </w:rPr>
  </w:style>
  <w:style w:type="paragraph" w:styleId="ListContinue4">
    <w:name w:val="List Continue 4"/>
    <w:basedOn w:val="Normal"/>
    <w:uiPriority w:val="99"/>
    <w:rsid w:val="00F46C7B"/>
    <w:pPr>
      <w:ind w:left="1440"/>
    </w:pPr>
    <w:rPr>
      <w:rFonts w:ascii="Garamond" w:hAnsi="Garamond"/>
    </w:rPr>
  </w:style>
  <w:style w:type="paragraph" w:styleId="ListContinue">
    <w:name w:val="List Continue"/>
    <w:aliases w:val="lc"/>
    <w:basedOn w:val="Normal"/>
    <w:uiPriority w:val="99"/>
    <w:rsid w:val="00F46C7B"/>
    <w:pPr>
      <w:ind w:left="720"/>
    </w:pPr>
    <w:rPr>
      <w:rFonts w:ascii="Garamond" w:hAnsi="Garamond"/>
    </w:rPr>
  </w:style>
  <w:style w:type="paragraph" w:styleId="ListNumber">
    <w:name w:val="List Number"/>
    <w:aliases w:val="ln,Bullet niveau 1"/>
    <w:basedOn w:val="Normal"/>
    <w:link w:val="ListNumberChar1"/>
    <w:uiPriority w:val="99"/>
    <w:rsid w:val="00F46C7B"/>
    <w:pPr>
      <w:tabs>
        <w:tab w:val="num" w:pos="360"/>
      </w:tabs>
      <w:ind w:left="360" w:hanging="360"/>
    </w:pPr>
    <w:rPr>
      <w:rFonts w:ascii="Garamond" w:hAnsi="Garamond"/>
      <w:sz w:val="24"/>
      <w:szCs w:val="20"/>
    </w:rPr>
  </w:style>
  <w:style w:type="paragraph" w:customStyle="1" w:styleId="Table">
    <w:name w:val="Table"/>
    <w:aliases w:val="Ta"/>
    <w:basedOn w:val="Normal"/>
    <w:uiPriority w:val="99"/>
    <w:rsid w:val="00F46C7B"/>
    <w:rPr>
      <w:rFonts w:ascii="Garamond" w:hAnsi="Garamond"/>
    </w:rPr>
  </w:style>
  <w:style w:type="character" w:customStyle="1" w:styleId="DDBBullet1Car">
    <w:name w:val="DDB Bullet 1 Car"/>
    <w:link w:val="DDBBullet1"/>
    <w:uiPriority w:val="99"/>
    <w:locked/>
    <w:rsid w:val="00F46C7B"/>
    <w:rPr>
      <w:rFonts w:ascii="Garamond" w:eastAsia="Times New Roman" w:hAnsi="Garamond" w:cs="Times New Roman"/>
      <w:sz w:val="20"/>
      <w:szCs w:val="24"/>
      <w:lang w:val="en-US"/>
    </w:rPr>
  </w:style>
  <w:style w:type="paragraph" w:styleId="Signature">
    <w:name w:val="Signature"/>
    <w:aliases w:val="si"/>
    <w:basedOn w:val="Normal"/>
    <w:link w:val="SignatureChar"/>
    <w:uiPriority w:val="99"/>
    <w:rsid w:val="00F46C7B"/>
    <w:pPr>
      <w:ind w:left="4320"/>
    </w:pPr>
    <w:rPr>
      <w:rFonts w:ascii="Garamond" w:hAnsi="Garamond"/>
      <w:sz w:val="24"/>
      <w:szCs w:val="20"/>
    </w:rPr>
  </w:style>
  <w:style w:type="character" w:customStyle="1" w:styleId="SignatureChar">
    <w:name w:val="Signature Char"/>
    <w:aliases w:val="si Char"/>
    <w:basedOn w:val="DefaultParagraphFont"/>
    <w:link w:val="Signature"/>
    <w:uiPriority w:val="99"/>
    <w:rsid w:val="00F46C7B"/>
    <w:rPr>
      <w:rFonts w:ascii="Garamond" w:eastAsia="Times New Roman" w:hAnsi="Garamond" w:cs="Times New Roman"/>
      <w:sz w:val="24"/>
      <w:szCs w:val="20"/>
      <w:lang w:val="en-US"/>
    </w:rPr>
  </w:style>
  <w:style w:type="paragraph" w:styleId="TOC3">
    <w:name w:val="toc 3"/>
    <w:aliases w:val="toc3"/>
    <w:basedOn w:val="Normal"/>
    <w:next w:val="Normal"/>
    <w:autoRedefine/>
    <w:uiPriority w:val="39"/>
    <w:rsid w:val="00F46C7B"/>
    <w:pPr>
      <w:tabs>
        <w:tab w:val="left" w:pos="1701"/>
        <w:tab w:val="right" w:leader="dot" w:pos="9360"/>
      </w:tabs>
      <w:spacing w:before="20" w:after="20"/>
      <w:ind w:left="1701" w:right="380" w:hanging="850"/>
    </w:pPr>
    <w:rPr>
      <w:rFonts w:ascii="Garamond" w:hAnsi="Garamond"/>
      <w:noProof/>
    </w:rPr>
  </w:style>
  <w:style w:type="paragraph" w:styleId="TOC4">
    <w:name w:val="toc 4"/>
    <w:aliases w:val="toc4"/>
    <w:basedOn w:val="Normal"/>
    <w:next w:val="Normal"/>
    <w:autoRedefine/>
    <w:rsid w:val="00F46C7B"/>
    <w:pPr>
      <w:tabs>
        <w:tab w:val="right" w:leader="dot" w:pos="9360"/>
      </w:tabs>
      <w:ind w:left="720"/>
    </w:pPr>
    <w:rPr>
      <w:rFonts w:ascii="Garamond" w:hAnsi="Garamond"/>
    </w:rPr>
  </w:style>
  <w:style w:type="paragraph" w:styleId="TOC5">
    <w:name w:val="toc 5"/>
    <w:aliases w:val="toc5"/>
    <w:basedOn w:val="Normal"/>
    <w:next w:val="Normal"/>
    <w:autoRedefine/>
    <w:rsid w:val="00F46C7B"/>
    <w:pPr>
      <w:tabs>
        <w:tab w:val="right" w:leader="dot" w:pos="9360"/>
      </w:tabs>
      <w:ind w:left="960"/>
    </w:pPr>
    <w:rPr>
      <w:rFonts w:ascii="Garamond" w:hAnsi="Garamond"/>
    </w:rPr>
  </w:style>
  <w:style w:type="paragraph" w:styleId="TOC6">
    <w:name w:val="toc 6"/>
    <w:aliases w:val="toc6"/>
    <w:basedOn w:val="Normal"/>
    <w:next w:val="Normal"/>
    <w:autoRedefine/>
    <w:rsid w:val="00F46C7B"/>
    <w:pPr>
      <w:tabs>
        <w:tab w:val="right" w:leader="dot" w:pos="9360"/>
      </w:tabs>
      <w:ind w:left="1200"/>
    </w:pPr>
    <w:rPr>
      <w:rFonts w:ascii="Garamond" w:hAnsi="Garamond"/>
    </w:rPr>
  </w:style>
  <w:style w:type="paragraph" w:styleId="TOC7">
    <w:name w:val="toc 7"/>
    <w:aliases w:val="toc7"/>
    <w:basedOn w:val="Normal"/>
    <w:next w:val="Normal"/>
    <w:autoRedefine/>
    <w:rsid w:val="00F46C7B"/>
    <w:pPr>
      <w:tabs>
        <w:tab w:val="right" w:leader="dot" w:pos="9360"/>
      </w:tabs>
      <w:ind w:left="1440"/>
    </w:pPr>
    <w:rPr>
      <w:rFonts w:ascii="Garamond" w:hAnsi="Garamond"/>
    </w:rPr>
  </w:style>
  <w:style w:type="paragraph" w:styleId="TOC8">
    <w:name w:val="toc 8"/>
    <w:aliases w:val="toc8"/>
    <w:basedOn w:val="Normal"/>
    <w:next w:val="Normal"/>
    <w:autoRedefine/>
    <w:rsid w:val="00F46C7B"/>
    <w:pPr>
      <w:tabs>
        <w:tab w:val="right" w:leader="dot" w:pos="9360"/>
      </w:tabs>
      <w:ind w:left="1680"/>
    </w:pPr>
    <w:rPr>
      <w:rFonts w:ascii="Garamond" w:hAnsi="Garamond"/>
    </w:rPr>
  </w:style>
  <w:style w:type="paragraph" w:styleId="TOC9">
    <w:name w:val="toc 9"/>
    <w:aliases w:val="toc9"/>
    <w:basedOn w:val="Normal"/>
    <w:next w:val="Normal"/>
    <w:autoRedefine/>
    <w:rsid w:val="00F46C7B"/>
    <w:pPr>
      <w:tabs>
        <w:tab w:val="right" w:leader="dot" w:pos="9360"/>
      </w:tabs>
      <w:ind w:left="1920"/>
    </w:pPr>
    <w:rPr>
      <w:rFonts w:ascii="Garamond" w:hAnsi="Garamond"/>
    </w:rPr>
  </w:style>
  <w:style w:type="paragraph" w:customStyle="1" w:styleId="duedil2">
    <w:name w:val="due dil 2"/>
    <w:basedOn w:val="Normal"/>
    <w:uiPriority w:val="99"/>
    <w:rsid w:val="00F46C7B"/>
    <w:pPr>
      <w:tabs>
        <w:tab w:val="num" w:pos="0"/>
      </w:tabs>
      <w:ind w:left="560" w:hanging="560"/>
    </w:pPr>
    <w:rPr>
      <w:rFonts w:ascii="Garamond" w:hAnsi="Garamond"/>
      <w:iCs/>
      <w:szCs w:val="22"/>
    </w:rPr>
  </w:style>
  <w:style w:type="paragraph" w:customStyle="1" w:styleId="puce">
    <w:name w:val="puce"/>
    <w:basedOn w:val="Normal"/>
    <w:uiPriority w:val="99"/>
    <w:rsid w:val="00F46C7B"/>
    <w:pPr>
      <w:tabs>
        <w:tab w:val="num" w:pos="360"/>
      </w:tabs>
      <w:ind w:left="360" w:hanging="360"/>
    </w:pPr>
    <w:rPr>
      <w:rFonts w:ascii="Garamond" w:hAnsi="Garamond"/>
      <w:i/>
      <w:iCs/>
      <w:color w:val="000000"/>
      <w:szCs w:val="20"/>
    </w:rPr>
  </w:style>
  <w:style w:type="character" w:customStyle="1" w:styleId="DDBBullet2Car">
    <w:name w:val="DDB Bullet 2 Car"/>
    <w:link w:val="DDBBullet2"/>
    <w:uiPriority w:val="99"/>
    <w:locked/>
    <w:rsid w:val="00F46C7B"/>
    <w:rPr>
      <w:rFonts w:ascii="Garamond" w:eastAsia="Times New Roman" w:hAnsi="Garamond" w:cs="Times New Roman"/>
      <w:sz w:val="20"/>
      <w:szCs w:val="24"/>
      <w:lang w:val="en-US"/>
    </w:rPr>
  </w:style>
  <w:style w:type="paragraph" w:customStyle="1" w:styleId="soustitrea">
    <w:name w:val="sous titre a)"/>
    <w:basedOn w:val="Normal"/>
    <w:uiPriority w:val="99"/>
    <w:rsid w:val="00F46C7B"/>
    <w:pPr>
      <w:numPr>
        <w:numId w:val="14"/>
      </w:numPr>
    </w:pPr>
    <w:rPr>
      <w:rFonts w:ascii="Tahoma" w:hAnsi="Tahoma" w:cs="Tahoma"/>
      <w:b/>
      <w:bCs/>
      <w:szCs w:val="20"/>
    </w:rPr>
  </w:style>
  <w:style w:type="paragraph" w:styleId="Date">
    <w:name w:val="Date"/>
    <w:basedOn w:val="Normal"/>
    <w:next w:val="Normal"/>
    <w:link w:val="DateChar"/>
    <w:uiPriority w:val="99"/>
    <w:rsid w:val="00F46C7B"/>
    <w:rPr>
      <w:rFonts w:ascii="Garamond" w:hAnsi="Garamond"/>
      <w:szCs w:val="20"/>
    </w:rPr>
  </w:style>
  <w:style w:type="character" w:customStyle="1" w:styleId="DateChar">
    <w:name w:val="Date Char"/>
    <w:basedOn w:val="DefaultParagraphFont"/>
    <w:link w:val="Date"/>
    <w:uiPriority w:val="99"/>
    <w:rsid w:val="00F46C7B"/>
    <w:rPr>
      <w:rFonts w:ascii="Garamond" w:eastAsia="Times New Roman" w:hAnsi="Garamond" w:cs="Times New Roman"/>
      <w:sz w:val="20"/>
      <w:szCs w:val="20"/>
      <w:lang w:val="en-US"/>
    </w:rPr>
  </w:style>
  <w:style w:type="paragraph" w:styleId="MessageHeader">
    <w:name w:val="Message Header"/>
    <w:basedOn w:val="Normal"/>
    <w:link w:val="MessageHeaderChar"/>
    <w:uiPriority w:val="99"/>
    <w:rsid w:val="00F46C7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0"/>
    </w:rPr>
  </w:style>
  <w:style w:type="character" w:customStyle="1" w:styleId="MessageHeaderChar">
    <w:name w:val="Message Header Char"/>
    <w:basedOn w:val="DefaultParagraphFont"/>
    <w:link w:val="MessageHeader"/>
    <w:uiPriority w:val="99"/>
    <w:rsid w:val="00F46C7B"/>
    <w:rPr>
      <w:rFonts w:ascii="Arial" w:eastAsia="Times New Roman" w:hAnsi="Arial" w:cs="Times New Roman"/>
      <w:sz w:val="24"/>
      <w:szCs w:val="20"/>
      <w:shd w:val="pct20" w:color="auto" w:fill="auto"/>
      <w:lang w:val="en-US"/>
    </w:rPr>
  </w:style>
  <w:style w:type="paragraph" w:styleId="Closing">
    <w:name w:val="Closing"/>
    <w:basedOn w:val="Normal"/>
    <w:link w:val="ClosingChar"/>
    <w:uiPriority w:val="99"/>
    <w:rsid w:val="00F46C7B"/>
    <w:pPr>
      <w:ind w:left="4252"/>
    </w:pPr>
    <w:rPr>
      <w:rFonts w:ascii="Garamond" w:hAnsi="Garamond"/>
      <w:szCs w:val="20"/>
    </w:rPr>
  </w:style>
  <w:style w:type="character" w:customStyle="1" w:styleId="ClosingChar">
    <w:name w:val="Closing Char"/>
    <w:basedOn w:val="DefaultParagraphFont"/>
    <w:link w:val="Closing"/>
    <w:uiPriority w:val="99"/>
    <w:rsid w:val="00F46C7B"/>
    <w:rPr>
      <w:rFonts w:ascii="Garamond" w:eastAsia="Times New Roman" w:hAnsi="Garamond" w:cs="Times New Roman"/>
      <w:sz w:val="20"/>
      <w:szCs w:val="20"/>
      <w:lang w:val="en-US"/>
    </w:rPr>
  </w:style>
  <w:style w:type="paragraph" w:styleId="Index3">
    <w:name w:val="index 3"/>
    <w:basedOn w:val="Normal"/>
    <w:next w:val="Normal"/>
    <w:autoRedefine/>
    <w:uiPriority w:val="99"/>
    <w:rsid w:val="00F46C7B"/>
    <w:pPr>
      <w:ind w:left="720" w:hanging="240"/>
    </w:pPr>
    <w:rPr>
      <w:rFonts w:ascii="Garamond" w:hAnsi="Garamond"/>
      <w:szCs w:val="20"/>
    </w:rPr>
  </w:style>
  <w:style w:type="paragraph" w:styleId="Index4">
    <w:name w:val="index 4"/>
    <w:basedOn w:val="Normal"/>
    <w:next w:val="Normal"/>
    <w:autoRedefine/>
    <w:uiPriority w:val="99"/>
    <w:rsid w:val="00F46C7B"/>
    <w:pPr>
      <w:ind w:left="960" w:hanging="240"/>
    </w:pPr>
    <w:rPr>
      <w:rFonts w:ascii="Garamond" w:hAnsi="Garamond"/>
      <w:szCs w:val="20"/>
    </w:rPr>
  </w:style>
  <w:style w:type="paragraph" w:styleId="Index5">
    <w:name w:val="index 5"/>
    <w:basedOn w:val="Normal"/>
    <w:next w:val="Normal"/>
    <w:autoRedefine/>
    <w:uiPriority w:val="99"/>
    <w:rsid w:val="00F46C7B"/>
    <w:pPr>
      <w:ind w:left="1200" w:hanging="240"/>
    </w:pPr>
    <w:rPr>
      <w:rFonts w:ascii="Garamond" w:hAnsi="Garamond"/>
      <w:szCs w:val="20"/>
    </w:rPr>
  </w:style>
  <w:style w:type="paragraph" w:styleId="Index6">
    <w:name w:val="index 6"/>
    <w:basedOn w:val="Normal"/>
    <w:next w:val="Normal"/>
    <w:autoRedefine/>
    <w:uiPriority w:val="99"/>
    <w:rsid w:val="00F46C7B"/>
    <w:pPr>
      <w:ind w:left="1440" w:hanging="240"/>
    </w:pPr>
    <w:rPr>
      <w:rFonts w:ascii="Garamond" w:hAnsi="Garamond"/>
      <w:szCs w:val="20"/>
    </w:rPr>
  </w:style>
  <w:style w:type="paragraph" w:styleId="Index7">
    <w:name w:val="index 7"/>
    <w:basedOn w:val="Normal"/>
    <w:next w:val="Normal"/>
    <w:autoRedefine/>
    <w:uiPriority w:val="99"/>
    <w:rsid w:val="00F46C7B"/>
    <w:pPr>
      <w:ind w:left="1680" w:hanging="240"/>
    </w:pPr>
    <w:rPr>
      <w:rFonts w:ascii="Garamond" w:hAnsi="Garamond"/>
      <w:szCs w:val="20"/>
    </w:rPr>
  </w:style>
  <w:style w:type="paragraph" w:styleId="Index8">
    <w:name w:val="index 8"/>
    <w:basedOn w:val="Normal"/>
    <w:next w:val="Normal"/>
    <w:autoRedefine/>
    <w:uiPriority w:val="99"/>
    <w:rsid w:val="00F46C7B"/>
    <w:pPr>
      <w:ind w:left="1920" w:hanging="240"/>
    </w:pPr>
    <w:rPr>
      <w:rFonts w:ascii="Garamond" w:hAnsi="Garamond"/>
      <w:szCs w:val="20"/>
    </w:rPr>
  </w:style>
  <w:style w:type="paragraph" w:styleId="Index9">
    <w:name w:val="index 9"/>
    <w:basedOn w:val="Normal"/>
    <w:next w:val="Normal"/>
    <w:autoRedefine/>
    <w:uiPriority w:val="99"/>
    <w:rsid w:val="00F46C7B"/>
    <w:pPr>
      <w:ind w:left="2160" w:hanging="240"/>
    </w:pPr>
    <w:rPr>
      <w:rFonts w:ascii="Garamond" w:hAnsi="Garamond"/>
      <w:szCs w:val="20"/>
    </w:rPr>
  </w:style>
  <w:style w:type="paragraph" w:styleId="Caption">
    <w:name w:val="caption"/>
    <w:basedOn w:val="Normal"/>
    <w:next w:val="Normal"/>
    <w:uiPriority w:val="35"/>
    <w:qFormat/>
    <w:rsid w:val="00F46C7B"/>
    <w:pPr>
      <w:spacing w:before="120"/>
    </w:pPr>
    <w:rPr>
      <w:rFonts w:ascii="Garamond" w:hAnsi="Garamond"/>
      <w:b/>
      <w:bCs/>
      <w:szCs w:val="20"/>
    </w:rPr>
  </w:style>
  <w:style w:type="paragraph" w:styleId="List">
    <w:name w:val="List"/>
    <w:basedOn w:val="Normal"/>
    <w:uiPriority w:val="99"/>
    <w:rsid w:val="00F46C7B"/>
    <w:pPr>
      <w:ind w:left="283" w:hanging="283"/>
    </w:pPr>
    <w:rPr>
      <w:rFonts w:ascii="Garamond" w:hAnsi="Garamond"/>
      <w:szCs w:val="20"/>
    </w:rPr>
  </w:style>
  <w:style w:type="paragraph" w:styleId="List2">
    <w:name w:val="List 2"/>
    <w:basedOn w:val="Normal"/>
    <w:uiPriority w:val="99"/>
    <w:rsid w:val="00F46C7B"/>
    <w:pPr>
      <w:ind w:left="566" w:hanging="283"/>
    </w:pPr>
    <w:rPr>
      <w:rFonts w:ascii="Garamond" w:hAnsi="Garamond"/>
      <w:szCs w:val="20"/>
    </w:rPr>
  </w:style>
  <w:style w:type="paragraph" w:styleId="List3">
    <w:name w:val="List 3"/>
    <w:basedOn w:val="Normal"/>
    <w:uiPriority w:val="99"/>
    <w:rsid w:val="00F46C7B"/>
    <w:pPr>
      <w:ind w:left="849" w:hanging="283"/>
    </w:pPr>
    <w:rPr>
      <w:rFonts w:ascii="Garamond" w:hAnsi="Garamond"/>
      <w:szCs w:val="20"/>
    </w:rPr>
  </w:style>
  <w:style w:type="paragraph" w:styleId="List4">
    <w:name w:val="List 4"/>
    <w:basedOn w:val="Normal"/>
    <w:uiPriority w:val="99"/>
    <w:rsid w:val="00F46C7B"/>
    <w:pPr>
      <w:ind w:left="1132" w:hanging="283"/>
    </w:pPr>
    <w:rPr>
      <w:rFonts w:ascii="Garamond" w:hAnsi="Garamond"/>
      <w:szCs w:val="20"/>
    </w:rPr>
  </w:style>
  <w:style w:type="paragraph" w:styleId="List5">
    <w:name w:val="List 5"/>
    <w:basedOn w:val="Normal"/>
    <w:uiPriority w:val="99"/>
    <w:rsid w:val="00F46C7B"/>
    <w:pPr>
      <w:ind w:left="1415" w:hanging="283"/>
    </w:pPr>
    <w:rPr>
      <w:rFonts w:ascii="Garamond" w:hAnsi="Garamond"/>
      <w:szCs w:val="20"/>
    </w:rPr>
  </w:style>
  <w:style w:type="paragraph" w:styleId="ListNumber2">
    <w:name w:val="List Number 2"/>
    <w:basedOn w:val="Normal"/>
    <w:uiPriority w:val="99"/>
    <w:rsid w:val="00F46C7B"/>
    <w:pPr>
      <w:tabs>
        <w:tab w:val="num" w:pos="643"/>
      </w:tabs>
      <w:ind w:left="643" w:hanging="360"/>
    </w:pPr>
    <w:rPr>
      <w:rFonts w:ascii="Garamond" w:hAnsi="Garamond"/>
      <w:szCs w:val="20"/>
    </w:rPr>
  </w:style>
  <w:style w:type="paragraph" w:styleId="ListNumber3">
    <w:name w:val="List Number 3"/>
    <w:basedOn w:val="Normal"/>
    <w:uiPriority w:val="99"/>
    <w:rsid w:val="00F46C7B"/>
    <w:pPr>
      <w:tabs>
        <w:tab w:val="num" w:pos="926"/>
      </w:tabs>
      <w:ind w:left="926" w:hanging="360"/>
    </w:pPr>
    <w:rPr>
      <w:rFonts w:ascii="Garamond" w:hAnsi="Garamond"/>
      <w:szCs w:val="20"/>
    </w:rPr>
  </w:style>
  <w:style w:type="paragraph" w:styleId="ListNumber4">
    <w:name w:val="List Number 4"/>
    <w:basedOn w:val="Normal"/>
    <w:uiPriority w:val="99"/>
    <w:rsid w:val="00F46C7B"/>
    <w:pPr>
      <w:tabs>
        <w:tab w:val="num" w:pos="1209"/>
      </w:tabs>
      <w:ind w:left="1209" w:hanging="360"/>
    </w:pPr>
    <w:rPr>
      <w:rFonts w:ascii="Garamond" w:hAnsi="Garamond"/>
      <w:szCs w:val="20"/>
    </w:rPr>
  </w:style>
  <w:style w:type="paragraph" w:styleId="ListNumber5">
    <w:name w:val="List Number 5"/>
    <w:basedOn w:val="Normal"/>
    <w:uiPriority w:val="99"/>
    <w:rsid w:val="00F46C7B"/>
    <w:pPr>
      <w:tabs>
        <w:tab w:val="num" w:pos="1492"/>
      </w:tabs>
      <w:ind w:left="1492" w:hanging="360"/>
    </w:pPr>
    <w:rPr>
      <w:rFonts w:ascii="Garamond" w:hAnsi="Garamond"/>
      <w:szCs w:val="20"/>
    </w:rPr>
  </w:style>
  <w:style w:type="paragraph" w:styleId="ListContinue2">
    <w:name w:val="List Continue 2"/>
    <w:basedOn w:val="Normal"/>
    <w:uiPriority w:val="99"/>
    <w:rsid w:val="00F46C7B"/>
    <w:pPr>
      <w:ind w:left="566"/>
    </w:pPr>
    <w:rPr>
      <w:rFonts w:ascii="Garamond" w:hAnsi="Garamond"/>
      <w:szCs w:val="20"/>
    </w:rPr>
  </w:style>
  <w:style w:type="paragraph" w:styleId="ListContinue3">
    <w:name w:val="List Continue 3"/>
    <w:basedOn w:val="Normal"/>
    <w:uiPriority w:val="99"/>
    <w:rsid w:val="00F46C7B"/>
    <w:pPr>
      <w:ind w:left="849"/>
    </w:pPr>
    <w:rPr>
      <w:rFonts w:ascii="Garamond" w:hAnsi="Garamond"/>
      <w:szCs w:val="20"/>
    </w:rPr>
  </w:style>
  <w:style w:type="paragraph" w:styleId="ListContinue5">
    <w:name w:val="List Continue 5"/>
    <w:basedOn w:val="Normal"/>
    <w:uiPriority w:val="99"/>
    <w:rsid w:val="00F46C7B"/>
    <w:pPr>
      <w:ind w:left="1415"/>
    </w:pPr>
    <w:rPr>
      <w:rFonts w:ascii="Garamond" w:hAnsi="Garamond"/>
      <w:szCs w:val="20"/>
    </w:rPr>
  </w:style>
  <w:style w:type="paragraph" w:styleId="HTMLPreformatted">
    <w:name w:val="HTML Preformatted"/>
    <w:basedOn w:val="Normal"/>
    <w:link w:val="HTMLPreformattedChar"/>
    <w:uiPriority w:val="99"/>
    <w:rsid w:val="00F46C7B"/>
    <w:rPr>
      <w:rFonts w:ascii="Courier New" w:hAnsi="Courier New"/>
      <w:szCs w:val="20"/>
    </w:rPr>
  </w:style>
  <w:style w:type="character" w:customStyle="1" w:styleId="HTMLPreformattedChar">
    <w:name w:val="HTML Preformatted Char"/>
    <w:basedOn w:val="DefaultParagraphFont"/>
    <w:link w:val="HTMLPreformatted"/>
    <w:uiPriority w:val="99"/>
    <w:rsid w:val="00F46C7B"/>
    <w:rPr>
      <w:rFonts w:ascii="Courier New" w:eastAsia="Times New Roman" w:hAnsi="Courier New" w:cs="Times New Roman"/>
      <w:sz w:val="20"/>
      <w:szCs w:val="20"/>
      <w:lang w:val="en-US"/>
    </w:rPr>
  </w:style>
  <w:style w:type="paragraph" w:styleId="BodyTextIndent">
    <w:name w:val="Body Text Indent"/>
    <w:basedOn w:val="Normal"/>
    <w:link w:val="BodyTextIndentChar1"/>
    <w:uiPriority w:val="99"/>
    <w:rsid w:val="00F46C7B"/>
    <w:pPr>
      <w:ind w:left="283"/>
    </w:pPr>
    <w:rPr>
      <w:rFonts w:ascii="Garamond" w:hAnsi="Garamond"/>
      <w:szCs w:val="20"/>
    </w:rPr>
  </w:style>
  <w:style w:type="character" w:customStyle="1" w:styleId="BodyTextIndentChar1">
    <w:name w:val="Body Text Indent Char1"/>
    <w:basedOn w:val="DefaultParagraphFont"/>
    <w:link w:val="BodyTextIndent"/>
    <w:uiPriority w:val="99"/>
    <w:rsid w:val="00F46C7B"/>
    <w:rPr>
      <w:rFonts w:ascii="Garamond" w:eastAsia="Times New Roman" w:hAnsi="Garamond" w:cs="Times New Roman"/>
      <w:sz w:val="20"/>
      <w:szCs w:val="20"/>
      <w:lang w:val="en-US"/>
    </w:rPr>
  </w:style>
  <w:style w:type="character" w:customStyle="1" w:styleId="BodyTextIndentChar">
    <w:name w:val="Body Text Indent Char"/>
    <w:basedOn w:val="DefaultParagraphFont"/>
    <w:uiPriority w:val="99"/>
    <w:locked/>
    <w:rsid w:val="00F46C7B"/>
    <w:rPr>
      <w:rFonts w:ascii="Times New Roman" w:hAnsi="Times New Roman" w:cs="Times New Roman"/>
      <w:sz w:val="20"/>
      <w:lang w:eastAsia="fr-FR"/>
    </w:rPr>
  </w:style>
  <w:style w:type="paragraph" w:styleId="BodyTextIndent2">
    <w:name w:val="Body Text Indent 2"/>
    <w:basedOn w:val="Normal"/>
    <w:link w:val="BodyTextIndent2Char"/>
    <w:uiPriority w:val="99"/>
    <w:rsid w:val="00F46C7B"/>
    <w:pPr>
      <w:spacing w:line="480" w:lineRule="auto"/>
      <w:ind w:left="283"/>
    </w:pPr>
    <w:rPr>
      <w:rFonts w:ascii="Garamond" w:hAnsi="Garamond"/>
      <w:szCs w:val="20"/>
    </w:rPr>
  </w:style>
  <w:style w:type="character" w:customStyle="1" w:styleId="BodyTextIndent2Char">
    <w:name w:val="Body Text Indent 2 Char"/>
    <w:basedOn w:val="DefaultParagraphFont"/>
    <w:link w:val="BodyTextIndent2"/>
    <w:uiPriority w:val="99"/>
    <w:rsid w:val="00F46C7B"/>
    <w:rPr>
      <w:rFonts w:ascii="Garamond" w:eastAsia="Times New Roman" w:hAnsi="Garamond" w:cs="Times New Roman"/>
      <w:sz w:val="20"/>
      <w:szCs w:val="20"/>
      <w:lang w:val="en-US"/>
    </w:rPr>
  </w:style>
  <w:style w:type="paragraph" w:styleId="BodyTextFirstIndent2">
    <w:name w:val="Body Text First Indent 2"/>
    <w:basedOn w:val="BodyTextIndent"/>
    <w:link w:val="BodyTextFirstIndent2Char"/>
    <w:uiPriority w:val="99"/>
    <w:rsid w:val="00F46C7B"/>
    <w:pPr>
      <w:ind w:firstLine="210"/>
    </w:pPr>
  </w:style>
  <w:style w:type="character" w:customStyle="1" w:styleId="BodyTextFirstIndent2Char">
    <w:name w:val="Body Text First Indent 2 Char"/>
    <w:basedOn w:val="BodyTextIndentChar1"/>
    <w:link w:val="BodyTextFirstIndent2"/>
    <w:uiPriority w:val="99"/>
    <w:rsid w:val="00F46C7B"/>
    <w:rPr>
      <w:rFonts w:ascii="Garamond" w:eastAsia="Times New Roman" w:hAnsi="Garamond" w:cs="Times New Roman"/>
      <w:sz w:val="20"/>
      <w:szCs w:val="20"/>
      <w:lang w:val="en-US"/>
    </w:rPr>
  </w:style>
  <w:style w:type="paragraph" w:styleId="NormalIndent">
    <w:name w:val="Normal Indent"/>
    <w:basedOn w:val="Normal"/>
    <w:uiPriority w:val="99"/>
    <w:rsid w:val="00F46C7B"/>
    <w:pPr>
      <w:ind w:left="708"/>
    </w:pPr>
    <w:rPr>
      <w:rFonts w:ascii="Garamond" w:hAnsi="Garamond"/>
      <w:szCs w:val="20"/>
    </w:rPr>
  </w:style>
  <w:style w:type="paragraph" w:styleId="Salutation">
    <w:name w:val="Salutation"/>
    <w:basedOn w:val="Normal"/>
    <w:next w:val="Normal"/>
    <w:link w:val="SalutationChar"/>
    <w:uiPriority w:val="99"/>
    <w:rsid w:val="00F46C7B"/>
    <w:rPr>
      <w:rFonts w:ascii="Garamond" w:hAnsi="Garamond"/>
      <w:szCs w:val="20"/>
    </w:rPr>
  </w:style>
  <w:style w:type="character" w:customStyle="1" w:styleId="SalutationChar">
    <w:name w:val="Salutation Char"/>
    <w:basedOn w:val="DefaultParagraphFont"/>
    <w:link w:val="Salutation"/>
    <w:uiPriority w:val="99"/>
    <w:rsid w:val="00F46C7B"/>
    <w:rPr>
      <w:rFonts w:ascii="Garamond" w:eastAsia="Times New Roman" w:hAnsi="Garamond" w:cs="Times New Roman"/>
      <w:sz w:val="20"/>
      <w:szCs w:val="20"/>
      <w:lang w:val="en-US"/>
    </w:rPr>
  </w:style>
  <w:style w:type="paragraph" w:styleId="E-mailSignature">
    <w:name w:val="E-mail Signature"/>
    <w:basedOn w:val="Normal"/>
    <w:link w:val="E-mailSignatureChar"/>
    <w:uiPriority w:val="99"/>
    <w:rsid w:val="00F46C7B"/>
    <w:rPr>
      <w:rFonts w:ascii="Garamond" w:hAnsi="Garamond"/>
      <w:szCs w:val="20"/>
    </w:rPr>
  </w:style>
  <w:style w:type="character" w:customStyle="1" w:styleId="E-mailSignatureChar">
    <w:name w:val="E-mail Signature Char"/>
    <w:basedOn w:val="DefaultParagraphFont"/>
    <w:link w:val="E-mailSignature"/>
    <w:uiPriority w:val="99"/>
    <w:rsid w:val="00F46C7B"/>
    <w:rPr>
      <w:rFonts w:ascii="Garamond" w:eastAsia="Times New Roman" w:hAnsi="Garamond" w:cs="Times New Roman"/>
      <w:sz w:val="20"/>
      <w:szCs w:val="20"/>
      <w:lang w:val="en-US"/>
    </w:rPr>
  </w:style>
  <w:style w:type="paragraph" w:styleId="TableofFigures">
    <w:name w:val="table of figures"/>
    <w:basedOn w:val="Normal"/>
    <w:next w:val="Normal"/>
    <w:uiPriority w:val="99"/>
    <w:rsid w:val="00F46C7B"/>
    <w:pPr>
      <w:ind w:left="480" w:hanging="480"/>
    </w:pPr>
    <w:rPr>
      <w:rFonts w:ascii="Garamond" w:hAnsi="Garamond"/>
      <w:szCs w:val="20"/>
    </w:rPr>
  </w:style>
  <w:style w:type="paragraph" w:styleId="TableofAuthorities">
    <w:name w:val="table of authorities"/>
    <w:basedOn w:val="Normal"/>
    <w:next w:val="Normal"/>
    <w:uiPriority w:val="99"/>
    <w:rsid w:val="00F46C7B"/>
    <w:pPr>
      <w:ind w:left="240" w:hanging="240"/>
    </w:pPr>
    <w:rPr>
      <w:rFonts w:ascii="Garamond" w:hAnsi="Garamond"/>
      <w:szCs w:val="20"/>
    </w:rPr>
  </w:style>
  <w:style w:type="paragraph" w:styleId="PlainText">
    <w:name w:val="Plain Text"/>
    <w:basedOn w:val="Normal"/>
    <w:link w:val="PlainTextChar1"/>
    <w:uiPriority w:val="99"/>
    <w:rsid w:val="00F46C7B"/>
    <w:rPr>
      <w:rFonts w:ascii="Courier New" w:hAnsi="Courier New"/>
      <w:szCs w:val="20"/>
    </w:rPr>
  </w:style>
  <w:style w:type="character" w:customStyle="1" w:styleId="PlainTextChar1">
    <w:name w:val="Plain Text Char1"/>
    <w:basedOn w:val="DefaultParagraphFont"/>
    <w:link w:val="PlainText"/>
    <w:uiPriority w:val="99"/>
    <w:rsid w:val="00F46C7B"/>
    <w:rPr>
      <w:rFonts w:ascii="Courier New" w:eastAsia="Times New Roman" w:hAnsi="Courier New" w:cs="Times New Roman"/>
      <w:sz w:val="20"/>
      <w:szCs w:val="20"/>
      <w:lang w:val="en-US"/>
    </w:rPr>
  </w:style>
  <w:style w:type="character" w:customStyle="1" w:styleId="PlainTextChar">
    <w:name w:val="Plain Text Char"/>
    <w:basedOn w:val="DefaultParagraphFont"/>
    <w:uiPriority w:val="99"/>
    <w:locked/>
    <w:rsid w:val="00F46C7B"/>
    <w:rPr>
      <w:rFonts w:ascii="Courier New" w:hAnsi="Courier New" w:cs="Times New Roman"/>
      <w:sz w:val="20"/>
      <w:lang w:eastAsia="fr-FR"/>
    </w:rPr>
  </w:style>
  <w:style w:type="paragraph" w:styleId="MacroText">
    <w:name w:val="macro"/>
    <w:link w:val="MacroTextChar"/>
    <w:uiPriority w:val="99"/>
    <w:rsid w:val="00F46C7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4"/>
      <w:szCs w:val="24"/>
      <w:lang w:val="en-US"/>
    </w:rPr>
  </w:style>
  <w:style w:type="character" w:customStyle="1" w:styleId="MacroTextChar">
    <w:name w:val="Macro Text Char"/>
    <w:basedOn w:val="DefaultParagraphFont"/>
    <w:link w:val="MacroText"/>
    <w:uiPriority w:val="99"/>
    <w:rsid w:val="00F46C7B"/>
    <w:rPr>
      <w:rFonts w:ascii="Courier New" w:eastAsia="Times New Roman" w:hAnsi="Courier New" w:cs="Times New Roman"/>
      <w:sz w:val="24"/>
      <w:szCs w:val="24"/>
      <w:lang w:val="en-US"/>
    </w:rPr>
  </w:style>
  <w:style w:type="character" w:styleId="FollowedHyperlink">
    <w:name w:val="FollowedHyperlink"/>
    <w:basedOn w:val="DefaultParagraphFont"/>
    <w:uiPriority w:val="99"/>
    <w:rsid w:val="00F46C7B"/>
    <w:rPr>
      <w:rFonts w:cs="Times New Roman"/>
      <w:color w:val="800080"/>
      <w:u w:val="single"/>
    </w:rPr>
  </w:style>
  <w:style w:type="character" w:customStyle="1" w:styleId="DeltaViewInsertion">
    <w:name w:val="DeltaView Insertion"/>
    <w:uiPriority w:val="99"/>
    <w:rsid w:val="00F46C7B"/>
    <w:rPr>
      <w:color w:val="0000FF"/>
      <w:spacing w:val="0"/>
      <w:u w:val="double"/>
    </w:rPr>
  </w:style>
  <w:style w:type="paragraph" w:customStyle="1" w:styleId="font0">
    <w:name w:val="font0"/>
    <w:basedOn w:val="Normal"/>
    <w:uiPriority w:val="99"/>
    <w:rsid w:val="00F46C7B"/>
    <w:pPr>
      <w:spacing w:before="100" w:beforeAutospacing="1" w:after="100" w:afterAutospacing="1"/>
    </w:pPr>
    <w:rPr>
      <w:rFonts w:ascii="Arial" w:hAnsi="Arial" w:cs="Arial"/>
      <w:szCs w:val="20"/>
    </w:rPr>
  </w:style>
  <w:style w:type="paragraph" w:customStyle="1" w:styleId="font5">
    <w:name w:val="font5"/>
    <w:basedOn w:val="Normal"/>
    <w:uiPriority w:val="99"/>
    <w:rsid w:val="00F46C7B"/>
    <w:pPr>
      <w:numPr>
        <w:ilvl w:val="3"/>
        <w:numId w:val="15"/>
      </w:numPr>
      <w:tabs>
        <w:tab w:val="clear" w:pos="2844"/>
      </w:tabs>
      <w:spacing w:before="100" w:beforeAutospacing="1" w:after="100" w:afterAutospacing="1"/>
      <w:ind w:left="0" w:firstLine="0"/>
    </w:pPr>
    <w:rPr>
      <w:rFonts w:ascii="Arial" w:hAnsi="Arial" w:cs="Arial"/>
      <w:szCs w:val="20"/>
    </w:rPr>
  </w:style>
  <w:style w:type="paragraph" w:customStyle="1" w:styleId="font6">
    <w:name w:val="font6"/>
    <w:basedOn w:val="Normal"/>
    <w:uiPriority w:val="99"/>
    <w:rsid w:val="00F46C7B"/>
    <w:pPr>
      <w:spacing w:before="100" w:beforeAutospacing="1" w:after="100" w:afterAutospacing="1"/>
    </w:pPr>
    <w:rPr>
      <w:rFonts w:ascii="Arial" w:hAnsi="Arial" w:cs="Arial"/>
      <w:b/>
      <w:bCs/>
      <w:szCs w:val="20"/>
    </w:rPr>
  </w:style>
  <w:style w:type="paragraph" w:customStyle="1" w:styleId="OmniPage1">
    <w:name w:val="OmniPage #1"/>
    <w:basedOn w:val="Normal"/>
    <w:uiPriority w:val="99"/>
    <w:rsid w:val="00F46C7B"/>
    <w:pPr>
      <w:spacing w:line="240" w:lineRule="exact"/>
    </w:pPr>
    <w:rPr>
      <w:rFonts w:ascii="Garamond" w:hAnsi="Garamond"/>
      <w:szCs w:val="20"/>
    </w:rPr>
  </w:style>
  <w:style w:type="paragraph" w:customStyle="1" w:styleId="OmniPage7">
    <w:name w:val="OmniPage #7"/>
    <w:basedOn w:val="Normal"/>
    <w:uiPriority w:val="99"/>
    <w:rsid w:val="00F46C7B"/>
    <w:pPr>
      <w:spacing w:line="180" w:lineRule="exact"/>
    </w:pPr>
    <w:rPr>
      <w:rFonts w:ascii="Garamond" w:hAnsi="Garamond"/>
      <w:szCs w:val="20"/>
    </w:rPr>
  </w:style>
  <w:style w:type="paragraph" w:customStyle="1" w:styleId="Heading1Bold11pt">
    <w:name w:val="Heading 1 + Bold + 11 pt"/>
    <w:aliases w:val="Small caps"/>
    <w:basedOn w:val="Normal"/>
    <w:uiPriority w:val="99"/>
    <w:rsid w:val="00F46C7B"/>
    <w:pPr>
      <w:keepNext/>
      <w:outlineLvl w:val="0"/>
    </w:pPr>
    <w:rPr>
      <w:rFonts w:ascii="Garamond" w:hAnsi="Garamond"/>
      <w:b/>
      <w:bCs/>
      <w:smallCaps/>
      <w:szCs w:val="22"/>
    </w:rPr>
  </w:style>
  <w:style w:type="paragraph" w:customStyle="1" w:styleId="Heading3Italic">
    <w:name w:val="Heading 3 + Italic"/>
    <w:basedOn w:val="Heading3"/>
    <w:uiPriority w:val="99"/>
    <w:rsid w:val="00F46C7B"/>
    <w:pPr>
      <w:keepNext w:val="0"/>
      <w:tabs>
        <w:tab w:val="left" w:pos="960"/>
      </w:tabs>
      <w:spacing w:before="600" w:after="240"/>
    </w:pPr>
    <w:rPr>
      <w:rFonts w:ascii="Garamond" w:eastAsia="Times New Roman" w:hAnsi="Garamond" w:cs="Arial"/>
      <w:b w:val="0"/>
      <w:i/>
      <w:sz w:val="24"/>
    </w:rPr>
  </w:style>
  <w:style w:type="paragraph" w:customStyle="1" w:styleId="NormalJustified">
    <w:name w:val="Normal + Justified"/>
    <w:basedOn w:val="Normal"/>
    <w:uiPriority w:val="99"/>
    <w:rsid w:val="00F46C7B"/>
    <w:rPr>
      <w:rFonts w:ascii="Times New Roman Bold" w:hAnsi="Times New Roman Bold"/>
      <w:szCs w:val="22"/>
    </w:rPr>
  </w:style>
  <w:style w:type="character" w:customStyle="1" w:styleId="DeltaViewDeletion">
    <w:name w:val="DeltaView Deletion"/>
    <w:uiPriority w:val="99"/>
    <w:rsid w:val="00F46C7B"/>
    <w:rPr>
      <w:strike/>
      <w:color w:val="FF0000"/>
      <w:spacing w:val="0"/>
    </w:rPr>
  </w:style>
  <w:style w:type="character" w:customStyle="1" w:styleId="TOC1Char">
    <w:name w:val="TOC 1 Char"/>
    <w:aliases w:val="toc1 Char"/>
    <w:link w:val="TOC1"/>
    <w:uiPriority w:val="39"/>
    <w:locked/>
    <w:rsid w:val="003D20F8"/>
    <w:rPr>
      <w:rFonts w:ascii="Times New Roman Gras" w:eastAsia="Times New Roman" w:hAnsi="Times New Roman Gras" w:cs="Times New Roman"/>
      <w:b/>
      <w:noProof/>
      <w:sz w:val="20"/>
      <w:szCs w:val="20"/>
      <w:lang w:val="en-US"/>
    </w:rPr>
  </w:style>
  <w:style w:type="paragraph" w:customStyle="1" w:styleId="DDBTitre1">
    <w:name w:val="DDB Titre 1"/>
    <w:basedOn w:val="Heading1"/>
    <w:link w:val="DDBTitre1Car"/>
    <w:uiPriority w:val="99"/>
    <w:rsid w:val="00F46C7B"/>
    <w:pPr>
      <w:pageBreakBefore/>
      <w:tabs>
        <w:tab w:val="left" w:pos="709"/>
      </w:tabs>
      <w:spacing w:before="0" w:after="120"/>
      <w:ind w:left="720" w:hanging="360"/>
    </w:pPr>
    <w:rPr>
      <w:rFonts w:ascii="Garamond" w:eastAsia="Times New Roman" w:hAnsi="Garamond"/>
      <w:caps/>
      <w:kern w:val="0"/>
      <w:sz w:val="28"/>
    </w:rPr>
  </w:style>
  <w:style w:type="character" w:customStyle="1" w:styleId="DDBTitre1Car">
    <w:name w:val="DDB Titre 1 Car"/>
    <w:link w:val="DDBTitre1"/>
    <w:uiPriority w:val="99"/>
    <w:locked/>
    <w:rsid w:val="00F46C7B"/>
    <w:rPr>
      <w:rFonts w:ascii="Garamond" w:eastAsia="Times New Roman" w:hAnsi="Garamond" w:cs="Times New Roman"/>
      <w:b/>
      <w:caps/>
      <w:sz w:val="28"/>
      <w:szCs w:val="20"/>
      <w:lang w:val="en-US"/>
    </w:rPr>
  </w:style>
  <w:style w:type="paragraph" w:customStyle="1" w:styleId="DDBTitre4">
    <w:name w:val="DDB Titre 4"/>
    <w:basedOn w:val="Heading4"/>
    <w:link w:val="DDBTitre4Car"/>
    <w:qFormat/>
    <w:rsid w:val="00F46C7B"/>
    <w:pPr>
      <w:pBdr>
        <w:bottom w:val="single" w:sz="4" w:space="1" w:color="auto"/>
      </w:pBdr>
      <w:tabs>
        <w:tab w:val="left" w:pos="1701"/>
      </w:tabs>
      <w:spacing w:before="0" w:after="120"/>
      <w:ind w:left="1701" w:hanging="992"/>
    </w:pPr>
    <w:rPr>
      <w:rFonts w:ascii="Garamond" w:eastAsia="Times New Roman" w:hAnsi="Garamond"/>
      <w:color w:val="595959"/>
      <w:sz w:val="20"/>
    </w:rPr>
  </w:style>
  <w:style w:type="character" w:customStyle="1" w:styleId="DDBTitre4Car">
    <w:name w:val="DDB Titre 4 Car"/>
    <w:link w:val="DDBTitre4"/>
    <w:locked/>
    <w:rsid w:val="00F46C7B"/>
    <w:rPr>
      <w:rFonts w:ascii="Garamond" w:eastAsia="Times New Roman" w:hAnsi="Garamond" w:cs="Times New Roman"/>
      <w:b/>
      <w:color w:val="595959"/>
      <w:sz w:val="20"/>
      <w:szCs w:val="20"/>
      <w:lang w:val="en-US"/>
    </w:rPr>
  </w:style>
  <w:style w:type="character" w:customStyle="1" w:styleId="Emphaseintense1">
    <w:name w:val="Emphase intense1"/>
    <w:uiPriority w:val="99"/>
    <w:rsid w:val="00F46C7B"/>
    <w:rPr>
      <w:b/>
      <w:i/>
      <w:color w:val="0000FF"/>
    </w:rPr>
  </w:style>
  <w:style w:type="paragraph" w:customStyle="1" w:styleId="Corpsdetexte0">
    <w:name w:val="Corps de texte 0"/>
    <w:basedOn w:val="Normal"/>
    <w:link w:val="Corpsdetexte0Char"/>
    <w:uiPriority w:val="99"/>
    <w:rsid w:val="00F46C7B"/>
    <w:pPr>
      <w:spacing w:after="240"/>
    </w:pPr>
    <w:rPr>
      <w:szCs w:val="20"/>
    </w:rPr>
  </w:style>
  <w:style w:type="paragraph" w:customStyle="1" w:styleId="ListeIGras">
    <w:name w:val="Liste I Gras"/>
    <w:basedOn w:val="Normal"/>
    <w:next w:val="BodyText"/>
    <w:uiPriority w:val="99"/>
    <w:rsid w:val="00F46C7B"/>
    <w:pPr>
      <w:numPr>
        <w:numId w:val="20"/>
      </w:numPr>
      <w:tabs>
        <w:tab w:val="clear" w:pos="851"/>
        <w:tab w:val="num" w:pos="360"/>
      </w:tabs>
      <w:spacing w:after="240"/>
      <w:ind w:left="936" w:hanging="936"/>
    </w:pPr>
    <w:rPr>
      <w:b/>
      <w:szCs w:val="22"/>
      <w:u w:val="single"/>
    </w:rPr>
  </w:style>
  <w:style w:type="character" w:customStyle="1" w:styleId="Corpsdetexte0Char">
    <w:name w:val="Corps de texte 0 Char"/>
    <w:link w:val="Corpsdetexte0"/>
    <w:uiPriority w:val="99"/>
    <w:locked/>
    <w:rsid w:val="00F46C7B"/>
    <w:rPr>
      <w:rFonts w:ascii="Times New Roman" w:eastAsia="Times New Roman" w:hAnsi="Times New Roman" w:cs="Times New Roman"/>
      <w:sz w:val="20"/>
      <w:szCs w:val="20"/>
      <w:lang w:val="en-US"/>
    </w:rPr>
  </w:style>
  <w:style w:type="paragraph" w:customStyle="1" w:styleId="Text">
    <w:name w:val="Text"/>
    <w:basedOn w:val="Normal"/>
    <w:uiPriority w:val="99"/>
    <w:rsid w:val="00F46C7B"/>
    <w:pPr>
      <w:spacing w:after="240"/>
      <w:ind w:firstLine="1440"/>
    </w:pPr>
    <w:rPr>
      <w:sz w:val="24"/>
      <w:szCs w:val="20"/>
    </w:rPr>
  </w:style>
  <w:style w:type="paragraph" w:customStyle="1" w:styleId="Corpsdetexte5">
    <w:name w:val="Corps de texte 5"/>
    <w:basedOn w:val="Normal"/>
    <w:link w:val="Corpsdetexte5Char"/>
    <w:uiPriority w:val="99"/>
    <w:rsid w:val="00F46C7B"/>
    <w:pPr>
      <w:spacing w:after="240"/>
      <w:ind w:left="1418"/>
    </w:pPr>
    <w:rPr>
      <w:szCs w:val="20"/>
    </w:rPr>
  </w:style>
  <w:style w:type="character" w:customStyle="1" w:styleId="Corpsdetexte5Char">
    <w:name w:val="Corps de texte 5 Char"/>
    <w:link w:val="Corpsdetexte5"/>
    <w:uiPriority w:val="99"/>
    <w:locked/>
    <w:rsid w:val="00F46C7B"/>
    <w:rPr>
      <w:rFonts w:ascii="Times New Roman" w:eastAsia="Times New Roman" w:hAnsi="Times New Roman" w:cs="Times New Roman"/>
      <w:sz w:val="20"/>
      <w:szCs w:val="20"/>
      <w:lang w:val="en-US"/>
    </w:rPr>
  </w:style>
  <w:style w:type="paragraph" w:customStyle="1" w:styleId="Bulletniveau2">
    <w:name w:val="Bullet niveau 2"/>
    <w:basedOn w:val="ListNumber"/>
    <w:uiPriority w:val="99"/>
    <w:rsid w:val="00F46C7B"/>
    <w:pPr>
      <w:tabs>
        <w:tab w:val="clear" w:pos="360"/>
        <w:tab w:val="num" w:pos="851"/>
        <w:tab w:val="left" w:pos="4536"/>
      </w:tabs>
      <w:spacing w:after="0"/>
      <w:ind w:left="851" w:hanging="425"/>
    </w:pPr>
    <w:rPr>
      <w:rFonts w:ascii="Compatil Fact LT Com" w:hAnsi="Compatil Fact LT Com"/>
      <w:szCs w:val="22"/>
    </w:rPr>
  </w:style>
  <w:style w:type="character" w:customStyle="1" w:styleId="ListNumberChar1">
    <w:name w:val="List Number Char1"/>
    <w:aliases w:val="ln Char1,Bullet niveau 1 Char1"/>
    <w:link w:val="ListNumber"/>
    <w:uiPriority w:val="99"/>
    <w:locked/>
    <w:rsid w:val="00F46C7B"/>
    <w:rPr>
      <w:rFonts w:ascii="Garamond" w:eastAsia="Times New Roman" w:hAnsi="Garamond" w:cs="Times New Roman"/>
      <w:sz w:val="24"/>
      <w:szCs w:val="20"/>
      <w:lang w:val="en-US"/>
    </w:rPr>
  </w:style>
  <w:style w:type="paragraph" w:customStyle="1" w:styleId="DefaultText">
    <w:name w:val="Default Text"/>
    <w:basedOn w:val="Normal"/>
    <w:uiPriority w:val="99"/>
    <w:rsid w:val="00F46C7B"/>
    <w:pPr>
      <w:overflowPunct w:val="0"/>
      <w:autoSpaceDE w:val="0"/>
      <w:autoSpaceDN w:val="0"/>
      <w:adjustRightInd w:val="0"/>
      <w:textAlignment w:val="baseline"/>
    </w:pPr>
    <w:rPr>
      <w:sz w:val="24"/>
      <w:szCs w:val="20"/>
    </w:rPr>
  </w:style>
  <w:style w:type="paragraph" w:customStyle="1" w:styleId="Tableau">
    <w:name w:val="Tableau"/>
    <w:basedOn w:val="Normal"/>
    <w:uiPriority w:val="99"/>
    <w:rsid w:val="00F46C7B"/>
    <w:pPr>
      <w:spacing w:before="120"/>
    </w:pPr>
    <w:rPr>
      <w:szCs w:val="20"/>
    </w:rPr>
  </w:style>
  <w:style w:type="paragraph" w:customStyle="1" w:styleId="texte1x">
    <w:name w:val="texte 1.x"/>
    <w:basedOn w:val="Normal"/>
    <w:uiPriority w:val="99"/>
    <w:rsid w:val="00F46C7B"/>
    <w:pPr>
      <w:spacing w:before="120"/>
      <w:ind w:left="567"/>
    </w:pPr>
    <w:rPr>
      <w:rFonts w:ascii="Arial" w:hAnsi="Arial"/>
      <w:szCs w:val="20"/>
    </w:rPr>
  </w:style>
  <w:style w:type="character" w:styleId="PlaceholderText">
    <w:name w:val="Placeholder Text"/>
    <w:basedOn w:val="DefaultParagraphFont"/>
    <w:uiPriority w:val="99"/>
    <w:semiHidden/>
    <w:rsid w:val="00F46C7B"/>
    <w:rPr>
      <w:rFonts w:cs="Times New Roman"/>
      <w:color w:val="808080"/>
    </w:rPr>
  </w:style>
  <w:style w:type="character" w:styleId="Strong">
    <w:name w:val="Strong"/>
    <w:basedOn w:val="DefaultParagraphFont"/>
    <w:uiPriority w:val="22"/>
    <w:qFormat/>
    <w:rsid w:val="00F46C7B"/>
    <w:rPr>
      <w:rFonts w:cs="Times New Roman"/>
      <w:b/>
    </w:rPr>
  </w:style>
  <w:style w:type="paragraph" w:customStyle="1" w:styleId="Texte1xx">
    <w:name w:val="Texte 1.xx"/>
    <w:basedOn w:val="Normal"/>
    <w:uiPriority w:val="99"/>
    <w:rsid w:val="00F46C7B"/>
    <w:pPr>
      <w:spacing w:before="120"/>
      <w:ind w:left="1418"/>
    </w:pPr>
    <w:rPr>
      <w:rFonts w:ascii="Arial" w:hAnsi="Arial"/>
      <w:szCs w:val="20"/>
    </w:rPr>
  </w:style>
  <w:style w:type="paragraph" w:customStyle="1" w:styleId="Address">
    <w:name w:val="Address"/>
    <w:uiPriority w:val="99"/>
    <w:rsid w:val="00F46C7B"/>
    <w:pPr>
      <w:widowControl w:val="0"/>
      <w:spacing w:after="0" w:line="240" w:lineRule="auto"/>
    </w:pPr>
    <w:rPr>
      <w:rFonts w:ascii="Times New Roman" w:eastAsia="Times New Roman" w:hAnsi="Times New Roman" w:cs="Times New Roman"/>
      <w:sz w:val="24"/>
      <w:szCs w:val="20"/>
      <w:lang w:val="en-US"/>
    </w:rPr>
  </w:style>
  <w:style w:type="paragraph" w:styleId="EnvelopeAddress">
    <w:name w:val="envelope address"/>
    <w:basedOn w:val="Normal"/>
    <w:uiPriority w:val="99"/>
    <w:rsid w:val="00F46C7B"/>
    <w:pPr>
      <w:framePr w:w="7920" w:h="1980" w:hRule="exact" w:hSpace="180" w:wrap="auto" w:hAnchor="page" w:xAlign="center" w:yAlign="bottom"/>
      <w:ind w:left="2880"/>
    </w:pPr>
    <w:rPr>
      <w:rFonts w:cs="Arial"/>
    </w:rPr>
  </w:style>
  <w:style w:type="paragraph" w:styleId="EnvelopeReturn">
    <w:name w:val="envelope return"/>
    <w:basedOn w:val="Normal"/>
    <w:uiPriority w:val="99"/>
    <w:rsid w:val="00F46C7B"/>
    <w:rPr>
      <w:rFonts w:cs="Arial"/>
      <w:szCs w:val="20"/>
    </w:rPr>
  </w:style>
  <w:style w:type="paragraph" w:styleId="IndexHeading">
    <w:name w:val="index heading"/>
    <w:basedOn w:val="Normal"/>
    <w:next w:val="Index1"/>
    <w:uiPriority w:val="99"/>
    <w:rsid w:val="00F46C7B"/>
    <w:pPr>
      <w:spacing w:after="240"/>
    </w:pPr>
    <w:rPr>
      <w:rFonts w:cs="Arial"/>
      <w:b/>
    </w:rPr>
  </w:style>
  <w:style w:type="paragraph" w:customStyle="1" w:styleId="Cadre">
    <w:name w:val="Cadre"/>
    <w:basedOn w:val="Title"/>
    <w:uiPriority w:val="99"/>
    <w:rsid w:val="00F46C7B"/>
    <w:pPr>
      <w:pBdr>
        <w:top w:val="single" w:sz="12" w:space="1" w:color="808080" w:shadow="1"/>
        <w:left w:val="single" w:sz="12" w:space="4" w:color="808080" w:shadow="1"/>
        <w:bottom w:val="single" w:sz="12" w:space="1" w:color="808080" w:shadow="1"/>
        <w:right w:val="single" w:sz="12" w:space="4" w:color="808080" w:shadow="1"/>
      </w:pBdr>
      <w:shd w:val="clear" w:color="auto" w:fill="FFCC99"/>
      <w:spacing w:after="0"/>
      <w:ind w:left="2268" w:right="2268"/>
    </w:pPr>
    <w:rPr>
      <w:rFonts w:ascii="Clarendon Condensed" w:hAnsi="Clarendon Condensed"/>
      <w:b w:val="0"/>
      <w:color w:val="CC99FF"/>
      <w:spacing w:val="160"/>
      <w:sz w:val="56"/>
    </w:rPr>
  </w:style>
  <w:style w:type="paragraph" w:styleId="HTMLAddress">
    <w:name w:val="HTML Address"/>
    <w:basedOn w:val="Normal"/>
    <w:link w:val="HTMLAddressChar"/>
    <w:uiPriority w:val="99"/>
    <w:rsid w:val="00F46C7B"/>
    <w:rPr>
      <w:i/>
      <w:szCs w:val="20"/>
    </w:rPr>
  </w:style>
  <w:style w:type="character" w:customStyle="1" w:styleId="HTMLAddressChar">
    <w:name w:val="HTML Address Char"/>
    <w:basedOn w:val="DefaultParagraphFont"/>
    <w:link w:val="HTMLAddress"/>
    <w:uiPriority w:val="99"/>
    <w:rsid w:val="00F46C7B"/>
    <w:rPr>
      <w:rFonts w:ascii="Calibri" w:eastAsia="Times New Roman" w:hAnsi="Calibri" w:cs="Times New Roman"/>
      <w:i/>
      <w:sz w:val="20"/>
      <w:szCs w:val="20"/>
      <w:lang w:val="en-US"/>
    </w:rPr>
  </w:style>
  <w:style w:type="paragraph" w:styleId="NoteHeading">
    <w:name w:val="Note Heading"/>
    <w:basedOn w:val="Normal"/>
    <w:next w:val="Normal"/>
    <w:link w:val="NoteHeadingChar"/>
    <w:uiPriority w:val="99"/>
    <w:rsid w:val="00F46C7B"/>
    <w:rPr>
      <w:szCs w:val="20"/>
    </w:rPr>
  </w:style>
  <w:style w:type="character" w:customStyle="1" w:styleId="NoteHeadingChar">
    <w:name w:val="Note Heading Char"/>
    <w:basedOn w:val="DefaultParagraphFont"/>
    <w:link w:val="NoteHeading"/>
    <w:uiPriority w:val="99"/>
    <w:rsid w:val="00F46C7B"/>
    <w:rPr>
      <w:rFonts w:ascii="Calibri" w:eastAsia="Times New Roman" w:hAnsi="Calibri" w:cs="Times New Roman"/>
      <w:sz w:val="20"/>
      <w:szCs w:val="20"/>
      <w:lang w:val="en-US"/>
    </w:rPr>
  </w:style>
  <w:style w:type="paragraph" w:styleId="TOAHeading">
    <w:name w:val="toa heading"/>
    <w:basedOn w:val="Normal"/>
    <w:next w:val="Normal"/>
    <w:uiPriority w:val="99"/>
    <w:rsid w:val="00F46C7B"/>
    <w:pPr>
      <w:spacing w:before="120"/>
    </w:pPr>
    <w:rPr>
      <w:rFonts w:ascii="Arial" w:hAnsi="Arial" w:cs="Arial"/>
      <w:b/>
      <w:bCs/>
    </w:rPr>
  </w:style>
  <w:style w:type="paragraph" w:customStyle="1" w:styleId="xl24">
    <w:name w:val="xl24"/>
    <w:basedOn w:val="Normal"/>
    <w:uiPriority w:val="99"/>
    <w:rsid w:val="00F46C7B"/>
    <w:pPr>
      <w:spacing w:before="100" w:beforeAutospacing="1" w:after="100" w:afterAutospacing="1"/>
    </w:pPr>
    <w:rPr>
      <w:szCs w:val="22"/>
    </w:rPr>
  </w:style>
  <w:style w:type="paragraph" w:customStyle="1" w:styleId="xl25">
    <w:name w:val="xl25"/>
    <w:basedOn w:val="Normal"/>
    <w:uiPriority w:val="99"/>
    <w:rsid w:val="00F46C7B"/>
    <w:pPr>
      <w:spacing w:before="100" w:beforeAutospacing="1" w:after="100" w:afterAutospacing="1"/>
    </w:pPr>
    <w:rPr>
      <w:i/>
      <w:iCs/>
    </w:rPr>
  </w:style>
  <w:style w:type="paragraph" w:customStyle="1" w:styleId="xl26">
    <w:name w:val="xl26"/>
    <w:basedOn w:val="Normal"/>
    <w:uiPriority w:val="99"/>
    <w:rsid w:val="00F46C7B"/>
    <w:pPr>
      <w:spacing w:before="100" w:beforeAutospacing="1" w:after="100" w:afterAutospacing="1"/>
      <w:jc w:val="right"/>
      <w:textAlignment w:val="top"/>
    </w:pPr>
    <w:rPr>
      <w:sz w:val="18"/>
      <w:szCs w:val="18"/>
    </w:rPr>
  </w:style>
  <w:style w:type="paragraph" w:customStyle="1" w:styleId="xl27">
    <w:name w:val="xl27"/>
    <w:basedOn w:val="Normal"/>
    <w:uiPriority w:val="99"/>
    <w:rsid w:val="00F46C7B"/>
    <w:pPr>
      <w:spacing w:before="100" w:beforeAutospacing="1" w:after="100" w:afterAutospacing="1"/>
      <w:textAlignment w:val="top"/>
    </w:pPr>
    <w:rPr>
      <w:color w:val="000000"/>
      <w:sz w:val="18"/>
      <w:szCs w:val="18"/>
    </w:rPr>
  </w:style>
  <w:style w:type="paragraph" w:customStyle="1" w:styleId="xl28">
    <w:name w:val="xl28"/>
    <w:basedOn w:val="Normal"/>
    <w:uiPriority w:val="99"/>
    <w:rsid w:val="00F46C7B"/>
    <w:pPr>
      <w:spacing w:before="100" w:beforeAutospacing="1" w:after="100" w:afterAutospacing="1"/>
      <w:jc w:val="right"/>
      <w:textAlignment w:val="top"/>
    </w:pPr>
    <w:rPr>
      <w:sz w:val="18"/>
      <w:szCs w:val="18"/>
    </w:rPr>
  </w:style>
  <w:style w:type="paragraph" w:customStyle="1" w:styleId="xl29">
    <w:name w:val="xl29"/>
    <w:basedOn w:val="Normal"/>
    <w:uiPriority w:val="99"/>
    <w:rsid w:val="00F46C7B"/>
    <w:pPr>
      <w:spacing w:before="100" w:beforeAutospacing="1" w:after="100" w:afterAutospacing="1"/>
      <w:jc w:val="right"/>
      <w:textAlignment w:val="top"/>
    </w:pPr>
    <w:rPr>
      <w:color w:val="000000"/>
      <w:sz w:val="18"/>
      <w:szCs w:val="18"/>
    </w:rPr>
  </w:style>
  <w:style w:type="paragraph" w:customStyle="1" w:styleId="xl30">
    <w:name w:val="xl30"/>
    <w:basedOn w:val="Normal"/>
    <w:uiPriority w:val="99"/>
    <w:rsid w:val="00F46C7B"/>
    <w:pPr>
      <w:spacing w:before="100" w:beforeAutospacing="1" w:after="100" w:afterAutospacing="1"/>
      <w:textAlignment w:val="top"/>
    </w:pPr>
    <w:rPr>
      <w:b/>
      <w:bCs/>
      <w:color w:val="000000"/>
      <w:sz w:val="18"/>
      <w:szCs w:val="18"/>
    </w:rPr>
  </w:style>
  <w:style w:type="paragraph" w:customStyle="1" w:styleId="xl31">
    <w:name w:val="xl31"/>
    <w:basedOn w:val="Normal"/>
    <w:uiPriority w:val="99"/>
    <w:rsid w:val="00F46C7B"/>
    <w:pPr>
      <w:spacing w:before="100" w:beforeAutospacing="1" w:after="100" w:afterAutospacing="1"/>
      <w:jc w:val="right"/>
      <w:textAlignment w:val="top"/>
    </w:pPr>
    <w:rPr>
      <w:b/>
      <w:bCs/>
      <w:sz w:val="18"/>
      <w:szCs w:val="18"/>
    </w:rPr>
  </w:style>
  <w:style w:type="paragraph" w:customStyle="1" w:styleId="xl32">
    <w:name w:val="xl32"/>
    <w:basedOn w:val="Normal"/>
    <w:uiPriority w:val="99"/>
    <w:rsid w:val="00F46C7B"/>
    <w:pPr>
      <w:pBdr>
        <w:top w:val="single" w:sz="8" w:space="0" w:color="808080"/>
      </w:pBdr>
      <w:spacing w:before="100" w:beforeAutospacing="1" w:after="100" w:afterAutospacing="1"/>
      <w:jc w:val="center"/>
      <w:textAlignment w:val="top"/>
    </w:pPr>
    <w:rPr>
      <w:sz w:val="18"/>
      <w:szCs w:val="18"/>
    </w:rPr>
  </w:style>
  <w:style w:type="paragraph" w:customStyle="1" w:styleId="xl33">
    <w:name w:val="xl33"/>
    <w:basedOn w:val="Normal"/>
    <w:uiPriority w:val="99"/>
    <w:rsid w:val="00F46C7B"/>
    <w:pPr>
      <w:pBdr>
        <w:top w:val="single" w:sz="8" w:space="0" w:color="808080"/>
      </w:pBdr>
      <w:spacing w:before="100" w:beforeAutospacing="1" w:after="100" w:afterAutospacing="1"/>
      <w:jc w:val="center"/>
      <w:textAlignment w:val="top"/>
    </w:pPr>
    <w:rPr>
      <w:i/>
      <w:iCs/>
      <w:color w:val="000000"/>
      <w:sz w:val="18"/>
      <w:szCs w:val="18"/>
    </w:rPr>
  </w:style>
  <w:style w:type="paragraph" w:customStyle="1" w:styleId="xl34">
    <w:name w:val="xl34"/>
    <w:basedOn w:val="Normal"/>
    <w:uiPriority w:val="99"/>
    <w:rsid w:val="00F46C7B"/>
    <w:pPr>
      <w:pBdr>
        <w:bottom w:val="single" w:sz="8" w:space="0" w:color="808080"/>
      </w:pBdr>
      <w:spacing w:before="100" w:beforeAutospacing="1" w:after="100" w:afterAutospacing="1"/>
      <w:jc w:val="center"/>
      <w:textAlignment w:val="top"/>
    </w:pPr>
    <w:rPr>
      <w:i/>
      <w:iCs/>
      <w:color w:val="000000"/>
      <w:sz w:val="18"/>
      <w:szCs w:val="18"/>
    </w:rPr>
  </w:style>
  <w:style w:type="paragraph" w:customStyle="1" w:styleId="xl35">
    <w:name w:val="xl35"/>
    <w:basedOn w:val="Normal"/>
    <w:uiPriority w:val="99"/>
    <w:rsid w:val="00F46C7B"/>
    <w:pPr>
      <w:pBdr>
        <w:bottom w:val="single" w:sz="8" w:space="0" w:color="808080"/>
      </w:pBdr>
      <w:spacing w:before="100" w:beforeAutospacing="1" w:after="100" w:afterAutospacing="1"/>
      <w:jc w:val="center"/>
      <w:textAlignment w:val="top"/>
    </w:pPr>
    <w:rPr>
      <w:sz w:val="18"/>
      <w:szCs w:val="18"/>
    </w:rPr>
  </w:style>
  <w:style w:type="paragraph" w:customStyle="1" w:styleId="xl36">
    <w:name w:val="xl36"/>
    <w:basedOn w:val="Normal"/>
    <w:uiPriority w:val="99"/>
    <w:rsid w:val="00F46C7B"/>
    <w:pPr>
      <w:spacing w:before="100" w:beforeAutospacing="1" w:after="100" w:afterAutospacing="1"/>
      <w:jc w:val="center"/>
      <w:textAlignment w:val="top"/>
    </w:pPr>
    <w:rPr>
      <w:sz w:val="18"/>
      <w:szCs w:val="18"/>
    </w:rPr>
  </w:style>
  <w:style w:type="paragraph" w:customStyle="1" w:styleId="xl37">
    <w:name w:val="xl37"/>
    <w:basedOn w:val="Normal"/>
    <w:uiPriority w:val="99"/>
    <w:rsid w:val="00F46C7B"/>
    <w:pPr>
      <w:spacing w:before="100" w:beforeAutospacing="1" w:after="100" w:afterAutospacing="1"/>
      <w:jc w:val="right"/>
      <w:textAlignment w:val="top"/>
    </w:pPr>
    <w:rPr>
      <w:b/>
      <w:bCs/>
      <w:i/>
      <w:iCs/>
      <w:color w:val="000000"/>
      <w:sz w:val="18"/>
      <w:szCs w:val="18"/>
    </w:rPr>
  </w:style>
  <w:style w:type="paragraph" w:customStyle="1" w:styleId="xl38">
    <w:name w:val="xl38"/>
    <w:basedOn w:val="Normal"/>
    <w:uiPriority w:val="99"/>
    <w:rsid w:val="00F46C7B"/>
    <w:pPr>
      <w:spacing w:before="100" w:beforeAutospacing="1" w:after="100" w:afterAutospacing="1"/>
      <w:jc w:val="right"/>
      <w:textAlignment w:val="top"/>
    </w:pPr>
    <w:rPr>
      <w:b/>
      <w:bCs/>
      <w:color w:val="000000"/>
      <w:sz w:val="18"/>
      <w:szCs w:val="18"/>
    </w:rPr>
  </w:style>
  <w:style w:type="paragraph" w:customStyle="1" w:styleId="TITREA191">
    <w:name w:val="TITRE A19 1"/>
    <w:basedOn w:val="Normal"/>
    <w:autoRedefine/>
    <w:uiPriority w:val="99"/>
    <w:rsid w:val="00F46C7B"/>
    <w:pPr>
      <w:widowControl w:val="0"/>
      <w:spacing w:line="360" w:lineRule="auto"/>
      <w:ind w:left="705" w:hanging="705"/>
    </w:pPr>
    <w:rPr>
      <w:rFonts w:ascii="Arial Gras" w:hAnsi="Arial Gras"/>
      <w:b/>
      <w:szCs w:val="20"/>
    </w:rPr>
  </w:style>
  <w:style w:type="paragraph" w:customStyle="1" w:styleId="TITREA192">
    <w:name w:val="TITRE A19 2"/>
    <w:basedOn w:val="Normal"/>
    <w:next w:val="TITREA191"/>
    <w:uiPriority w:val="99"/>
    <w:rsid w:val="00F46C7B"/>
    <w:pPr>
      <w:numPr>
        <w:numId w:val="22"/>
      </w:numPr>
      <w:spacing w:line="360" w:lineRule="auto"/>
      <w:ind w:right="1134"/>
    </w:pPr>
    <w:rPr>
      <w:rFonts w:ascii="Arial Gras" w:hAnsi="Arial Gras" w:cs="Arial"/>
      <w:b/>
      <w:bCs/>
      <w:szCs w:val="20"/>
    </w:rPr>
  </w:style>
  <w:style w:type="paragraph" w:customStyle="1" w:styleId="TITREA193">
    <w:name w:val="TITRE A19 3"/>
    <w:basedOn w:val="Normal"/>
    <w:uiPriority w:val="99"/>
    <w:rsid w:val="00F46C7B"/>
    <w:pPr>
      <w:numPr>
        <w:numId w:val="23"/>
      </w:numPr>
      <w:spacing w:line="360" w:lineRule="auto"/>
      <w:ind w:right="415"/>
    </w:pPr>
    <w:rPr>
      <w:rFonts w:ascii="Arial" w:hAnsi="Arial" w:cs="Arial"/>
      <w:szCs w:val="20"/>
    </w:rPr>
  </w:style>
  <w:style w:type="paragraph" w:customStyle="1" w:styleId="xl39">
    <w:name w:val="xl39"/>
    <w:basedOn w:val="Normal"/>
    <w:uiPriority w:val="99"/>
    <w:rsid w:val="00F46C7B"/>
    <w:pPr>
      <w:pBdr>
        <w:right w:val="single" w:sz="4" w:space="0" w:color="auto"/>
      </w:pBdr>
      <w:spacing w:before="100" w:beforeAutospacing="1" w:after="100" w:afterAutospacing="1"/>
      <w:jc w:val="center"/>
    </w:pPr>
    <w:rPr>
      <w:rFonts w:ascii="Arial" w:hAnsi="Arial" w:cs="Arial"/>
      <w:b/>
      <w:bCs/>
      <w:sz w:val="16"/>
      <w:szCs w:val="16"/>
    </w:rPr>
  </w:style>
  <w:style w:type="paragraph" w:customStyle="1" w:styleId="xl40">
    <w:name w:val="xl40"/>
    <w:basedOn w:val="Normal"/>
    <w:uiPriority w:val="99"/>
    <w:rsid w:val="00F46C7B"/>
    <w:pPr>
      <w:pBdr>
        <w:bottom w:val="single" w:sz="4" w:space="0" w:color="auto"/>
      </w:pBdr>
      <w:spacing w:before="100" w:beforeAutospacing="1" w:after="100" w:afterAutospacing="1"/>
      <w:jc w:val="center"/>
    </w:pPr>
    <w:rPr>
      <w:rFonts w:ascii="Arial" w:hAnsi="Arial" w:cs="Arial"/>
      <w:b/>
      <w:bCs/>
      <w:sz w:val="28"/>
      <w:szCs w:val="28"/>
    </w:rPr>
  </w:style>
  <w:style w:type="paragraph" w:customStyle="1" w:styleId="xl41">
    <w:name w:val="xl41"/>
    <w:basedOn w:val="Normal"/>
    <w:uiPriority w:val="99"/>
    <w:rsid w:val="00F46C7B"/>
    <w:pPr>
      <w:pBdr>
        <w:left w:val="single" w:sz="4" w:space="0" w:color="auto"/>
        <w:right w:val="single" w:sz="4" w:space="0" w:color="auto"/>
      </w:pBdr>
      <w:spacing w:before="100" w:beforeAutospacing="1" w:after="100" w:afterAutospacing="1"/>
      <w:jc w:val="right"/>
    </w:pPr>
    <w:rPr>
      <w:rFonts w:ascii="Arial Unicode MS" w:hAnsi="Arial Unicode MS" w:cs="Arial Unicode MS"/>
    </w:rPr>
  </w:style>
  <w:style w:type="paragraph" w:customStyle="1" w:styleId="xl42">
    <w:name w:val="xl42"/>
    <w:basedOn w:val="Normal"/>
    <w:uiPriority w:val="99"/>
    <w:rsid w:val="00F46C7B"/>
    <w:pPr>
      <w:pBdr>
        <w:left w:val="single" w:sz="4" w:space="0" w:color="auto"/>
      </w:pBdr>
      <w:spacing w:before="100" w:beforeAutospacing="1" w:after="100" w:afterAutospacing="1"/>
    </w:pPr>
    <w:rPr>
      <w:rFonts w:ascii="Arial" w:hAnsi="Arial" w:cs="Arial"/>
      <w:sz w:val="18"/>
      <w:szCs w:val="18"/>
    </w:rPr>
  </w:style>
  <w:style w:type="paragraph" w:customStyle="1" w:styleId="xl43">
    <w:name w:val="xl43"/>
    <w:basedOn w:val="Normal"/>
    <w:uiPriority w:val="99"/>
    <w:rsid w:val="00F46C7B"/>
    <w:pPr>
      <w:spacing w:before="100" w:beforeAutospacing="1" w:after="100" w:afterAutospacing="1"/>
      <w:jc w:val="right"/>
    </w:pPr>
    <w:rPr>
      <w:rFonts w:ascii="Arial" w:hAnsi="Arial" w:cs="Arial"/>
      <w:b/>
      <w:bCs/>
      <w:sz w:val="18"/>
      <w:szCs w:val="18"/>
    </w:rPr>
  </w:style>
  <w:style w:type="paragraph" w:customStyle="1" w:styleId="xl44">
    <w:name w:val="xl44"/>
    <w:basedOn w:val="Normal"/>
    <w:uiPriority w:val="99"/>
    <w:rsid w:val="00F46C7B"/>
    <w:pPr>
      <w:pBdr>
        <w:right w:val="single" w:sz="4" w:space="0" w:color="auto"/>
      </w:pBdr>
      <w:spacing w:before="100" w:beforeAutospacing="1" w:after="100" w:afterAutospacing="1"/>
      <w:jc w:val="right"/>
    </w:pPr>
    <w:rPr>
      <w:rFonts w:ascii="Arial" w:hAnsi="Arial" w:cs="Arial"/>
      <w:b/>
      <w:bCs/>
      <w:sz w:val="18"/>
      <w:szCs w:val="18"/>
    </w:rPr>
  </w:style>
  <w:style w:type="paragraph" w:customStyle="1" w:styleId="xl45">
    <w:name w:val="xl45"/>
    <w:basedOn w:val="Normal"/>
    <w:uiPriority w:val="99"/>
    <w:rsid w:val="00F46C7B"/>
    <w:pPr>
      <w:pBdr>
        <w:bottom w:val="single" w:sz="4" w:space="0" w:color="auto"/>
      </w:pBdr>
      <w:spacing w:before="100" w:beforeAutospacing="1" w:after="100" w:afterAutospacing="1"/>
    </w:pPr>
    <w:rPr>
      <w:rFonts w:ascii="Arial" w:hAnsi="Arial" w:cs="Arial"/>
    </w:rPr>
  </w:style>
  <w:style w:type="paragraph" w:customStyle="1" w:styleId="xl46">
    <w:name w:val="xl46"/>
    <w:basedOn w:val="Normal"/>
    <w:uiPriority w:val="99"/>
    <w:rsid w:val="00F46C7B"/>
    <w:pPr>
      <w:pBdr>
        <w:left w:val="single" w:sz="4" w:space="0" w:color="auto"/>
      </w:pBdr>
      <w:spacing w:before="100" w:beforeAutospacing="1" w:after="100" w:afterAutospacing="1"/>
      <w:textAlignment w:val="center"/>
    </w:pPr>
    <w:rPr>
      <w:rFonts w:ascii="Arial" w:hAnsi="Arial" w:cs="Arial"/>
    </w:rPr>
  </w:style>
  <w:style w:type="paragraph" w:customStyle="1" w:styleId="xl47">
    <w:name w:val="xl47"/>
    <w:basedOn w:val="Normal"/>
    <w:uiPriority w:val="99"/>
    <w:rsid w:val="00F46C7B"/>
    <w:pPr>
      <w:spacing w:before="100" w:beforeAutospacing="1" w:after="100" w:afterAutospacing="1"/>
      <w:jc w:val="center"/>
      <w:textAlignment w:val="center"/>
    </w:pPr>
    <w:rPr>
      <w:rFonts w:ascii="Arial" w:hAnsi="Arial" w:cs="Arial"/>
    </w:rPr>
  </w:style>
  <w:style w:type="paragraph" w:customStyle="1" w:styleId="xl48">
    <w:name w:val="xl48"/>
    <w:basedOn w:val="Normal"/>
    <w:uiPriority w:val="99"/>
    <w:rsid w:val="00F46C7B"/>
    <w:pPr>
      <w:pBdr>
        <w:left w:val="single" w:sz="4" w:space="0" w:color="auto"/>
      </w:pBdr>
      <w:spacing w:before="100" w:beforeAutospacing="1" w:after="100" w:afterAutospacing="1"/>
      <w:textAlignment w:val="center"/>
    </w:pPr>
    <w:rPr>
      <w:rFonts w:ascii="Arial" w:hAnsi="Arial" w:cs="Arial"/>
    </w:rPr>
  </w:style>
  <w:style w:type="paragraph" w:customStyle="1" w:styleId="xl49">
    <w:name w:val="xl49"/>
    <w:basedOn w:val="Normal"/>
    <w:uiPriority w:val="99"/>
    <w:rsid w:val="00F46C7B"/>
    <w:pPr>
      <w:pBdr>
        <w:left w:val="single" w:sz="4" w:space="0" w:color="auto"/>
      </w:pBdr>
      <w:spacing w:before="100" w:beforeAutospacing="1" w:after="100" w:afterAutospacing="1"/>
    </w:pPr>
    <w:rPr>
      <w:rFonts w:ascii="Arial" w:hAnsi="Arial" w:cs="Arial"/>
    </w:rPr>
  </w:style>
  <w:style w:type="paragraph" w:customStyle="1" w:styleId="xl50">
    <w:name w:val="xl50"/>
    <w:basedOn w:val="Normal"/>
    <w:uiPriority w:val="99"/>
    <w:rsid w:val="00F46C7B"/>
    <w:pPr>
      <w:spacing w:before="100" w:beforeAutospacing="1" w:after="100" w:afterAutospacing="1"/>
      <w:jc w:val="center"/>
    </w:pPr>
    <w:rPr>
      <w:rFonts w:ascii="Arial" w:hAnsi="Arial" w:cs="Arial"/>
    </w:rPr>
  </w:style>
  <w:style w:type="paragraph" w:customStyle="1" w:styleId="xl51">
    <w:name w:val="xl51"/>
    <w:basedOn w:val="Normal"/>
    <w:uiPriority w:val="99"/>
    <w:rsid w:val="00F46C7B"/>
    <w:pPr>
      <w:pBdr>
        <w:bottom w:val="single" w:sz="4" w:space="0" w:color="auto"/>
      </w:pBdr>
      <w:spacing w:before="100" w:beforeAutospacing="1" w:after="100" w:afterAutospacing="1"/>
    </w:pPr>
    <w:rPr>
      <w:rFonts w:ascii="Arial" w:hAnsi="Arial" w:cs="Arial"/>
    </w:rPr>
  </w:style>
  <w:style w:type="paragraph" w:customStyle="1" w:styleId="xl52">
    <w:name w:val="xl52"/>
    <w:basedOn w:val="Normal"/>
    <w:uiPriority w:val="99"/>
    <w:rsid w:val="00F46C7B"/>
    <w:pPr>
      <w:spacing w:before="100" w:beforeAutospacing="1" w:after="100" w:afterAutospacing="1"/>
      <w:jc w:val="center"/>
      <w:textAlignment w:val="center"/>
    </w:pPr>
    <w:rPr>
      <w:rFonts w:ascii="Arial" w:hAnsi="Arial" w:cs="Arial"/>
      <w:b/>
      <w:bCs/>
      <w:sz w:val="18"/>
      <w:szCs w:val="18"/>
    </w:rPr>
  </w:style>
  <w:style w:type="paragraph" w:customStyle="1" w:styleId="xl53">
    <w:name w:val="xl53"/>
    <w:basedOn w:val="Normal"/>
    <w:uiPriority w:val="99"/>
    <w:rsid w:val="00F46C7B"/>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hAnsi="Arial Unicode MS" w:cs="Arial Unicode MS"/>
    </w:rPr>
  </w:style>
  <w:style w:type="paragraph" w:customStyle="1" w:styleId="xl54">
    <w:name w:val="xl54"/>
    <w:basedOn w:val="Normal"/>
    <w:uiPriority w:val="99"/>
    <w:rsid w:val="00F46C7B"/>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Unicode MS" w:hAnsi="Arial Unicode MS" w:cs="Arial Unicode MS"/>
    </w:rPr>
  </w:style>
  <w:style w:type="paragraph" w:customStyle="1" w:styleId="xl55">
    <w:name w:val="xl55"/>
    <w:basedOn w:val="Normal"/>
    <w:uiPriority w:val="99"/>
    <w:rsid w:val="00F46C7B"/>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Unicode MS" w:hAnsi="Arial Unicode MS" w:cs="Arial Unicode MS"/>
    </w:rPr>
  </w:style>
  <w:style w:type="paragraph" w:customStyle="1" w:styleId="xl56">
    <w:name w:val="xl56"/>
    <w:basedOn w:val="Normal"/>
    <w:uiPriority w:val="99"/>
    <w:rsid w:val="00F46C7B"/>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hAnsi="Arial Unicode MS" w:cs="Arial Unicode MS"/>
    </w:rPr>
  </w:style>
  <w:style w:type="paragraph" w:customStyle="1" w:styleId="xl57">
    <w:name w:val="xl57"/>
    <w:basedOn w:val="Normal"/>
    <w:uiPriority w:val="99"/>
    <w:rsid w:val="00F46C7B"/>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hAnsi="Arial Unicode MS" w:cs="Arial Unicode MS"/>
    </w:rPr>
  </w:style>
  <w:style w:type="paragraph" w:customStyle="1" w:styleId="xl58">
    <w:name w:val="xl58"/>
    <w:basedOn w:val="Normal"/>
    <w:uiPriority w:val="99"/>
    <w:rsid w:val="00F46C7B"/>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hAnsi="Arial Unicode MS" w:cs="Arial Unicode MS"/>
    </w:rPr>
  </w:style>
  <w:style w:type="paragraph" w:customStyle="1" w:styleId="xl59">
    <w:name w:val="xl59"/>
    <w:basedOn w:val="Normal"/>
    <w:uiPriority w:val="99"/>
    <w:rsid w:val="00F46C7B"/>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Unicode MS" w:hAnsi="Arial Unicode MS" w:cs="Arial Unicode MS"/>
    </w:rPr>
  </w:style>
  <w:style w:type="paragraph" w:customStyle="1" w:styleId="xl60">
    <w:name w:val="xl60"/>
    <w:basedOn w:val="Normal"/>
    <w:uiPriority w:val="99"/>
    <w:rsid w:val="00F46C7B"/>
    <w:pPr>
      <w:spacing w:before="100" w:beforeAutospacing="1" w:after="100" w:afterAutospacing="1"/>
    </w:pPr>
    <w:rPr>
      <w:rFonts w:ascii="Arial" w:hAnsi="Arial" w:cs="Arial"/>
    </w:rPr>
  </w:style>
  <w:style w:type="paragraph" w:customStyle="1" w:styleId="xl62">
    <w:name w:val="xl62"/>
    <w:basedOn w:val="Normal"/>
    <w:uiPriority w:val="99"/>
    <w:rsid w:val="00F46C7B"/>
    <w:pPr>
      <w:pBdr>
        <w:top w:val="single" w:sz="8" w:space="0" w:color="auto"/>
      </w:pBdr>
      <w:spacing w:before="100" w:beforeAutospacing="1" w:after="100" w:afterAutospacing="1"/>
      <w:jc w:val="center"/>
    </w:pPr>
    <w:rPr>
      <w:rFonts w:ascii="Arial" w:hAnsi="Arial" w:cs="Arial"/>
      <w:b/>
      <w:bCs/>
    </w:rPr>
  </w:style>
  <w:style w:type="paragraph" w:customStyle="1" w:styleId="xl63">
    <w:name w:val="xl63"/>
    <w:basedOn w:val="Normal"/>
    <w:rsid w:val="00F46C7B"/>
    <w:pPr>
      <w:pBdr>
        <w:top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64">
    <w:name w:val="xl64"/>
    <w:basedOn w:val="Normal"/>
    <w:rsid w:val="00F46C7B"/>
    <w:pPr>
      <w:pBdr>
        <w:top w:val="single" w:sz="8" w:space="0" w:color="auto"/>
        <w:left w:val="single" w:sz="8" w:space="0" w:color="auto"/>
      </w:pBdr>
      <w:spacing w:before="100" w:beforeAutospacing="1" w:after="100" w:afterAutospacing="1"/>
      <w:jc w:val="center"/>
    </w:pPr>
    <w:rPr>
      <w:rFonts w:ascii="Arial" w:hAnsi="Arial" w:cs="Arial"/>
      <w:b/>
      <w:bCs/>
    </w:rPr>
  </w:style>
  <w:style w:type="paragraph" w:customStyle="1" w:styleId="xl61">
    <w:name w:val="xl61"/>
    <w:basedOn w:val="Normal"/>
    <w:uiPriority w:val="99"/>
    <w:rsid w:val="00F46C7B"/>
    <w:pPr>
      <w:pBdr>
        <w:top w:val="single" w:sz="8" w:space="0" w:color="auto"/>
      </w:pBdr>
      <w:spacing w:before="100" w:beforeAutospacing="1" w:after="100" w:afterAutospacing="1"/>
      <w:jc w:val="center"/>
    </w:pPr>
    <w:rPr>
      <w:rFonts w:ascii="Arial" w:hAnsi="Arial" w:cs="Arial"/>
      <w:b/>
      <w:bCs/>
    </w:rPr>
  </w:style>
  <w:style w:type="paragraph" w:customStyle="1" w:styleId="xl65">
    <w:name w:val="xl65"/>
    <w:basedOn w:val="Normal"/>
    <w:rsid w:val="00F46C7B"/>
    <w:pPr>
      <w:spacing w:before="100" w:beforeAutospacing="1" w:after="100" w:afterAutospacing="1"/>
    </w:pPr>
    <w:rPr>
      <w:rFonts w:ascii="Book Antiqua" w:hAnsi="Book Antiqua" w:cs="Arial Unicode MS"/>
      <w:sz w:val="14"/>
      <w:szCs w:val="14"/>
    </w:rPr>
  </w:style>
  <w:style w:type="paragraph" w:customStyle="1" w:styleId="BodyText31">
    <w:name w:val="Body Text 31"/>
    <w:basedOn w:val="Normal"/>
    <w:uiPriority w:val="99"/>
    <w:rsid w:val="00F46C7B"/>
    <w:pPr>
      <w:tabs>
        <w:tab w:val="left" w:pos="-678"/>
        <w:tab w:val="left" w:pos="5954"/>
      </w:tabs>
      <w:overflowPunct w:val="0"/>
      <w:autoSpaceDE w:val="0"/>
      <w:autoSpaceDN w:val="0"/>
      <w:adjustRightInd w:val="0"/>
      <w:textAlignment w:val="baseline"/>
    </w:pPr>
    <w:rPr>
      <w:szCs w:val="20"/>
    </w:rPr>
  </w:style>
  <w:style w:type="character" w:styleId="Emphasis">
    <w:name w:val="Emphasis"/>
    <w:basedOn w:val="DefaultParagraphFont"/>
    <w:uiPriority w:val="20"/>
    <w:qFormat/>
    <w:rsid w:val="00F46C7B"/>
    <w:rPr>
      <w:rFonts w:cs="Times New Roman"/>
      <w:i/>
    </w:rPr>
  </w:style>
  <w:style w:type="paragraph" w:customStyle="1" w:styleId="StyleHeading2">
    <w:name w:val="Style Heading 2"/>
    <w:aliases w:val="(F3) + Justified"/>
    <w:basedOn w:val="Heading2"/>
    <w:autoRedefine/>
    <w:uiPriority w:val="99"/>
    <w:rsid w:val="00F46C7B"/>
    <w:pPr>
      <w:numPr>
        <w:ilvl w:val="0"/>
        <w:numId w:val="0"/>
      </w:numPr>
      <w:spacing w:after="240"/>
      <w:ind w:left="1440" w:hanging="360"/>
    </w:pPr>
    <w:rPr>
      <w:rFonts w:ascii="Calibri" w:hAnsi="Calibri"/>
      <w:iCs w:val="0"/>
    </w:rPr>
  </w:style>
  <w:style w:type="paragraph" w:customStyle="1" w:styleId="StyleTM1">
    <w:name w:val="Style TM 1"/>
    <w:aliases w:val="toc1 + (normal text) Petites majuscules"/>
    <w:basedOn w:val="TOC1"/>
    <w:link w:val="StyleTM11"/>
    <w:autoRedefine/>
    <w:uiPriority w:val="99"/>
    <w:rsid w:val="00F46C7B"/>
    <w:pPr>
      <w:tabs>
        <w:tab w:val="left" w:pos="640"/>
        <w:tab w:val="right" w:leader="dot" w:pos="9360"/>
      </w:tabs>
      <w:spacing w:before="120" w:after="120"/>
      <w:ind w:left="675" w:right="720" w:hanging="675"/>
      <w:jc w:val="both"/>
    </w:pPr>
    <w:rPr>
      <w:rFonts w:ascii="(normal text)" w:hAnsi="(normal text)"/>
      <w:caps/>
      <w:smallCaps/>
      <w:noProof w:val="0"/>
      <w:sz w:val="22"/>
    </w:rPr>
  </w:style>
  <w:style w:type="character" w:customStyle="1" w:styleId="StyleTM11">
    <w:name w:val="Style TM 11"/>
    <w:aliases w:val="toc1 + (normal text) Petites majuscules Car"/>
    <w:link w:val="StyleTM1"/>
    <w:uiPriority w:val="99"/>
    <w:locked/>
    <w:rsid w:val="00F46C7B"/>
    <w:rPr>
      <w:rFonts w:ascii="(normal text)" w:eastAsia="Times New Roman" w:hAnsi="(normal text)" w:cs="Times New Roman"/>
      <w:b/>
      <w:caps/>
      <w:smallCaps/>
      <w:szCs w:val="20"/>
      <w:lang w:val="en-US"/>
    </w:rPr>
  </w:style>
  <w:style w:type="paragraph" w:customStyle="1" w:styleId="StyleJustifi">
    <w:name w:val="Style Justifié"/>
    <w:basedOn w:val="Normal"/>
    <w:uiPriority w:val="99"/>
    <w:rsid w:val="00F46C7B"/>
    <w:pPr>
      <w:spacing w:after="240"/>
    </w:pPr>
    <w:rPr>
      <w:szCs w:val="20"/>
    </w:rPr>
  </w:style>
  <w:style w:type="paragraph" w:customStyle="1" w:styleId="BulletsL1">
    <w:name w:val="Bullets_L1"/>
    <w:basedOn w:val="Normal"/>
    <w:link w:val="BulletsL1Char"/>
    <w:uiPriority w:val="99"/>
    <w:rsid w:val="00F46C7B"/>
    <w:pPr>
      <w:numPr>
        <w:numId w:val="24"/>
      </w:numPr>
      <w:spacing w:after="220"/>
      <w:outlineLvl w:val="0"/>
    </w:pPr>
    <w:rPr>
      <w:szCs w:val="20"/>
      <w:lang w:val="en-GB"/>
    </w:rPr>
  </w:style>
  <w:style w:type="paragraph" w:customStyle="1" w:styleId="BulletsL2">
    <w:name w:val="Bullets_L2"/>
    <w:basedOn w:val="BulletsL1"/>
    <w:link w:val="BulletsL2Char"/>
    <w:uiPriority w:val="99"/>
    <w:rsid w:val="00F46C7B"/>
    <w:pPr>
      <w:numPr>
        <w:ilvl w:val="1"/>
      </w:numPr>
      <w:tabs>
        <w:tab w:val="clear" w:pos="1985"/>
        <w:tab w:val="num" w:pos="720"/>
        <w:tab w:val="num" w:pos="1043"/>
      </w:tabs>
      <w:ind w:left="720" w:hanging="720"/>
      <w:outlineLvl w:val="1"/>
    </w:pPr>
  </w:style>
  <w:style w:type="paragraph" w:customStyle="1" w:styleId="BulletsL3">
    <w:name w:val="Bullets_L3"/>
    <w:basedOn w:val="BulletsL2"/>
    <w:uiPriority w:val="99"/>
    <w:rsid w:val="00F46C7B"/>
    <w:pPr>
      <w:numPr>
        <w:ilvl w:val="2"/>
      </w:numPr>
      <w:tabs>
        <w:tab w:val="num" w:pos="1043"/>
        <w:tab w:val="num" w:pos="1260"/>
        <w:tab w:val="num" w:pos="1763"/>
      </w:tabs>
      <w:ind w:left="2160" w:hanging="360"/>
      <w:outlineLvl w:val="2"/>
    </w:pPr>
  </w:style>
  <w:style w:type="paragraph" w:customStyle="1" w:styleId="BulletsL4">
    <w:name w:val="Bullets_L4"/>
    <w:basedOn w:val="BulletsL3"/>
    <w:uiPriority w:val="99"/>
    <w:rsid w:val="00F46C7B"/>
    <w:pPr>
      <w:numPr>
        <w:ilvl w:val="3"/>
      </w:numPr>
      <w:tabs>
        <w:tab w:val="num" w:pos="1260"/>
        <w:tab w:val="num" w:pos="2483"/>
        <w:tab w:val="num" w:pos="2520"/>
      </w:tabs>
      <w:ind w:left="2880" w:hanging="360"/>
      <w:outlineLvl w:val="3"/>
    </w:pPr>
  </w:style>
  <w:style w:type="paragraph" w:customStyle="1" w:styleId="BulletsL5">
    <w:name w:val="Bullets_L5"/>
    <w:basedOn w:val="BulletsL4"/>
    <w:uiPriority w:val="99"/>
    <w:rsid w:val="00F46C7B"/>
    <w:pPr>
      <w:numPr>
        <w:ilvl w:val="4"/>
      </w:numPr>
      <w:tabs>
        <w:tab w:val="num" w:pos="1763"/>
        <w:tab w:val="num" w:pos="3203"/>
        <w:tab w:val="num" w:pos="3600"/>
      </w:tabs>
      <w:ind w:left="3600" w:hanging="360"/>
      <w:outlineLvl w:val="4"/>
    </w:pPr>
  </w:style>
  <w:style w:type="paragraph" w:customStyle="1" w:styleId="BulletsL6">
    <w:name w:val="Bullets_L6"/>
    <w:basedOn w:val="BulletsL5"/>
    <w:uiPriority w:val="99"/>
    <w:rsid w:val="00F46C7B"/>
    <w:pPr>
      <w:numPr>
        <w:ilvl w:val="5"/>
      </w:numPr>
      <w:tabs>
        <w:tab w:val="num" w:pos="2483"/>
        <w:tab w:val="num" w:pos="3923"/>
      </w:tabs>
      <w:ind w:left="4320" w:hanging="180"/>
      <w:outlineLvl w:val="5"/>
    </w:pPr>
  </w:style>
  <w:style w:type="paragraph" w:customStyle="1" w:styleId="BulletsL7">
    <w:name w:val="Bullets_L7"/>
    <w:basedOn w:val="BulletsL6"/>
    <w:uiPriority w:val="99"/>
    <w:rsid w:val="00F46C7B"/>
    <w:pPr>
      <w:numPr>
        <w:ilvl w:val="6"/>
      </w:numPr>
      <w:tabs>
        <w:tab w:val="clear" w:pos="992"/>
        <w:tab w:val="num" w:pos="1440"/>
        <w:tab w:val="num" w:pos="4643"/>
      </w:tabs>
      <w:ind w:left="5040" w:hanging="360"/>
      <w:outlineLvl w:val="6"/>
    </w:pPr>
  </w:style>
  <w:style w:type="paragraph" w:customStyle="1" w:styleId="BulletsL8">
    <w:name w:val="Bullets_L8"/>
    <w:basedOn w:val="BulletsL7"/>
    <w:uiPriority w:val="99"/>
    <w:rsid w:val="00F46C7B"/>
    <w:pPr>
      <w:numPr>
        <w:ilvl w:val="7"/>
      </w:numPr>
      <w:tabs>
        <w:tab w:val="clear" w:pos="1985"/>
        <w:tab w:val="num" w:pos="2880"/>
        <w:tab w:val="num" w:pos="5363"/>
      </w:tabs>
      <w:ind w:left="5760" w:hanging="360"/>
      <w:outlineLvl w:val="7"/>
    </w:pPr>
  </w:style>
  <w:style w:type="paragraph" w:customStyle="1" w:styleId="BulletsL9">
    <w:name w:val="Bullets_L9"/>
    <w:basedOn w:val="BulletsL8"/>
    <w:uiPriority w:val="99"/>
    <w:rsid w:val="00F46C7B"/>
    <w:pPr>
      <w:numPr>
        <w:ilvl w:val="8"/>
      </w:numPr>
      <w:tabs>
        <w:tab w:val="clear" w:pos="2977"/>
        <w:tab w:val="clear" w:pos="3923"/>
        <w:tab w:val="num" w:pos="2880"/>
        <w:tab w:val="num" w:pos="6083"/>
        <w:tab w:val="num" w:pos="6480"/>
      </w:tabs>
      <w:ind w:left="0" w:firstLine="5760"/>
      <w:outlineLvl w:val="8"/>
    </w:pPr>
  </w:style>
  <w:style w:type="character" w:customStyle="1" w:styleId="BulletsL2Char">
    <w:name w:val="Bullets_L2 Char"/>
    <w:link w:val="BulletsL2"/>
    <w:uiPriority w:val="99"/>
    <w:locked/>
    <w:rsid w:val="00F46C7B"/>
    <w:rPr>
      <w:rFonts w:ascii="Calibri" w:eastAsia="Times New Roman" w:hAnsi="Calibri" w:cs="Times New Roman"/>
      <w:sz w:val="20"/>
      <w:szCs w:val="20"/>
      <w:lang w:val="en-GB"/>
    </w:rPr>
  </w:style>
  <w:style w:type="character" w:customStyle="1" w:styleId="BulletsL1Char">
    <w:name w:val="Bullets_L1 Char"/>
    <w:link w:val="BulletsL1"/>
    <w:uiPriority w:val="99"/>
    <w:locked/>
    <w:rsid w:val="00F46C7B"/>
    <w:rPr>
      <w:rFonts w:ascii="Calibri" w:eastAsia="Times New Roman" w:hAnsi="Calibri" w:cs="Times New Roman"/>
      <w:sz w:val="20"/>
      <w:szCs w:val="20"/>
      <w:lang w:val="en-GB"/>
    </w:rPr>
  </w:style>
  <w:style w:type="paragraph" w:styleId="NoSpacing">
    <w:name w:val="No Spacing"/>
    <w:link w:val="NoSpacingChar"/>
    <w:uiPriority w:val="1"/>
    <w:qFormat/>
    <w:rsid w:val="00F46C7B"/>
    <w:pPr>
      <w:spacing w:after="0" w:line="240" w:lineRule="auto"/>
    </w:pPr>
    <w:rPr>
      <w:rFonts w:ascii="Times New Roman" w:eastAsia="Times New Roman" w:hAnsi="Times New Roman" w:cs="Times New Roman"/>
      <w:sz w:val="24"/>
      <w:szCs w:val="24"/>
      <w:lang w:val="en-US"/>
    </w:rPr>
  </w:style>
  <w:style w:type="table" w:styleId="LightList-Accent5">
    <w:name w:val="Light List Accent 5"/>
    <w:basedOn w:val="TableNormal"/>
    <w:uiPriority w:val="99"/>
    <w:rsid w:val="00F46C7B"/>
    <w:pPr>
      <w:spacing w:after="0" w:line="240" w:lineRule="auto"/>
    </w:pPr>
    <w:rPr>
      <w:rFonts w:ascii="Calibri" w:eastAsia="Times New Roman" w:hAnsi="Calibri" w:cs="Times New Roman"/>
      <w:sz w:val="20"/>
      <w:szCs w:val="2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character" w:customStyle="1" w:styleId="Titre3Car1">
    <w:name w:val="Titre 3 Car1"/>
    <w:uiPriority w:val="99"/>
    <w:rsid w:val="00F46C7B"/>
    <w:rPr>
      <w:rFonts w:eastAsia="Times New Roman"/>
      <w:b/>
      <w:lang w:eastAsia="fr-FR"/>
    </w:rPr>
  </w:style>
  <w:style w:type="paragraph" w:customStyle="1" w:styleId="PRt4">
    <w:name w:val="PR t4"/>
    <w:basedOn w:val="Normal"/>
    <w:next w:val="Normal"/>
    <w:autoRedefine/>
    <w:uiPriority w:val="99"/>
    <w:rsid w:val="00F46C7B"/>
    <w:pPr>
      <w:numPr>
        <w:ilvl w:val="3"/>
        <w:numId w:val="25"/>
      </w:numPr>
    </w:pPr>
    <w:rPr>
      <w:i/>
      <w:szCs w:val="22"/>
      <w:u w:val="single"/>
      <w:lang w:val="en-GB"/>
    </w:rPr>
  </w:style>
  <w:style w:type="paragraph" w:customStyle="1" w:styleId="PRt1">
    <w:name w:val="PR t1"/>
    <w:basedOn w:val="ListNumber"/>
    <w:autoRedefine/>
    <w:uiPriority w:val="99"/>
    <w:rsid w:val="00F46C7B"/>
    <w:pPr>
      <w:tabs>
        <w:tab w:val="clear" w:pos="360"/>
        <w:tab w:val="num" w:pos="567"/>
      </w:tabs>
      <w:spacing w:after="0"/>
      <w:jc w:val="left"/>
    </w:pPr>
    <w:rPr>
      <w:rFonts w:ascii="Times New Roman" w:hAnsi="Times New Roman"/>
      <w:b/>
      <w:caps/>
      <w:sz w:val="26"/>
      <w:szCs w:val="26"/>
      <w:lang w:val="en-GB"/>
    </w:rPr>
  </w:style>
  <w:style w:type="paragraph" w:customStyle="1" w:styleId="Style10">
    <w:name w:val="Style 1"/>
    <w:basedOn w:val="Normal"/>
    <w:uiPriority w:val="99"/>
    <w:rsid w:val="00F46C7B"/>
    <w:pPr>
      <w:widowControl w:val="0"/>
      <w:autoSpaceDE w:val="0"/>
      <w:autoSpaceDN w:val="0"/>
      <w:ind w:left="72"/>
    </w:pPr>
    <w:rPr>
      <w:sz w:val="24"/>
    </w:rPr>
  </w:style>
  <w:style w:type="paragraph" w:customStyle="1" w:styleId="Style20">
    <w:name w:val="Style 2"/>
    <w:basedOn w:val="Normal"/>
    <w:uiPriority w:val="99"/>
    <w:rsid w:val="00F46C7B"/>
    <w:pPr>
      <w:widowControl w:val="0"/>
      <w:autoSpaceDE w:val="0"/>
      <w:autoSpaceDN w:val="0"/>
      <w:adjustRightInd w:val="0"/>
    </w:pPr>
    <w:rPr>
      <w:sz w:val="24"/>
    </w:rPr>
  </w:style>
  <w:style w:type="paragraph" w:customStyle="1" w:styleId="AJnormal">
    <w:name w:val="AJnormal"/>
    <w:uiPriority w:val="99"/>
    <w:rsid w:val="00F46C7B"/>
    <w:pPr>
      <w:widowControl w:val="0"/>
      <w:autoSpaceDE w:val="0"/>
      <w:autoSpaceDN w:val="0"/>
      <w:adjustRightInd w:val="0"/>
      <w:spacing w:before="120" w:after="0" w:line="240" w:lineRule="auto"/>
      <w:jc w:val="both"/>
    </w:pPr>
    <w:rPr>
      <w:rFonts w:ascii="Times New Roman" w:eastAsia="Times New Roman" w:hAnsi="Times New Roman" w:cs="Times New Roman"/>
      <w:sz w:val="20"/>
      <w:szCs w:val="20"/>
      <w:lang w:val="en-US"/>
    </w:rPr>
  </w:style>
  <w:style w:type="character" w:customStyle="1" w:styleId="AJvar">
    <w:name w:val="AJvar"/>
    <w:uiPriority w:val="99"/>
    <w:rsid w:val="00F46C7B"/>
    <w:rPr>
      <w:i/>
    </w:rPr>
  </w:style>
  <w:style w:type="character" w:customStyle="1" w:styleId="Style10pt">
    <w:name w:val="Style 10 pt"/>
    <w:uiPriority w:val="99"/>
    <w:rsid w:val="00F46C7B"/>
    <w:rPr>
      <w:sz w:val="20"/>
    </w:rPr>
  </w:style>
  <w:style w:type="character" w:customStyle="1" w:styleId="textarial1">
    <w:name w:val="textarial1"/>
    <w:uiPriority w:val="99"/>
    <w:rsid w:val="00F46C7B"/>
    <w:rPr>
      <w:rFonts w:ascii="Arial" w:hAnsi="Arial"/>
      <w:sz w:val="18"/>
    </w:rPr>
  </w:style>
  <w:style w:type="paragraph" w:customStyle="1" w:styleId="textetableau">
    <w:name w:val="texte_tableau"/>
    <w:basedOn w:val="Normal"/>
    <w:uiPriority w:val="99"/>
    <w:rsid w:val="00F46C7B"/>
    <w:pPr>
      <w:shd w:val="pct10" w:color="auto" w:fill="FFFFFF"/>
      <w:spacing w:before="40" w:after="40" w:line="180" w:lineRule="exact"/>
    </w:pPr>
    <w:rPr>
      <w:rFonts w:ascii="Trebuchet MS" w:hAnsi="Trebuchet MS"/>
      <w:sz w:val="18"/>
      <w:szCs w:val="18"/>
      <w:lang w:eastAsia="ko-KR"/>
    </w:rPr>
  </w:style>
  <w:style w:type="paragraph" w:customStyle="1" w:styleId="1erelignetableau">
    <w:name w:val="1ereligne_tableau"/>
    <w:basedOn w:val="textetableau"/>
    <w:uiPriority w:val="99"/>
    <w:rsid w:val="00F46C7B"/>
    <w:pPr>
      <w:pBdr>
        <w:top w:val="threeDEmboss" w:sz="6" w:space="2" w:color="auto"/>
        <w:bottom w:val="threeDEngrave" w:sz="6" w:space="2" w:color="auto"/>
      </w:pBdr>
      <w:shd w:val="pct15" w:color="auto" w:fill="FFFFFF"/>
    </w:pPr>
    <w:rPr>
      <w:b/>
      <w:bCs/>
    </w:rPr>
  </w:style>
  <w:style w:type="paragraph" w:customStyle="1" w:styleId="11Heading">
    <w:name w:val="1.1 Heading"/>
    <w:basedOn w:val="Normal"/>
    <w:uiPriority w:val="99"/>
    <w:rsid w:val="00F46C7B"/>
    <w:rPr>
      <w:sz w:val="24"/>
    </w:rPr>
  </w:style>
  <w:style w:type="character" w:customStyle="1" w:styleId="CarCar">
    <w:name w:val="Car Car"/>
    <w:uiPriority w:val="99"/>
    <w:rsid w:val="00F46C7B"/>
    <w:rPr>
      <w:b/>
      <w:caps/>
      <w:kern w:val="32"/>
      <w:sz w:val="26"/>
      <w:lang w:val="fr-FR" w:eastAsia="fr-FR"/>
    </w:rPr>
  </w:style>
  <w:style w:type="character" w:customStyle="1" w:styleId="EmailStyle581">
    <w:name w:val="EmailStyle581"/>
    <w:uiPriority w:val="99"/>
    <w:semiHidden/>
    <w:rsid w:val="00F46C7B"/>
    <w:rPr>
      <w:rFonts w:ascii="Arial" w:eastAsia="SimSun" w:hAnsi="Arial"/>
      <w:color w:val="auto"/>
      <w:sz w:val="20"/>
      <w:lang w:val="en-US" w:eastAsia="zh-CN"/>
    </w:rPr>
  </w:style>
  <w:style w:type="paragraph" w:customStyle="1" w:styleId="BlockTextJ">
    <w:name w:val="Block Text J"/>
    <w:basedOn w:val="Normal"/>
    <w:uiPriority w:val="99"/>
    <w:rsid w:val="00F46C7B"/>
    <w:pPr>
      <w:autoSpaceDE w:val="0"/>
      <w:autoSpaceDN w:val="0"/>
      <w:adjustRightInd w:val="0"/>
    </w:pPr>
    <w:rPr>
      <w:sz w:val="24"/>
    </w:rPr>
  </w:style>
  <w:style w:type="paragraph" w:customStyle="1" w:styleId="Normal10pt">
    <w:name w:val="Normal + 10 pt"/>
    <w:aliases w:val="Centré + 10 pt"/>
    <w:basedOn w:val="Heading7"/>
    <w:uiPriority w:val="99"/>
    <w:rsid w:val="00F46C7B"/>
    <w:rPr>
      <w:rFonts w:ascii="Times New Roman" w:eastAsia="Times New Roman" w:hAnsi="Times New Roman"/>
    </w:rPr>
  </w:style>
  <w:style w:type="paragraph" w:customStyle="1" w:styleId="StyleTitre2NonsoulignToutenmajusculeGaucheDroite">
    <w:name w:val="Style Titre 2 + Non souligné Tout en majuscule Gauche Droite :  ..."/>
    <w:basedOn w:val="Normal"/>
    <w:autoRedefine/>
    <w:uiPriority w:val="99"/>
    <w:rsid w:val="00F46C7B"/>
    <w:rPr>
      <w:bCs/>
      <w:iCs/>
      <w:caps/>
      <w:sz w:val="24"/>
      <w:szCs w:val="20"/>
    </w:rPr>
  </w:style>
  <w:style w:type="character" w:customStyle="1" w:styleId="normal1">
    <w:name w:val="normal1"/>
    <w:uiPriority w:val="99"/>
    <w:rsid w:val="00F46C7B"/>
    <w:rPr>
      <w:rFonts w:ascii="Verdana" w:hAnsi="Verdana"/>
      <w:color w:val="454545"/>
      <w:sz w:val="17"/>
      <w:u w:val="none"/>
      <w:effect w:val="none"/>
    </w:rPr>
  </w:style>
  <w:style w:type="paragraph" w:customStyle="1" w:styleId="CarCarCar">
    <w:name w:val="Car Car Car"/>
    <w:basedOn w:val="Normal"/>
    <w:uiPriority w:val="99"/>
    <w:rsid w:val="00F46C7B"/>
    <w:pPr>
      <w:numPr>
        <w:numId w:val="26"/>
      </w:numPr>
      <w:tabs>
        <w:tab w:val="left" w:pos="540"/>
        <w:tab w:val="left" w:pos="1260"/>
        <w:tab w:val="left" w:pos="1800"/>
      </w:tabs>
      <w:spacing w:before="240" w:after="160" w:line="240" w:lineRule="exact"/>
    </w:pPr>
    <w:rPr>
      <w:rFonts w:ascii="Verdana" w:eastAsia="SimSun" w:hAnsi="Verdana" w:cs="Verdana"/>
      <w:sz w:val="24"/>
      <w:lang w:eastAsia="zh-CN"/>
    </w:rPr>
  </w:style>
  <w:style w:type="paragraph" w:customStyle="1" w:styleId="CG-SingleSp">
    <w:name w:val="CG-Single Sp"/>
    <w:aliases w:val="s1"/>
    <w:basedOn w:val="Normal"/>
    <w:uiPriority w:val="99"/>
    <w:rsid w:val="00F46C7B"/>
    <w:pPr>
      <w:widowControl w:val="0"/>
      <w:spacing w:after="240"/>
    </w:pPr>
    <w:rPr>
      <w:sz w:val="24"/>
    </w:rPr>
  </w:style>
  <w:style w:type="character" w:customStyle="1" w:styleId="spelle">
    <w:name w:val="spelle"/>
    <w:uiPriority w:val="99"/>
    <w:rsid w:val="00F46C7B"/>
  </w:style>
  <w:style w:type="paragraph" w:customStyle="1" w:styleId="Paragraphedeliste1">
    <w:name w:val="Paragraphe de liste1"/>
    <w:basedOn w:val="Normal"/>
    <w:uiPriority w:val="99"/>
    <w:rsid w:val="00F46C7B"/>
    <w:pPr>
      <w:spacing w:after="200" w:line="276" w:lineRule="auto"/>
      <w:ind w:left="720"/>
      <w:contextualSpacing/>
    </w:pPr>
    <w:rPr>
      <w:szCs w:val="22"/>
    </w:rPr>
  </w:style>
  <w:style w:type="paragraph" w:customStyle="1" w:styleId="texte1">
    <w:name w:val="texte 1"/>
    <w:basedOn w:val="Normal"/>
    <w:uiPriority w:val="99"/>
    <w:rsid w:val="00F46C7B"/>
    <w:pPr>
      <w:spacing w:before="120"/>
      <w:ind w:left="425"/>
    </w:pPr>
    <w:rPr>
      <w:rFonts w:ascii="Arial" w:hAnsi="Arial"/>
      <w:szCs w:val="20"/>
    </w:rPr>
  </w:style>
  <w:style w:type="character" w:customStyle="1" w:styleId="txtdef">
    <w:name w:val="txtdef"/>
    <w:uiPriority w:val="99"/>
    <w:rsid w:val="00F46C7B"/>
  </w:style>
  <w:style w:type="character" w:customStyle="1" w:styleId="lang-en">
    <w:name w:val="lang-en"/>
    <w:uiPriority w:val="99"/>
    <w:rsid w:val="00F46C7B"/>
  </w:style>
  <w:style w:type="paragraph" w:customStyle="1" w:styleId="Paragraphedeliste2">
    <w:name w:val="Paragraphe de liste2"/>
    <w:basedOn w:val="Normal"/>
    <w:uiPriority w:val="99"/>
    <w:rsid w:val="00F46C7B"/>
    <w:pPr>
      <w:spacing w:after="200" w:line="276" w:lineRule="auto"/>
      <w:ind w:left="720"/>
      <w:contextualSpacing/>
    </w:pPr>
    <w:rPr>
      <w:szCs w:val="22"/>
    </w:rPr>
  </w:style>
  <w:style w:type="character" w:customStyle="1" w:styleId="ilad">
    <w:name w:val="il_ad"/>
    <w:uiPriority w:val="99"/>
    <w:rsid w:val="00F46C7B"/>
  </w:style>
  <w:style w:type="paragraph" w:customStyle="1" w:styleId="astrid11">
    <w:name w:val="astrid 1.1"/>
    <w:basedOn w:val="Normal"/>
    <w:link w:val="astrid11CarCar"/>
    <w:autoRedefine/>
    <w:uiPriority w:val="99"/>
    <w:rsid w:val="00F46C7B"/>
    <w:pPr>
      <w:keepNext/>
      <w:tabs>
        <w:tab w:val="left" w:pos="9000"/>
      </w:tabs>
      <w:autoSpaceDE w:val="0"/>
      <w:autoSpaceDN w:val="0"/>
      <w:adjustRightInd w:val="0"/>
      <w:spacing w:before="240" w:after="60"/>
      <w:ind w:right="25"/>
      <w:outlineLvl w:val="1"/>
    </w:pPr>
    <w:rPr>
      <w:rFonts w:ascii="Times New Roman Gras" w:hAnsi="Times New Roman Gras"/>
      <w:b/>
      <w:sz w:val="24"/>
      <w:szCs w:val="20"/>
    </w:rPr>
  </w:style>
  <w:style w:type="character" w:customStyle="1" w:styleId="astrid11CarCar">
    <w:name w:val="astrid 1.1 Car Car"/>
    <w:link w:val="astrid11"/>
    <w:uiPriority w:val="99"/>
    <w:locked/>
    <w:rsid w:val="00F46C7B"/>
    <w:rPr>
      <w:rFonts w:ascii="Times New Roman Gras" w:eastAsia="Times New Roman" w:hAnsi="Times New Roman Gras" w:cs="Times New Roman"/>
      <w:b/>
      <w:sz w:val="24"/>
      <w:szCs w:val="20"/>
      <w:lang w:val="en-US"/>
    </w:rPr>
  </w:style>
  <w:style w:type="paragraph" w:customStyle="1" w:styleId="astrid">
    <w:name w:val="astrid"/>
    <w:basedOn w:val="Normal"/>
    <w:link w:val="astridCar"/>
    <w:uiPriority w:val="99"/>
    <w:rsid w:val="00F46C7B"/>
    <w:rPr>
      <w:b/>
      <w:caps/>
      <w:sz w:val="28"/>
      <w:szCs w:val="20"/>
    </w:rPr>
  </w:style>
  <w:style w:type="character" w:customStyle="1" w:styleId="astridCar">
    <w:name w:val="astrid Car"/>
    <w:link w:val="astrid"/>
    <w:uiPriority w:val="99"/>
    <w:locked/>
    <w:rsid w:val="00F46C7B"/>
    <w:rPr>
      <w:rFonts w:ascii="Times New Roman" w:eastAsia="Times New Roman" w:hAnsi="Times New Roman" w:cs="Times New Roman"/>
      <w:b/>
      <w:caps/>
      <w:sz w:val="28"/>
      <w:szCs w:val="20"/>
      <w:lang w:val="en-US"/>
    </w:rPr>
  </w:style>
  <w:style w:type="character" w:customStyle="1" w:styleId="hps">
    <w:name w:val="hps"/>
    <w:uiPriority w:val="99"/>
    <w:rsid w:val="00F46C7B"/>
  </w:style>
  <w:style w:type="character" w:customStyle="1" w:styleId="wording">
    <w:name w:val="wording"/>
    <w:uiPriority w:val="99"/>
    <w:rsid w:val="00F46C7B"/>
  </w:style>
  <w:style w:type="character" w:customStyle="1" w:styleId="google-src-text">
    <w:name w:val="google-src-text"/>
    <w:uiPriority w:val="99"/>
    <w:rsid w:val="00F46C7B"/>
  </w:style>
  <w:style w:type="paragraph" w:customStyle="1" w:styleId="Texte">
    <w:name w:val="Texte"/>
    <w:basedOn w:val="Normal"/>
    <w:link w:val="TexteCar"/>
    <w:uiPriority w:val="99"/>
    <w:rsid w:val="00F46C7B"/>
    <w:pPr>
      <w:keepLines/>
      <w:overflowPunct w:val="0"/>
      <w:autoSpaceDE w:val="0"/>
      <w:autoSpaceDN w:val="0"/>
      <w:adjustRightInd w:val="0"/>
      <w:spacing w:after="240" w:line="260" w:lineRule="exact"/>
      <w:textAlignment w:val="baseline"/>
    </w:pPr>
    <w:rPr>
      <w:rFonts w:ascii="EYInterstate Light" w:hAnsi="EYInterstate Light"/>
      <w:kern w:val="12"/>
      <w:sz w:val="18"/>
      <w:szCs w:val="20"/>
    </w:rPr>
  </w:style>
  <w:style w:type="character" w:customStyle="1" w:styleId="TexteCar">
    <w:name w:val="Texte Car"/>
    <w:link w:val="Texte"/>
    <w:uiPriority w:val="99"/>
    <w:locked/>
    <w:rsid w:val="00F46C7B"/>
    <w:rPr>
      <w:rFonts w:ascii="EYInterstate Light" w:eastAsia="Times New Roman" w:hAnsi="EYInterstate Light" w:cs="Times New Roman"/>
      <w:kern w:val="12"/>
      <w:sz w:val="18"/>
      <w:szCs w:val="20"/>
      <w:lang w:val="en-US"/>
    </w:rPr>
  </w:style>
  <w:style w:type="paragraph" w:customStyle="1" w:styleId="Signature1">
    <w:name w:val="Signature 1"/>
    <w:basedOn w:val="Blocsignature"/>
    <w:uiPriority w:val="99"/>
    <w:rsid w:val="00F46C7B"/>
    <w:pPr>
      <w:spacing w:before="1600"/>
    </w:pPr>
  </w:style>
  <w:style w:type="paragraph" w:customStyle="1" w:styleId="Blocsignature">
    <w:name w:val="Bloc signature"/>
    <w:basedOn w:val="Normal"/>
    <w:uiPriority w:val="99"/>
    <w:rsid w:val="00F46C7B"/>
    <w:pPr>
      <w:keepLines/>
      <w:overflowPunct w:val="0"/>
      <w:autoSpaceDE w:val="0"/>
      <w:autoSpaceDN w:val="0"/>
      <w:adjustRightInd w:val="0"/>
      <w:spacing w:line="260" w:lineRule="exact"/>
      <w:ind w:left="4502"/>
      <w:textAlignment w:val="baseline"/>
    </w:pPr>
    <w:rPr>
      <w:rFonts w:ascii="EYInterstate Light" w:hAnsi="EYInterstate Light"/>
      <w:kern w:val="12"/>
      <w:szCs w:val="18"/>
    </w:rPr>
  </w:style>
  <w:style w:type="paragraph" w:customStyle="1" w:styleId="LieuDate">
    <w:name w:val="Lieu + Date"/>
    <w:basedOn w:val="Normal"/>
    <w:link w:val="LieuDateChar"/>
    <w:uiPriority w:val="99"/>
    <w:rsid w:val="00F46C7B"/>
    <w:pPr>
      <w:keepNext/>
      <w:keepLines/>
      <w:overflowPunct w:val="0"/>
      <w:autoSpaceDE w:val="0"/>
      <w:autoSpaceDN w:val="0"/>
      <w:adjustRightInd w:val="0"/>
      <w:spacing w:before="600" w:after="240" w:line="260" w:lineRule="exact"/>
      <w:textAlignment w:val="baseline"/>
    </w:pPr>
    <w:rPr>
      <w:rFonts w:ascii="EYInterstate Light" w:hAnsi="EYInterstate Light"/>
      <w:kern w:val="12"/>
      <w:sz w:val="18"/>
      <w:szCs w:val="20"/>
    </w:rPr>
  </w:style>
  <w:style w:type="character" w:customStyle="1" w:styleId="LieuDateChar">
    <w:name w:val="Lieu + Date Char"/>
    <w:link w:val="LieuDate"/>
    <w:uiPriority w:val="99"/>
    <w:locked/>
    <w:rsid w:val="00F46C7B"/>
    <w:rPr>
      <w:rFonts w:ascii="EYInterstate Light" w:eastAsia="Times New Roman" w:hAnsi="EYInterstate Light" w:cs="Times New Roman"/>
      <w:kern w:val="12"/>
      <w:sz w:val="18"/>
      <w:szCs w:val="20"/>
      <w:lang w:val="en-US"/>
    </w:rPr>
  </w:style>
  <w:style w:type="paragraph" w:styleId="TOCHeading">
    <w:name w:val="TOC Heading"/>
    <w:basedOn w:val="Heading1"/>
    <w:next w:val="Normal"/>
    <w:uiPriority w:val="39"/>
    <w:qFormat/>
    <w:rsid w:val="00F46C7B"/>
    <w:pPr>
      <w:keepLines/>
      <w:spacing w:before="480" w:after="0" w:line="276" w:lineRule="auto"/>
      <w:outlineLvl w:val="9"/>
    </w:pPr>
    <w:rPr>
      <w:rFonts w:eastAsia="Times New Roman"/>
      <w:color w:val="365F91"/>
      <w:kern w:val="0"/>
      <w:sz w:val="28"/>
      <w:szCs w:val="28"/>
    </w:rPr>
  </w:style>
  <w:style w:type="character" w:customStyle="1" w:styleId="Titre2Car1">
    <w:name w:val="Titre 2 Car1"/>
    <w:uiPriority w:val="99"/>
    <w:rsid w:val="00F46C7B"/>
    <w:rPr>
      <w:rFonts w:ascii="Cambria" w:hAnsi="Cambria"/>
      <w:b/>
      <w:color w:val="4F81BD"/>
      <w:sz w:val="26"/>
      <w:lang w:eastAsia="fr-FR"/>
    </w:rPr>
  </w:style>
  <w:style w:type="character" w:customStyle="1" w:styleId="Titre3Car2">
    <w:name w:val="Titre 3 Car2"/>
    <w:uiPriority w:val="99"/>
    <w:semiHidden/>
    <w:rsid w:val="00F46C7B"/>
    <w:rPr>
      <w:rFonts w:ascii="Cambria" w:hAnsi="Cambria"/>
      <w:b/>
      <w:color w:val="4F81BD"/>
      <w:sz w:val="24"/>
      <w:lang w:eastAsia="fr-FR"/>
    </w:rPr>
  </w:style>
  <w:style w:type="paragraph" w:customStyle="1" w:styleId="COVER-Bullet1">
    <w:name w:val="COVER - Bullet 1"/>
    <w:basedOn w:val="Normal"/>
    <w:uiPriority w:val="99"/>
    <w:rsid w:val="00F46C7B"/>
    <w:pPr>
      <w:numPr>
        <w:numId w:val="28"/>
      </w:numPr>
      <w:spacing w:after="240"/>
    </w:pPr>
  </w:style>
  <w:style w:type="paragraph" w:customStyle="1" w:styleId="MMTopic1">
    <w:name w:val="MM Topic 1"/>
    <w:basedOn w:val="MMTopic2"/>
    <w:uiPriority w:val="99"/>
    <w:rsid w:val="00F46C7B"/>
    <w:pPr>
      <w:numPr>
        <w:ilvl w:val="0"/>
      </w:numPr>
      <w:shd w:val="clear" w:color="auto" w:fill="4F81BD"/>
      <w:ind w:left="0"/>
    </w:pPr>
    <w:rPr>
      <w:color w:val="FFFFFF"/>
    </w:rPr>
  </w:style>
  <w:style w:type="paragraph" w:customStyle="1" w:styleId="MMTopic2">
    <w:name w:val="MM Topic 2"/>
    <w:basedOn w:val="Heading2"/>
    <w:uiPriority w:val="99"/>
    <w:rsid w:val="00F46C7B"/>
    <w:pPr>
      <w:keepLines/>
      <w:numPr>
        <w:numId w:val="29"/>
      </w:numPr>
      <w:pBdr>
        <w:top w:val="single" w:sz="4" w:space="1" w:color="4F81BD"/>
        <w:left w:val="single" w:sz="4" w:space="4" w:color="4F81BD"/>
        <w:bottom w:val="single" w:sz="4" w:space="1" w:color="4F81BD"/>
        <w:right w:val="single" w:sz="4" w:space="4" w:color="4F81BD"/>
      </w:pBdr>
      <w:shd w:val="clear" w:color="auto" w:fill="auto"/>
      <w:spacing w:before="200"/>
      <w:ind w:left="180" w:firstLine="0"/>
      <w:jc w:val="left"/>
    </w:pPr>
    <w:rPr>
      <w:rFonts w:ascii="Cambria" w:hAnsi="Cambria"/>
      <w:iCs w:val="0"/>
      <w:caps w:val="0"/>
      <w:color w:val="4F81BD"/>
      <w:sz w:val="26"/>
      <w:szCs w:val="26"/>
    </w:rPr>
  </w:style>
  <w:style w:type="paragraph" w:customStyle="1" w:styleId="MMTopic3">
    <w:name w:val="MM Topic 3"/>
    <w:basedOn w:val="Heading3"/>
    <w:uiPriority w:val="99"/>
    <w:rsid w:val="00F46C7B"/>
    <w:pPr>
      <w:keepLines/>
      <w:numPr>
        <w:ilvl w:val="2"/>
        <w:numId w:val="29"/>
      </w:numPr>
      <w:pBdr>
        <w:bottom w:val="single" w:sz="18" w:space="1" w:color="4F81BD"/>
      </w:pBdr>
      <w:spacing w:before="200" w:after="120"/>
      <w:ind w:left="1440"/>
    </w:pPr>
    <w:rPr>
      <w:rFonts w:eastAsia="Times New Roman"/>
      <w:color w:val="4F81BD"/>
      <w:sz w:val="18"/>
    </w:rPr>
  </w:style>
  <w:style w:type="paragraph" w:customStyle="1" w:styleId="MMTopic4">
    <w:name w:val="MM Topic 4"/>
    <w:basedOn w:val="Heading4"/>
    <w:uiPriority w:val="99"/>
    <w:rsid w:val="00F46C7B"/>
    <w:pPr>
      <w:keepLines/>
      <w:numPr>
        <w:ilvl w:val="3"/>
        <w:numId w:val="29"/>
      </w:numPr>
      <w:pBdr>
        <w:bottom w:val="single" w:sz="4" w:space="1" w:color="4F81BD"/>
      </w:pBdr>
      <w:spacing w:before="200" w:after="120"/>
      <w:ind w:left="540"/>
    </w:pPr>
    <w:rPr>
      <w:rFonts w:ascii="Cambria" w:eastAsia="Times New Roman" w:hAnsi="Cambria"/>
      <w:i/>
      <w:iCs/>
      <w:color w:val="4F81BD"/>
      <w:sz w:val="20"/>
    </w:rPr>
  </w:style>
  <w:style w:type="paragraph" w:customStyle="1" w:styleId="MMTopic5">
    <w:name w:val="MM Topic 5"/>
    <w:basedOn w:val="Heading5"/>
    <w:uiPriority w:val="99"/>
    <w:rsid w:val="00F46C7B"/>
    <w:pPr>
      <w:keepNext/>
      <w:keepLines/>
      <w:numPr>
        <w:ilvl w:val="4"/>
        <w:numId w:val="29"/>
      </w:numPr>
      <w:spacing w:before="200" w:after="0"/>
      <w:ind w:left="720"/>
    </w:pPr>
    <w:rPr>
      <w:rFonts w:ascii="Cambria" w:eastAsia="Times New Roman" w:hAnsi="Cambria"/>
      <w:b w:val="0"/>
      <w:i w:val="0"/>
      <w:color w:val="243F60"/>
      <w:sz w:val="20"/>
    </w:rPr>
  </w:style>
  <w:style w:type="character" w:customStyle="1" w:styleId="st">
    <w:name w:val="st"/>
    <w:uiPriority w:val="99"/>
    <w:rsid w:val="00F46C7B"/>
  </w:style>
  <w:style w:type="character" w:customStyle="1" w:styleId="citation-publication-date">
    <w:name w:val="citation-publication-date"/>
    <w:uiPriority w:val="99"/>
    <w:rsid w:val="00F46C7B"/>
  </w:style>
  <w:style w:type="paragraph" w:customStyle="1" w:styleId="Paragraphedeliste3">
    <w:name w:val="Paragraphe de liste3"/>
    <w:basedOn w:val="Normal"/>
    <w:uiPriority w:val="99"/>
    <w:rsid w:val="00F46C7B"/>
    <w:pPr>
      <w:ind w:left="720"/>
      <w:contextualSpacing/>
    </w:pPr>
    <w:rPr>
      <w:rFonts w:ascii="Garamond" w:hAnsi="Garamond"/>
    </w:rPr>
  </w:style>
  <w:style w:type="character" w:customStyle="1" w:styleId="FootnoteTextChar1">
    <w:name w:val="Footnote Text Char1"/>
    <w:uiPriority w:val="99"/>
    <w:locked/>
    <w:rsid w:val="00F46C7B"/>
    <w:rPr>
      <w:sz w:val="20"/>
    </w:rPr>
  </w:style>
  <w:style w:type="character" w:customStyle="1" w:styleId="ListNumberChar">
    <w:name w:val="List Number Char"/>
    <w:aliases w:val="ln Char,Bullet niveau 1 Char"/>
    <w:uiPriority w:val="99"/>
    <w:locked/>
    <w:rsid w:val="00F46C7B"/>
    <w:rPr>
      <w:rFonts w:ascii="Garamond" w:hAnsi="Garamond"/>
      <w:sz w:val="24"/>
      <w:lang w:val="fr-FR" w:eastAsia="fr-FR"/>
    </w:rPr>
  </w:style>
  <w:style w:type="character" w:customStyle="1" w:styleId="style3">
    <w:name w:val="style3"/>
    <w:uiPriority w:val="99"/>
    <w:rsid w:val="00F46C7B"/>
  </w:style>
  <w:style w:type="character" w:customStyle="1" w:styleId="lang-la">
    <w:name w:val="lang-la"/>
    <w:uiPriority w:val="99"/>
    <w:rsid w:val="00F46C7B"/>
  </w:style>
  <w:style w:type="paragraph" w:customStyle="1" w:styleId="ListParagraph1">
    <w:name w:val="List Paragraph1"/>
    <w:basedOn w:val="Normal"/>
    <w:uiPriority w:val="99"/>
    <w:rsid w:val="00F46C7B"/>
    <w:pPr>
      <w:numPr>
        <w:numId w:val="30"/>
      </w:numPr>
      <w:tabs>
        <w:tab w:val="clear" w:pos="720"/>
      </w:tabs>
      <w:suppressAutoHyphens/>
      <w:spacing w:line="100" w:lineRule="atLeast"/>
      <w:ind w:firstLine="0"/>
    </w:pPr>
    <w:rPr>
      <w:color w:val="000000"/>
      <w:kern w:val="1"/>
      <w:sz w:val="24"/>
      <w:lang w:val="en-GB" w:eastAsia="hi-IN" w:bidi="hi-IN"/>
    </w:rPr>
  </w:style>
  <w:style w:type="paragraph" w:customStyle="1" w:styleId="En-ttedetabledesmatires1">
    <w:name w:val="En-tête de table des matières1"/>
    <w:basedOn w:val="Heading1"/>
    <w:next w:val="Normal"/>
    <w:uiPriority w:val="99"/>
    <w:rsid w:val="00F46C7B"/>
    <w:pPr>
      <w:keepLines/>
      <w:spacing w:before="480" w:after="0" w:line="276" w:lineRule="auto"/>
      <w:outlineLvl w:val="9"/>
    </w:pPr>
    <w:rPr>
      <w:rFonts w:eastAsia="Times New Roman"/>
      <w:color w:val="365F91"/>
      <w:kern w:val="0"/>
      <w:sz w:val="28"/>
      <w:szCs w:val="28"/>
    </w:rPr>
  </w:style>
  <w:style w:type="paragraph" w:customStyle="1" w:styleId="Gras">
    <w:name w:val="Gras"/>
    <w:uiPriority w:val="99"/>
    <w:rsid w:val="00F46C7B"/>
    <w:pPr>
      <w:keepNext/>
      <w:keepLines/>
      <w:spacing w:after="240" w:line="240" w:lineRule="auto"/>
      <w:jc w:val="both"/>
    </w:pPr>
    <w:rPr>
      <w:rFonts w:ascii="Times New Roman" w:eastAsia="PMingLiU" w:hAnsi="Times New Roman" w:cs="Times New Roman"/>
      <w:b/>
      <w:sz w:val="20"/>
      <w:szCs w:val="24"/>
      <w:lang w:val="en-US"/>
    </w:rPr>
  </w:style>
  <w:style w:type="paragraph" w:customStyle="1" w:styleId="Let2TabDec">
    <w:name w:val="Let2TabDec"/>
    <w:basedOn w:val="Normal"/>
    <w:uiPriority w:val="99"/>
    <w:rsid w:val="00F46C7B"/>
    <w:pPr>
      <w:tabs>
        <w:tab w:val="left" w:leader="dot" w:pos="3969"/>
        <w:tab w:val="decimal" w:pos="5670"/>
        <w:tab w:val="decimal" w:pos="7938"/>
      </w:tabs>
      <w:overflowPunct w:val="0"/>
      <w:autoSpaceDE w:val="0"/>
      <w:autoSpaceDN w:val="0"/>
      <w:adjustRightInd w:val="0"/>
      <w:textAlignment w:val="baseline"/>
    </w:pPr>
    <w:rPr>
      <w:i/>
      <w:color w:val="000080"/>
      <w:sz w:val="24"/>
      <w:szCs w:val="20"/>
    </w:rPr>
  </w:style>
  <w:style w:type="paragraph" w:customStyle="1" w:styleId="Titretableau">
    <w:name w:val="Titre tableau"/>
    <w:basedOn w:val="Normal"/>
    <w:uiPriority w:val="99"/>
    <w:rsid w:val="00F46C7B"/>
    <w:pPr>
      <w:keepNext/>
      <w:keepLines/>
      <w:spacing w:after="240"/>
      <w:jc w:val="center"/>
    </w:pPr>
    <w:rPr>
      <w:rFonts w:eastAsia="PMingLiU"/>
      <w:b/>
    </w:rPr>
  </w:style>
  <w:style w:type="paragraph" w:customStyle="1" w:styleId="Rvision1">
    <w:name w:val="Révision1"/>
    <w:hidden/>
    <w:uiPriority w:val="99"/>
    <w:semiHidden/>
    <w:rsid w:val="00F46C7B"/>
    <w:pPr>
      <w:spacing w:after="0" w:line="240" w:lineRule="auto"/>
    </w:pPr>
    <w:rPr>
      <w:rFonts w:ascii="Times New Roman" w:eastAsia="Times New Roman" w:hAnsi="Times New Roman" w:cs="Times New Roman"/>
      <w:sz w:val="24"/>
      <w:szCs w:val="24"/>
      <w:lang w:val="en-US"/>
    </w:rPr>
  </w:style>
  <w:style w:type="paragraph" w:customStyle="1" w:styleId="ListParagraph2">
    <w:name w:val="List Paragraph2"/>
    <w:basedOn w:val="Normal"/>
    <w:uiPriority w:val="99"/>
    <w:rsid w:val="00F46C7B"/>
    <w:pPr>
      <w:ind w:left="708"/>
    </w:pPr>
  </w:style>
  <w:style w:type="table" w:customStyle="1" w:styleId="TableNormal1">
    <w:name w:val="Table Normal1"/>
    <w:uiPriority w:val="99"/>
    <w:semiHidden/>
    <w:rsid w:val="00F46C7B"/>
    <w:pPr>
      <w:widowControl w:val="0"/>
      <w:spacing w:after="0" w:line="240" w:lineRule="auto"/>
    </w:pPr>
    <w:rPr>
      <w:rFonts w:ascii="Cambria" w:eastAsia="Times New Roman" w:hAnsi="Cambria" w:cs="Times New Roman"/>
      <w:sz w:val="20"/>
      <w:szCs w:val="20"/>
      <w:lang w:val="en-US"/>
    </w:rPr>
    <w:tblPr>
      <w:tblInd w:w="0" w:type="dxa"/>
      <w:tblCellMar>
        <w:top w:w="0" w:type="dxa"/>
        <w:left w:w="0" w:type="dxa"/>
        <w:bottom w:w="0" w:type="dxa"/>
        <w:right w:w="0" w:type="dxa"/>
      </w:tblCellMar>
    </w:tblPr>
  </w:style>
  <w:style w:type="table" w:customStyle="1" w:styleId="Grilledutableau2">
    <w:name w:val="Grille du tableau2"/>
    <w:uiPriority w:val="99"/>
    <w:rsid w:val="00F46C7B"/>
    <w:pPr>
      <w:spacing w:after="0" w:line="240" w:lineRule="auto"/>
    </w:pPr>
    <w:rPr>
      <w:rFonts w:ascii="Times New Roman" w:eastAsia="MS PGothic"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tinf1">
    <w:name w:val="hit_inf1"/>
    <w:uiPriority w:val="99"/>
    <w:rsid w:val="00F46C7B"/>
    <w:rPr>
      <w:b/>
      <w:shd w:val="clear" w:color="auto" w:fill="FFEEDD"/>
    </w:rPr>
  </w:style>
  <w:style w:type="character" w:customStyle="1" w:styleId="mw-headline">
    <w:name w:val="mw-headline"/>
    <w:uiPriority w:val="99"/>
    <w:rsid w:val="00F46C7B"/>
  </w:style>
  <w:style w:type="character" w:customStyle="1" w:styleId="mw-editsection1">
    <w:name w:val="mw-editsection1"/>
    <w:uiPriority w:val="99"/>
    <w:rsid w:val="00F46C7B"/>
  </w:style>
  <w:style w:type="character" w:customStyle="1" w:styleId="mw-editsection-bracket">
    <w:name w:val="mw-editsection-bracket"/>
    <w:uiPriority w:val="99"/>
    <w:rsid w:val="00F46C7B"/>
  </w:style>
  <w:style w:type="character" w:customStyle="1" w:styleId="reference-text">
    <w:name w:val="reference-text"/>
    <w:uiPriority w:val="99"/>
    <w:rsid w:val="00F46C7B"/>
  </w:style>
  <w:style w:type="character" w:customStyle="1" w:styleId="highlight2">
    <w:name w:val="highlight2"/>
    <w:uiPriority w:val="99"/>
    <w:rsid w:val="00F46C7B"/>
  </w:style>
  <w:style w:type="paragraph" w:customStyle="1" w:styleId="Textedenotedefin">
    <w:name w:val="Texte de note de fin"/>
    <w:basedOn w:val="Normal"/>
    <w:uiPriority w:val="99"/>
    <w:rsid w:val="00F46C7B"/>
    <w:pPr>
      <w:widowControl w:val="0"/>
    </w:pPr>
    <w:rPr>
      <w:rFonts w:ascii="Courier New" w:hAnsi="Courier New"/>
      <w:sz w:val="24"/>
      <w:szCs w:val="20"/>
    </w:rPr>
  </w:style>
  <w:style w:type="numbering" w:customStyle="1" w:styleId="ArticleSection1">
    <w:name w:val="Article / Section1"/>
    <w:rsid w:val="00F46C7B"/>
    <w:pPr>
      <w:numPr>
        <w:numId w:val="11"/>
      </w:numPr>
    </w:pPr>
  </w:style>
  <w:style w:type="numbering" w:customStyle="1" w:styleId="StyleAvecpuces11pt">
    <w:name w:val="Style Avec puces 11 pt"/>
    <w:rsid w:val="00F46C7B"/>
    <w:pPr>
      <w:numPr>
        <w:numId w:val="17"/>
      </w:numPr>
    </w:pPr>
  </w:style>
  <w:style w:type="numbering" w:styleId="111111">
    <w:name w:val="Outline List 2"/>
    <w:basedOn w:val="NoList"/>
    <w:rsid w:val="00F46C7B"/>
    <w:pPr>
      <w:numPr>
        <w:numId w:val="10"/>
      </w:numPr>
    </w:pPr>
  </w:style>
  <w:style w:type="numbering" w:customStyle="1" w:styleId="StyleAvecpuces3">
    <w:name w:val="Style Avec puces3"/>
    <w:rsid w:val="00F46C7B"/>
    <w:pPr>
      <w:numPr>
        <w:numId w:val="27"/>
      </w:numPr>
    </w:pPr>
  </w:style>
  <w:style w:type="numbering" w:styleId="1ai">
    <w:name w:val="Outline List 1"/>
    <w:basedOn w:val="NoList"/>
    <w:uiPriority w:val="99"/>
    <w:unhideWhenUsed/>
    <w:rsid w:val="00F46C7B"/>
    <w:pPr>
      <w:numPr>
        <w:numId w:val="13"/>
      </w:numPr>
    </w:pPr>
  </w:style>
  <w:style w:type="numbering" w:customStyle="1" w:styleId="StyleAvecpuces">
    <w:name w:val="Style Avec puces"/>
    <w:rsid w:val="00F46C7B"/>
    <w:pPr>
      <w:numPr>
        <w:numId w:val="16"/>
      </w:numPr>
    </w:pPr>
  </w:style>
  <w:style w:type="numbering" w:customStyle="1" w:styleId="StyleAvecpuces4">
    <w:name w:val="Style Avec puces4"/>
    <w:rsid w:val="00F46C7B"/>
    <w:pPr>
      <w:numPr>
        <w:numId w:val="21"/>
      </w:numPr>
    </w:pPr>
  </w:style>
  <w:style w:type="character" w:customStyle="1" w:styleId="NoSpacingChar">
    <w:name w:val="No Spacing Char"/>
    <w:basedOn w:val="DefaultParagraphFont"/>
    <w:link w:val="NoSpacing"/>
    <w:uiPriority w:val="1"/>
    <w:rsid w:val="00F46C7B"/>
    <w:rPr>
      <w:rFonts w:ascii="Times New Roman" w:eastAsia="Times New Roman" w:hAnsi="Times New Roman" w:cs="Times New Roman"/>
      <w:sz w:val="24"/>
      <w:szCs w:val="24"/>
      <w:lang w:val="en-US"/>
    </w:rPr>
  </w:style>
  <w:style w:type="paragraph" w:customStyle="1" w:styleId="Listecouleur-Accent11">
    <w:name w:val="Liste couleur - Accent 11"/>
    <w:basedOn w:val="Normal"/>
    <w:qFormat/>
    <w:rsid w:val="00F46C7B"/>
    <w:pPr>
      <w:spacing w:after="200" w:line="276" w:lineRule="auto"/>
      <w:ind w:left="720"/>
      <w:contextualSpacing/>
    </w:pPr>
    <w:rPr>
      <w:sz w:val="22"/>
      <w:szCs w:val="22"/>
      <w:lang w:val="fr-FR" w:eastAsia="fr-FR"/>
    </w:rPr>
  </w:style>
  <w:style w:type="paragraph" w:customStyle="1" w:styleId="Titre21">
    <w:name w:val="Titre 21"/>
    <w:basedOn w:val="Normal"/>
    <w:next w:val="Normal"/>
    <w:uiPriority w:val="99"/>
    <w:qFormat/>
    <w:rsid w:val="00F46C7B"/>
    <w:pPr>
      <w:keepNext/>
      <w:shd w:val="clear" w:color="auto" w:fill="8DB3E2"/>
      <w:tabs>
        <w:tab w:val="left" w:pos="941"/>
        <w:tab w:val="num" w:pos="1440"/>
      </w:tabs>
      <w:ind w:left="1440" w:hanging="360"/>
      <w:outlineLvl w:val="1"/>
    </w:pPr>
    <w:rPr>
      <w:b/>
      <w:bCs/>
      <w:iCs/>
      <w:caps/>
      <w:color w:val="FFFFFF"/>
      <w:szCs w:val="20"/>
    </w:rPr>
  </w:style>
  <w:style w:type="numbering" w:customStyle="1" w:styleId="Aucuneliste1">
    <w:name w:val="Aucune liste1"/>
    <w:next w:val="NoList"/>
    <w:uiPriority w:val="99"/>
    <w:semiHidden/>
    <w:unhideWhenUsed/>
    <w:rsid w:val="00F46C7B"/>
  </w:style>
  <w:style w:type="table" w:customStyle="1" w:styleId="Grilledutableau11">
    <w:name w:val="Grille du tableau11"/>
    <w:uiPriority w:val="99"/>
    <w:rsid w:val="00F46C7B"/>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21">
    <w:name w:val="Grille du tableau21"/>
    <w:uiPriority w:val="99"/>
    <w:rsid w:val="00F46C7B"/>
    <w:pPr>
      <w:spacing w:after="0" w:line="240" w:lineRule="auto"/>
    </w:pPr>
    <w:rPr>
      <w:rFonts w:ascii="Times New Roman" w:eastAsia="MS PGothic"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2">
    <w:name w:val="Titre 2 Car2"/>
    <w:basedOn w:val="DefaultParagraphFont"/>
    <w:semiHidden/>
    <w:rsid w:val="00F46C7B"/>
    <w:rPr>
      <w:rFonts w:asciiTheme="majorHAnsi" w:eastAsiaTheme="majorEastAsia" w:hAnsiTheme="majorHAnsi" w:cstheme="majorBidi"/>
      <w:b/>
      <w:bCs/>
      <w:color w:val="5B9BD5" w:themeColor="accent1"/>
      <w:sz w:val="26"/>
      <w:szCs w:val="26"/>
      <w:lang w:eastAsia="fr-FR"/>
    </w:rPr>
  </w:style>
  <w:style w:type="character" w:customStyle="1" w:styleId="TitreCar1">
    <w:name w:val="Titre Car1"/>
    <w:aliases w:val="t Car1"/>
    <w:basedOn w:val="DefaultParagraphFont"/>
    <w:uiPriority w:val="99"/>
    <w:rsid w:val="00F46C7B"/>
    <w:rPr>
      <w:rFonts w:asciiTheme="majorHAnsi" w:eastAsiaTheme="majorEastAsia" w:hAnsiTheme="majorHAnsi" w:cstheme="majorBidi"/>
      <w:spacing w:val="-10"/>
      <w:kern w:val="28"/>
      <w:sz w:val="56"/>
      <w:szCs w:val="56"/>
      <w:lang w:eastAsia="fr-FR"/>
    </w:rPr>
  </w:style>
  <w:style w:type="character" w:customStyle="1" w:styleId="SignatureCar1">
    <w:name w:val="Signature Car1"/>
    <w:aliases w:val="si Car1"/>
    <w:basedOn w:val="DefaultParagraphFont"/>
    <w:uiPriority w:val="99"/>
    <w:semiHidden/>
    <w:rsid w:val="00F46C7B"/>
    <w:rPr>
      <w:rFonts w:ascii="Calibri" w:eastAsia="Times New Roman" w:hAnsi="Calibri" w:cs="Times New Roman"/>
      <w:lang w:eastAsia="fr-FR"/>
    </w:rPr>
  </w:style>
  <w:style w:type="character" w:customStyle="1" w:styleId="CorpsdetexteCar1">
    <w:name w:val="Corps de texte Car1"/>
    <w:aliases w:val="b Car1,bt Car1"/>
    <w:basedOn w:val="DefaultParagraphFont"/>
    <w:semiHidden/>
    <w:rsid w:val="00F46C7B"/>
    <w:rPr>
      <w:rFonts w:ascii="Calibri" w:eastAsia="Times New Roman" w:hAnsi="Calibri" w:cs="Times New Roman"/>
      <w:lang w:eastAsia="fr-FR"/>
    </w:rPr>
  </w:style>
  <w:style w:type="character" w:customStyle="1" w:styleId="Sous-titreCar1">
    <w:name w:val="Sous-titre Car1"/>
    <w:aliases w:val="su Car1"/>
    <w:basedOn w:val="DefaultParagraphFont"/>
    <w:uiPriority w:val="99"/>
    <w:rsid w:val="00F46C7B"/>
    <w:rPr>
      <w:rFonts w:eastAsiaTheme="minorEastAsia"/>
      <w:color w:val="5A5A5A" w:themeColor="text1" w:themeTint="A5"/>
      <w:spacing w:val="15"/>
      <w:lang w:eastAsia="fr-FR"/>
    </w:rPr>
  </w:style>
  <w:style w:type="character" w:customStyle="1" w:styleId="Corpsdetexte2Car1">
    <w:name w:val="Corps de texte 2 Car1"/>
    <w:aliases w:val="b2 Car1"/>
    <w:basedOn w:val="DefaultParagraphFont"/>
    <w:uiPriority w:val="99"/>
    <w:semiHidden/>
    <w:rsid w:val="00F46C7B"/>
    <w:rPr>
      <w:rFonts w:ascii="Calibri" w:eastAsia="Times New Roman" w:hAnsi="Calibri" w:cs="Times New Roman"/>
      <w:lang w:eastAsia="fr-FR"/>
    </w:rPr>
  </w:style>
  <w:style w:type="character" w:customStyle="1" w:styleId="Corpsdetexte3Car1">
    <w:name w:val="Corps de texte 3 Car1"/>
    <w:aliases w:val="b3 Car1"/>
    <w:basedOn w:val="DefaultParagraphFont"/>
    <w:uiPriority w:val="99"/>
    <w:semiHidden/>
    <w:rsid w:val="00F46C7B"/>
    <w:rPr>
      <w:rFonts w:ascii="Calibri" w:eastAsia="Times New Roman" w:hAnsi="Calibri" w:cs="Times New Roman"/>
      <w:sz w:val="16"/>
      <w:szCs w:val="16"/>
      <w:lang w:eastAsia="fr-FR"/>
    </w:rPr>
  </w:style>
  <w:style w:type="table" w:customStyle="1" w:styleId="SmartTextTable1">
    <w:name w:val="Smart Text Table1"/>
    <w:basedOn w:val="TableNormal"/>
    <w:next w:val="TableGrid"/>
    <w:uiPriority w:val="59"/>
    <w:rsid w:val="00F46C7B"/>
    <w:pPr>
      <w:spacing w:after="0" w:line="240" w:lineRule="auto"/>
    </w:pPr>
    <w:rPr>
      <w:rFonts w:ascii="Times New Roman" w:eastAsia="Times New Roman"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F46C7B"/>
  </w:style>
  <w:style w:type="character" w:customStyle="1" w:styleId="ListParagraphChar">
    <w:name w:val="List Paragraph Char"/>
    <w:basedOn w:val="DefaultParagraphFont"/>
    <w:link w:val="ListParagraph"/>
    <w:uiPriority w:val="34"/>
    <w:rsid w:val="00F46C7B"/>
    <w:rPr>
      <w:rFonts w:ascii="Times New Roman" w:eastAsia="Times New Roman" w:hAnsi="Times New Roman" w:cs="Times New Roman"/>
      <w:sz w:val="20"/>
      <w:szCs w:val="24"/>
      <w:lang w:val="en-US"/>
    </w:rPr>
  </w:style>
  <w:style w:type="paragraph" w:customStyle="1" w:styleId="conmainl50">
    <w:name w:val="conmainl5"/>
    <w:basedOn w:val="Normal"/>
    <w:rsid w:val="00F46C7B"/>
    <w:pPr>
      <w:spacing w:before="100" w:beforeAutospacing="1" w:after="100" w:afterAutospacing="1"/>
    </w:pPr>
    <w:rPr>
      <w:rFonts w:eastAsiaTheme="minorHAnsi"/>
      <w:sz w:val="24"/>
      <w:lang w:val="fr-FR" w:eastAsia="fr-FR"/>
    </w:rPr>
  </w:style>
  <w:style w:type="numbering" w:customStyle="1" w:styleId="Aucuneliste2">
    <w:name w:val="Aucune liste2"/>
    <w:next w:val="NoList"/>
    <w:uiPriority w:val="99"/>
    <w:semiHidden/>
    <w:unhideWhenUsed/>
    <w:rsid w:val="00F46C7B"/>
  </w:style>
  <w:style w:type="paragraph" w:customStyle="1" w:styleId="Styleastrid11Gras">
    <w:name w:val="Style astrid 1.1 + Gras"/>
    <w:basedOn w:val="astrid11"/>
    <w:link w:val="Styleastrid11GrasCar"/>
    <w:autoRedefine/>
    <w:uiPriority w:val="99"/>
    <w:rsid w:val="00F46C7B"/>
    <w:pPr>
      <w:tabs>
        <w:tab w:val="clear" w:pos="9000"/>
      </w:tabs>
      <w:ind w:right="0"/>
    </w:pPr>
    <w:rPr>
      <w:rFonts w:cs="Arial"/>
      <w:b w:val="0"/>
      <w:bCs/>
      <w:szCs w:val="28"/>
      <w:lang w:eastAsia="fr-FR"/>
    </w:rPr>
  </w:style>
  <w:style w:type="character" w:customStyle="1" w:styleId="Styleastrid11GrasCar">
    <w:name w:val="Style astrid 1.1 + Gras Car"/>
    <w:basedOn w:val="astrid11CarCar"/>
    <w:link w:val="Styleastrid11Gras"/>
    <w:uiPriority w:val="99"/>
    <w:locked/>
    <w:rsid w:val="00F46C7B"/>
    <w:rPr>
      <w:rFonts w:ascii="Times New Roman Gras" w:eastAsia="Times New Roman" w:hAnsi="Times New Roman Gras" w:cs="Arial"/>
      <w:b w:val="0"/>
      <w:bCs/>
      <w:sz w:val="24"/>
      <w:szCs w:val="28"/>
      <w:lang w:val="en-US" w:eastAsia="fr-FR"/>
    </w:rPr>
  </w:style>
  <w:style w:type="paragraph" w:customStyle="1" w:styleId="Adressedest">
    <w:name w:val="Adresse dest."/>
    <w:basedOn w:val="Normal"/>
    <w:rsid w:val="00F46C7B"/>
    <w:pPr>
      <w:spacing w:after="160" w:line="259" w:lineRule="auto"/>
    </w:pPr>
    <w:rPr>
      <w:rFonts w:eastAsia="MS Mincho"/>
      <w:sz w:val="22"/>
      <w:szCs w:val="22"/>
      <w:lang w:val="fr-FR" w:eastAsia="fr-FR"/>
    </w:rPr>
  </w:style>
  <w:style w:type="paragraph" w:customStyle="1" w:styleId="Lignederfrence">
    <w:name w:val="Ligne de référence"/>
    <w:basedOn w:val="BodyText"/>
    <w:rsid w:val="00F46C7B"/>
    <w:pPr>
      <w:spacing w:after="120" w:line="259" w:lineRule="auto"/>
      <w:jc w:val="left"/>
    </w:pPr>
    <w:rPr>
      <w:rFonts w:eastAsia="MS Mincho"/>
      <w:sz w:val="22"/>
      <w:szCs w:val="22"/>
      <w:lang w:val="fr-FR" w:eastAsia="fr-FR"/>
    </w:rPr>
  </w:style>
  <w:style w:type="paragraph" w:customStyle="1" w:styleId="Image">
    <w:name w:val="Image"/>
    <w:basedOn w:val="Normal"/>
    <w:rsid w:val="00F46C7B"/>
    <w:pPr>
      <w:spacing w:after="160" w:line="259" w:lineRule="auto"/>
    </w:pPr>
    <w:rPr>
      <w:rFonts w:eastAsia="MS Mincho"/>
      <w:sz w:val="22"/>
      <w:szCs w:val="22"/>
      <w:lang w:val="fr-FR" w:eastAsia="fr-FR"/>
    </w:rPr>
  </w:style>
  <w:style w:type="paragraph" w:customStyle="1" w:styleId="Citation1">
    <w:name w:val="Citation1"/>
    <w:basedOn w:val="Normal"/>
    <w:next w:val="Normal"/>
    <w:uiPriority w:val="29"/>
    <w:qFormat/>
    <w:rsid w:val="00F46C7B"/>
    <w:pPr>
      <w:spacing w:before="120" w:line="259" w:lineRule="auto"/>
      <w:ind w:left="720"/>
    </w:pPr>
    <w:rPr>
      <w:rFonts w:eastAsia="MS Mincho"/>
      <w:color w:val="1F497D"/>
      <w:sz w:val="24"/>
      <w:lang w:val="fr-FR" w:eastAsia="fr-FR"/>
    </w:rPr>
  </w:style>
  <w:style w:type="character" w:customStyle="1" w:styleId="QuoteChar">
    <w:name w:val="Quote Char"/>
    <w:basedOn w:val="DefaultParagraphFont"/>
    <w:link w:val="Quote"/>
    <w:uiPriority w:val="29"/>
    <w:rsid w:val="00F46C7B"/>
    <w:rPr>
      <w:color w:val="1F497D"/>
      <w:sz w:val="24"/>
      <w:szCs w:val="24"/>
    </w:rPr>
  </w:style>
  <w:style w:type="paragraph" w:customStyle="1" w:styleId="Citationintense1">
    <w:name w:val="Citation intense1"/>
    <w:basedOn w:val="Normal"/>
    <w:next w:val="Normal"/>
    <w:uiPriority w:val="30"/>
    <w:qFormat/>
    <w:rsid w:val="00F46C7B"/>
    <w:pPr>
      <w:spacing w:before="100" w:beforeAutospacing="1" w:after="240"/>
      <w:ind w:left="720"/>
      <w:jc w:val="center"/>
    </w:pPr>
    <w:rPr>
      <w:rFonts w:ascii="Cambria" w:eastAsia="MS Gothic" w:hAnsi="Cambria"/>
      <w:color w:val="1F497D"/>
      <w:spacing w:val="-6"/>
      <w:sz w:val="32"/>
      <w:szCs w:val="32"/>
      <w:lang w:val="fr-FR" w:eastAsia="fr-FR"/>
    </w:rPr>
  </w:style>
  <w:style w:type="character" w:customStyle="1" w:styleId="IntenseQuoteChar">
    <w:name w:val="Intense Quote Char"/>
    <w:basedOn w:val="DefaultParagraphFont"/>
    <w:link w:val="IntenseQuote"/>
    <w:uiPriority w:val="30"/>
    <w:rsid w:val="00F46C7B"/>
    <w:rPr>
      <w:rFonts w:ascii="Cambria" w:eastAsia="MS Gothic" w:hAnsi="Cambria" w:cs="Times New Roman"/>
      <w:color w:val="1F497D"/>
      <w:spacing w:val="-6"/>
      <w:sz w:val="32"/>
      <w:szCs w:val="32"/>
    </w:rPr>
  </w:style>
  <w:style w:type="character" w:customStyle="1" w:styleId="Emphaseple1">
    <w:name w:val="Emphase pâle1"/>
    <w:basedOn w:val="DefaultParagraphFont"/>
    <w:uiPriority w:val="19"/>
    <w:qFormat/>
    <w:rsid w:val="00F46C7B"/>
    <w:rPr>
      <w:i/>
      <w:iCs/>
      <w:color w:val="595959"/>
    </w:rPr>
  </w:style>
  <w:style w:type="character" w:styleId="IntenseEmphasis">
    <w:name w:val="Intense Emphasis"/>
    <w:basedOn w:val="DefaultParagraphFont"/>
    <w:uiPriority w:val="21"/>
    <w:qFormat/>
    <w:rsid w:val="00F46C7B"/>
    <w:rPr>
      <w:b/>
      <w:bCs/>
      <w:i/>
      <w:iCs/>
    </w:rPr>
  </w:style>
  <w:style w:type="character" w:customStyle="1" w:styleId="Rfrenceple1">
    <w:name w:val="Référence pâle1"/>
    <w:basedOn w:val="DefaultParagraphFont"/>
    <w:uiPriority w:val="31"/>
    <w:qFormat/>
    <w:rsid w:val="00F46C7B"/>
    <w:rPr>
      <w:smallCaps/>
      <w:color w:val="595959"/>
      <w:u w:val="none" w:color="7F7F7F"/>
      <w:bdr w:val="none" w:sz="0" w:space="0" w:color="auto"/>
    </w:rPr>
  </w:style>
  <w:style w:type="character" w:customStyle="1" w:styleId="Rfrenceintense1">
    <w:name w:val="Référence intense1"/>
    <w:basedOn w:val="DefaultParagraphFont"/>
    <w:uiPriority w:val="32"/>
    <w:qFormat/>
    <w:rsid w:val="00F46C7B"/>
    <w:rPr>
      <w:b/>
      <w:bCs/>
      <w:smallCaps/>
      <w:color w:val="1F497D"/>
      <w:u w:val="single"/>
    </w:rPr>
  </w:style>
  <w:style w:type="character" w:styleId="BookTitle">
    <w:name w:val="Book Title"/>
    <w:basedOn w:val="DefaultParagraphFont"/>
    <w:uiPriority w:val="33"/>
    <w:qFormat/>
    <w:rsid w:val="00F46C7B"/>
    <w:rPr>
      <w:b/>
      <w:bCs/>
      <w:smallCaps/>
      <w:spacing w:val="10"/>
    </w:rPr>
  </w:style>
  <w:style w:type="table" w:customStyle="1" w:styleId="Grilledutableau3">
    <w:name w:val="Grille du tableau3"/>
    <w:basedOn w:val="TableNormal"/>
    <w:next w:val="TableGrid"/>
    <w:locked/>
    <w:rsid w:val="00F46C7B"/>
    <w:pPr>
      <w:spacing w:after="0" w:line="240" w:lineRule="auto"/>
    </w:pPr>
    <w:rPr>
      <w:rFonts w:ascii="Calibri" w:eastAsia="MS Mincho" w:hAnsi="Calibri"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F46C7B"/>
    <w:pPr>
      <w:spacing w:before="200" w:after="160"/>
      <w:ind w:left="864" w:right="864"/>
      <w:jc w:val="center"/>
    </w:pPr>
    <w:rPr>
      <w:rFonts w:asciiTheme="minorHAnsi" w:eastAsiaTheme="minorHAnsi" w:hAnsiTheme="minorHAnsi" w:cstheme="minorBidi"/>
      <w:color w:val="1F497D"/>
      <w:sz w:val="24"/>
      <w:lang w:val="fr-FR"/>
    </w:rPr>
  </w:style>
  <w:style w:type="character" w:customStyle="1" w:styleId="CitationCar1">
    <w:name w:val="Citation Car1"/>
    <w:basedOn w:val="DefaultParagraphFont"/>
    <w:uiPriority w:val="29"/>
    <w:rsid w:val="00F46C7B"/>
    <w:rPr>
      <w:rFonts w:ascii="Times New Roman" w:eastAsia="Times New Roman" w:hAnsi="Times New Roman" w:cs="Times New Roman"/>
      <w:i/>
      <w:iCs/>
      <w:color w:val="404040" w:themeColor="text1" w:themeTint="BF"/>
      <w:sz w:val="20"/>
      <w:szCs w:val="24"/>
      <w:lang w:val="en-US"/>
    </w:rPr>
  </w:style>
  <w:style w:type="paragraph" w:styleId="IntenseQuote">
    <w:name w:val="Intense Quote"/>
    <w:basedOn w:val="Normal"/>
    <w:next w:val="Normal"/>
    <w:link w:val="IntenseQuoteChar"/>
    <w:uiPriority w:val="30"/>
    <w:qFormat/>
    <w:rsid w:val="00F46C7B"/>
    <w:pPr>
      <w:pBdr>
        <w:top w:val="single" w:sz="4" w:space="10" w:color="5B9BD5" w:themeColor="accent1"/>
        <w:bottom w:val="single" w:sz="4" w:space="10" w:color="5B9BD5" w:themeColor="accent1"/>
      </w:pBdr>
      <w:spacing w:before="360" w:after="360"/>
      <w:ind w:left="864" w:right="864"/>
      <w:jc w:val="center"/>
    </w:pPr>
    <w:rPr>
      <w:rFonts w:ascii="Cambria" w:eastAsia="MS Gothic" w:hAnsi="Cambria"/>
      <w:color w:val="1F497D"/>
      <w:spacing w:val="-6"/>
      <w:sz w:val="32"/>
      <w:szCs w:val="32"/>
      <w:lang w:val="fr-FR"/>
    </w:rPr>
  </w:style>
  <w:style w:type="character" w:customStyle="1" w:styleId="CitationintenseCar1">
    <w:name w:val="Citation intense Car1"/>
    <w:basedOn w:val="DefaultParagraphFont"/>
    <w:uiPriority w:val="30"/>
    <w:rsid w:val="00F46C7B"/>
    <w:rPr>
      <w:rFonts w:ascii="Times New Roman" w:eastAsia="Times New Roman" w:hAnsi="Times New Roman" w:cs="Times New Roman"/>
      <w:i/>
      <w:iCs/>
      <w:color w:val="5B9BD5" w:themeColor="accent1"/>
      <w:sz w:val="20"/>
      <w:szCs w:val="24"/>
      <w:lang w:val="en-US"/>
    </w:rPr>
  </w:style>
  <w:style w:type="character" w:styleId="SubtleEmphasis">
    <w:name w:val="Subtle Emphasis"/>
    <w:basedOn w:val="DefaultParagraphFont"/>
    <w:uiPriority w:val="19"/>
    <w:qFormat/>
    <w:rsid w:val="00F46C7B"/>
    <w:rPr>
      <w:i/>
      <w:iCs/>
      <w:color w:val="404040" w:themeColor="text1" w:themeTint="BF"/>
    </w:rPr>
  </w:style>
  <w:style w:type="character" w:styleId="SubtleReference">
    <w:name w:val="Subtle Reference"/>
    <w:basedOn w:val="DefaultParagraphFont"/>
    <w:uiPriority w:val="31"/>
    <w:qFormat/>
    <w:rsid w:val="00F46C7B"/>
    <w:rPr>
      <w:smallCaps/>
      <w:color w:val="5A5A5A" w:themeColor="text1" w:themeTint="A5"/>
    </w:rPr>
  </w:style>
  <w:style w:type="character" w:styleId="IntenseReference">
    <w:name w:val="Intense Reference"/>
    <w:basedOn w:val="DefaultParagraphFont"/>
    <w:uiPriority w:val="32"/>
    <w:qFormat/>
    <w:rsid w:val="00F46C7B"/>
    <w:rPr>
      <w:b/>
      <w:bCs/>
      <w:smallCaps/>
      <w:color w:val="5B9BD5" w:themeColor="accent1"/>
      <w:spacing w:val="5"/>
    </w:rPr>
  </w:style>
  <w:style w:type="paragraph" w:customStyle="1" w:styleId="Body">
    <w:name w:val="Body"/>
    <w:rsid w:val="00F46C7B"/>
    <w:pPr>
      <w:spacing w:after="200" w:line="276" w:lineRule="auto"/>
    </w:pPr>
    <w:rPr>
      <w:rFonts w:ascii="Calibri" w:eastAsia="Calibri" w:hAnsi="Calibri" w:cs="Calibri"/>
      <w:color w:val="000000"/>
      <w:u w:color="000000"/>
      <w:lang w:val="en-US"/>
    </w:rPr>
  </w:style>
  <w:style w:type="character" w:customStyle="1" w:styleId="Corpsdutexte2">
    <w:name w:val="Corps du texte (2)_"/>
    <w:basedOn w:val="DefaultParagraphFont"/>
    <w:link w:val="Corpsdutexte20"/>
    <w:rsid w:val="001E5FAB"/>
    <w:rPr>
      <w:rFonts w:ascii="Arial Narrow" w:eastAsia="Arial Narrow" w:hAnsi="Arial Narrow" w:cs="Arial Narrow"/>
      <w:sz w:val="19"/>
      <w:szCs w:val="19"/>
      <w:shd w:val="clear" w:color="auto" w:fill="FFFFFF"/>
    </w:rPr>
  </w:style>
  <w:style w:type="character" w:customStyle="1" w:styleId="Corpsdutexte2AngsanaUPC13pt">
    <w:name w:val="Corps du texte (2) + AngsanaUPC;13 pt"/>
    <w:basedOn w:val="Corpsdutexte2"/>
    <w:rsid w:val="001E5FAB"/>
    <w:rPr>
      <w:rFonts w:ascii="AngsanaUPC" w:eastAsia="AngsanaUPC" w:hAnsi="AngsanaUPC" w:cs="AngsanaUPC"/>
      <w:color w:val="000000"/>
      <w:spacing w:val="0"/>
      <w:w w:val="100"/>
      <w:position w:val="0"/>
      <w:sz w:val="26"/>
      <w:szCs w:val="26"/>
      <w:shd w:val="clear" w:color="auto" w:fill="FFFFFF"/>
      <w:lang w:val="fr-FR" w:eastAsia="fr-FR" w:bidi="fr-FR"/>
    </w:rPr>
  </w:style>
  <w:style w:type="character" w:customStyle="1" w:styleId="Corpsdutexte275pt">
    <w:name w:val="Corps du texte (2) + 7;5 pt"/>
    <w:basedOn w:val="Corpsdutexte2"/>
    <w:rsid w:val="001E5FAB"/>
    <w:rPr>
      <w:rFonts w:ascii="Arial Narrow" w:eastAsia="Arial Narrow" w:hAnsi="Arial Narrow" w:cs="Arial Narrow"/>
      <w:color w:val="000000"/>
      <w:spacing w:val="0"/>
      <w:w w:val="100"/>
      <w:position w:val="0"/>
      <w:sz w:val="15"/>
      <w:szCs w:val="15"/>
      <w:shd w:val="clear" w:color="auto" w:fill="FFFFFF"/>
      <w:lang w:val="fr-FR" w:eastAsia="fr-FR" w:bidi="fr-FR"/>
    </w:rPr>
  </w:style>
  <w:style w:type="paragraph" w:customStyle="1" w:styleId="Corpsdutexte20">
    <w:name w:val="Corps du texte (2)"/>
    <w:basedOn w:val="Normal"/>
    <w:link w:val="Corpsdutexte2"/>
    <w:rsid w:val="001E5FAB"/>
    <w:pPr>
      <w:widowControl w:val="0"/>
      <w:shd w:val="clear" w:color="auto" w:fill="FFFFFF"/>
      <w:spacing w:line="214" w:lineRule="exact"/>
      <w:ind w:hanging="320"/>
    </w:pPr>
    <w:rPr>
      <w:rFonts w:ascii="Arial Narrow" w:eastAsia="Arial Narrow" w:hAnsi="Arial Narrow" w:cs="Arial Narrow"/>
      <w:sz w:val="19"/>
      <w:szCs w:val="19"/>
      <w:lang w:val="fr-FR"/>
    </w:rPr>
  </w:style>
  <w:style w:type="character" w:customStyle="1" w:styleId="Corpsdutexte275ptGras">
    <w:name w:val="Corps du texte (2) + 7;5 pt;Gras"/>
    <w:basedOn w:val="Corpsdutexte2"/>
    <w:rsid w:val="00123919"/>
    <w:rPr>
      <w:rFonts w:ascii="Arial Narrow" w:eastAsia="Arial Narrow" w:hAnsi="Arial Narrow" w:cs="Arial Narrow"/>
      <w:b/>
      <w:bCs/>
      <w:color w:val="000000"/>
      <w:spacing w:val="0"/>
      <w:w w:val="100"/>
      <w:position w:val="0"/>
      <w:sz w:val="15"/>
      <w:szCs w:val="15"/>
      <w:shd w:val="clear" w:color="auto" w:fill="FFFFFF"/>
      <w:lang w:val="fr-FR" w:eastAsia="fr-FR" w:bidi="fr-FR"/>
    </w:rPr>
  </w:style>
  <w:style w:type="character" w:customStyle="1" w:styleId="Corpsdutexte2Gras">
    <w:name w:val="Corps du texte (2) + Gras"/>
    <w:basedOn w:val="Corpsdutexte2"/>
    <w:rsid w:val="00123919"/>
    <w:rPr>
      <w:rFonts w:ascii="Arial Narrow" w:eastAsia="Arial Narrow" w:hAnsi="Arial Narrow" w:cs="Arial Narrow"/>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2BookAntiqua85pt">
    <w:name w:val="Corps du texte (2) + Book Antiqua;8;5 pt"/>
    <w:basedOn w:val="Corpsdutexte2"/>
    <w:rsid w:val="00123919"/>
    <w:rPr>
      <w:rFonts w:ascii="Book Antiqua" w:eastAsia="Book Antiqua" w:hAnsi="Book Antiqua" w:cs="Book Antiqua"/>
      <w:b w:val="0"/>
      <w:bCs w:val="0"/>
      <w:i w:val="0"/>
      <w:iCs w:val="0"/>
      <w:smallCaps w:val="0"/>
      <w:strike w:val="0"/>
      <w:color w:val="000000"/>
      <w:spacing w:val="0"/>
      <w:w w:val="100"/>
      <w:position w:val="0"/>
      <w:sz w:val="17"/>
      <w:szCs w:val="17"/>
      <w:u w:val="none"/>
      <w:shd w:val="clear" w:color="auto" w:fill="FFFFFF"/>
      <w:lang w:val="fr-FR" w:eastAsia="fr-FR" w:bidi="fr-FR"/>
    </w:rPr>
  </w:style>
  <w:style w:type="table" w:customStyle="1" w:styleId="TableGrid0">
    <w:name w:val="TableGrid"/>
    <w:rsid w:val="00B33E9B"/>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xl66">
    <w:name w:val="xl66"/>
    <w:basedOn w:val="Normal"/>
    <w:rsid w:val="0006307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Arial" w:hAnsi="Arial" w:cs="Arial"/>
      <w:b/>
      <w:bCs/>
      <w:szCs w:val="20"/>
      <w:lang w:val="fr-FR" w:eastAsia="fr-FR"/>
    </w:rPr>
  </w:style>
  <w:style w:type="paragraph" w:customStyle="1" w:styleId="xl67">
    <w:name w:val="xl67"/>
    <w:basedOn w:val="Normal"/>
    <w:rsid w:val="000630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0"/>
      <w:lang w:val="fr-FR" w:eastAsia="fr-FR"/>
    </w:rPr>
  </w:style>
  <w:style w:type="paragraph" w:customStyle="1" w:styleId="xl68">
    <w:name w:val="xl68"/>
    <w:basedOn w:val="Normal"/>
    <w:rsid w:val="000630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0"/>
      <w:lang w:val="fr-FR" w:eastAsia="fr-FR"/>
    </w:rPr>
  </w:style>
  <w:style w:type="paragraph" w:customStyle="1" w:styleId="xl69">
    <w:name w:val="xl69"/>
    <w:basedOn w:val="Normal"/>
    <w:rsid w:val="0006307C"/>
    <w:pPr>
      <w:pBdr>
        <w:top w:val="single" w:sz="4" w:space="0" w:color="auto"/>
        <w:left w:val="single" w:sz="4" w:space="0" w:color="auto"/>
        <w:right w:val="single" w:sz="4" w:space="0" w:color="auto"/>
      </w:pBdr>
      <w:spacing w:before="100" w:beforeAutospacing="1" w:after="100" w:afterAutospacing="1"/>
      <w:jc w:val="center"/>
      <w:textAlignment w:val="center"/>
    </w:pPr>
    <w:rPr>
      <w:szCs w:val="20"/>
      <w:lang w:val="fr-FR" w:eastAsia="fr-FR"/>
    </w:rPr>
  </w:style>
  <w:style w:type="paragraph" w:customStyle="1" w:styleId="xl70">
    <w:name w:val="xl70"/>
    <w:basedOn w:val="Normal"/>
    <w:rsid w:val="0006307C"/>
    <w:pPr>
      <w:pBdr>
        <w:left w:val="single" w:sz="4" w:space="0" w:color="auto"/>
        <w:bottom w:val="single" w:sz="4" w:space="0" w:color="auto"/>
        <w:right w:val="single" w:sz="4" w:space="0" w:color="auto"/>
      </w:pBdr>
      <w:spacing w:before="100" w:beforeAutospacing="1" w:after="100" w:afterAutospacing="1"/>
      <w:jc w:val="center"/>
      <w:textAlignment w:val="center"/>
    </w:pPr>
    <w:rPr>
      <w:szCs w:val="20"/>
      <w:lang w:val="fr-FR" w:eastAsia="fr-FR"/>
    </w:rPr>
  </w:style>
  <w:style w:type="paragraph" w:customStyle="1" w:styleId="xl71">
    <w:name w:val="xl71"/>
    <w:basedOn w:val="Normal"/>
    <w:rsid w:val="000630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lang w:val="fr-FR" w:eastAsia="fr-FR"/>
    </w:rPr>
  </w:style>
  <w:style w:type="paragraph" w:customStyle="1" w:styleId="xl72">
    <w:name w:val="xl72"/>
    <w:basedOn w:val="Normal"/>
    <w:rsid w:val="000630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lang w:val="fr-FR" w:eastAsia="fr-FR"/>
    </w:rPr>
  </w:style>
  <w:style w:type="table" w:customStyle="1" w:styleId="TableGrid2">
    <w:name w:val="Table Grid2"/>
    <w:basedOn w:val="TableNormal"/>
    <w:next w:val="TableGrid"/>
    <w:uiPriority w:val="59"/>
    <w:rsid w:val="00C76E5B"/>
    <w:pPr>
      <w:spacing w:after="240" w:line="240" w:lineRule="auto"/>
    </w:pPr>
    <w:rPr>
      <w:rFonts w:ascii="Times New Roman" w:eastAsia="Calibri"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ListParagraph"/>
    <w:link w:val="Style2Char"/>
    <w:qFormat/>
    <w:rsid w:val="00C76E5B"/>
    <w:pPr>
      <w:numPr>
        <w:ilvl w:val="1"/>
        <w:numId w:val="88"/>
      </w:numPr>
      <w:spacing w:after="220"/>
      <w:outlineLvl w:val="1"/>
    </w:pPr>
    <w:rPr>
      <w:u w:val="single"/>
    </w:rPr>
  </w:style>
  <w:style w:type="character" w:customStyle="1" w:styleId="Style2Char">
    <w:name w:val="Style2 Char"/>
    <w:basedOn w:val="ListParagraphChar"/>
    <w:link w:val="Style2"/>
    <w:rsid w:val="00C76E5B"/>
    <w:rPr>
      <w:rFonts w:ascii="Calibri" w:eastAsia="Times New Roman" w:hAnsi="Calibri" w:cs="Times New Roman"/>
      <w:sz w:val="20"/>
      <w:szCs w:val="24"/>
      <w:u w:val="single"/>
      <w:lang w:val="en-US"/>
    </w:rPr>
  </w:style>
  <w:style w:type="table" w:styleId="ListTable3-Accent1">
    <w:name w:val="List Table 3 Accent 1"/>
    <w:basedOn w:val="TableNormal"/>
    <w:uiPriority w:val="48"/>
    <w:rsid w:val="00940C8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LONNotesL1">
    <w:name w:val="LONNotes_L1"/>
    <w:basedOn w:val="Normal"/>
    <w:link w:val="LONNotesL1Char"/>
    <w:rsid w:val="007F1850"/>
    <w:pPr>
      <w:numPr>
        <w:numId w:val="101"/>
      </w:numPr>
      <w:spacing w:after="220"/>
      <w:outlineLvl w:val="0"/>
    </w:pPr>
    <w:rPr>
      <w:rFonts w:ascii="Times New Roman" w:hAnsi="Times New Roman"/>
      <w:sz w:val="22"/>
      <w:szCs w:val="20"/>
    </w:rPr>
  </w:style>
  <w:style w:type="paragraph" w:customStyle="1" w:styleId="LONNotesL2">
    <w:name w:val="LONNotes_L2"/>
    <w:basedOn w:val="Normal"/>
    <w:rsid w:val="007F1850"/>
    <w:pPr>
      <w:numPr>
        <w:ilvl w:val="1"/>
        <w:numId w:val="101"/>
      </w:numPr>
      <w:spacing w:after="220"/>
      <w:outlineLvl w:val="1"/>
    </w:pPr>
    <w:rPr>
      <w:rFonts w:ascii="Times New Roman" w:hAnsi="Times New Roman"/>
      <w:sz w:val="22"/>
      <w:szCs w:val="20"/>
    </w:rPr>
  </w:style>
  <w:style w:type="paragraph" w:customStyle="1" w:styleId="LONNotesL3">
    <w:name w:val="LONNotes_L3"/>
    <w:basedOn w:val="Normal"/>
    <w:rsid w:val="007F1850"/>
    <w:pPr>
      <w:numPr>
        <w:ilvl w:val="2"/>
        <w:numId w:val="101"/>
      </w:numPr>
      <w:spacing w:after="220"/>
      <w:outlineLvl w:val="2"/>
    </w:pPr>
    <w:rPr>
      <w:rFonts w:ascii="Times New Roman" w:hAnsi="Times New Roman"/>
      <w:sz w:val="22"/>
      <w:szCs w:val="20"/>
    </w:rPr>
  </w:style>
  <w:style w:type="paragraph" w:customStyle="1" w:styleId="LONNotesL4">
    <w:name w:val="LONNotes_L4"/>
    <w:basedOn w:val="Normal"/>
    <w:rsid w:val="007F1850"/>
    <w:pPr>
      <w:numPr>
        <w:ilvl w:val="3"/>
        <w:numId w:val="101"/>
      </w:numPr>
      <w:spacing w:after="220"/>
      <w:outlineLvl w:val="3"/>
    </w:pPr>
    <w:rPr>
      <w:rFonts w:ascii="Times New Roman" w:hAnsi="Times New Roman"/>
      <w:sz w:val="22"/>
      <w:szCs w:val="20"/>
    </w:rPr>
  </w:style>
  <w:style w:type="paragraph" w:customStyle="1" w:styleId="LONNotesL5">
    <w:name w:val="LONNotes_L5"/>
    <w:basedOn w:val="LONNotesL4"/>
    <w:rsid w:val="007F1850"/>
    <w:pPr>
      <w:numPr>
        <w:ilvl w:val="4"/>
      </w:numPr>
      <w:outlineLvl w:val="4"/>
    </w:pPr>
  </w:style>
  <w:style w:type="paragraph" w:customStyle="1" w:styleId="LONNotesL6">
    <w:name w:val="LONNotes_L6"/>
    <w:basedOn w:val="LONNotesL5"/>
    <w:rsid w:val="007F1850"/>
    <w:pPr>
      <w:numPr>
        <w:ilvl w:val="5"/>
      </w:numPr>
      <w:tabs>
        <w:tab w:val="clear" w:pos="2976"/>
        <w:tab w:val="num" w:pos="4320"/>
      </w:tabs>
      <w:ind w:left="4320" w:hanging="360"/>
      <w:outlineLvl w:val="5"/>
    </w:pPr>
  </w:style>
  <w:style w:type="character" w:customStyle="1" w:styleId="LONNotesL1Char">
    <w:name w:val="LONNotes_L1 Char"/>
    <w:basedOn w:val="DefaultParagraphFont"/>
    <w:link w:val="LONNotesL1"/>
    <w:rsid w:val="007F1850"/>
    <w:rPr>
      <w:rFonts w:ascii="Times New Roman" w:eastAsia="Times New Roman" w:hAnsi="Times New Roman" w:cs="Times New Roman"/>
      <w:szCs w:val="20"/>
      <w:lang w:val="en-US"/>
    </w:rPr>
  </w:style>
  <w:style w:type="numbering" w:customStyle="1" w:styleId="ArticleSection11">
    <w:name w:val="Article / Section11"/>
    <w:basedOn w:val="NoList"/>
    <w:next w:val="ArticleSection"/>
    <w:rsid w:val="007F1850"/>
  </w:style>
  <w:style w:type="numbering" w:styleId="ArticleSection">
    <w:name w:val="Outline List 3"/>
    <w:basedOn w:val="NoList"/>
    <w:uiPriority w:val="99"/>
    <w:semiHidden/>
    <w:unhideWhenUsed/>
    <w:rsid w:val="007F1850"/>
  </w:style>
  <w:style w:type="paragraph" w:customStyle="1" w:styleId="rrdsinglerule3">
    <w:name w:val="rrdsinglerule3"/>
    <w:basedOn w:val="Normal"/>
    <w:next w:val="Normal"/>
    <w:uiPriority w:val="99"/>
    <w:rsid w:val="007F1850"/>
    <w:pPr>
      <w:pBdr>
        <w:top w:val="single" w:sz="8" w:space="1" w:color="auto"/>
      </w:pBdr>
      <w:spacing w:before="20" w:after="0" w:line="20" w:lineRule="exact"/>
      <w:jc w:val="center"/>
    </w:pPr>
    <w:rPr>
      <w:rFonts w:ascii="Times New Roman" w:hAnsi="Times New Roman"/>
      <w:sz w:val="8"/>
      <w:szCs w:val="8"/>
    </w:rPr>
  </w:style>
  <w:style w:type="character" w:customStyle="1" w:styleId="Mentionnonrsolue1">
    <w:name w:val="Mention non résolue1"/>
    <w:basedOn w:val="DefaultParagraphFont"/>
    <w:uiPriority w:val="99"/>
    <w:semiHidden/>
    <w:unhideWhenUsed/>
    <w:rsid w:val="004572A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2337">
      <w:bodyDiv w:val="1"/>
      <w:marLeft w:val="0"/>
      <w:marRight w:val="0"/>
      <w:marTop w:val="0"/>
      <w:marBottom w:val="0"/>
      <w:divBdr>
        <w:top w:val="none" w:sz="0" w:space="0" w:color="auto"/>
        <w:left w:val="none" w:sz="0" w:space="0" w:color="auto"/>
        <w:bottom w:val="none" w:sz="0" w:space="0" w:color="auto"/>
        <w:right w:val="none" w:sz="0" w:space="0" w:color="auto"/>
      </w:divBdr>
    </w:div>
    <w:div w:id="10228672">
      <w:bodyDiv w:val="1"/>
      <w:marLeft w:val="0"/>
      <w:marRight w:val="0"/>
      <w:marTop w:val="0"/>
      <w:marBottom w:val="0"/>
      <w:divBdr>
        <w:top w:val="none" w:sz="0" w:space="0" w:color="auto"/>
        <w:left w:val="none" w:sz="0" w:space="0" w:color="auto"/>
        <w:bottom w:val="none" w:sz="0" w:space="0" w:color="auto"/>
        <w:right w:val="none" w:sz="0" w:space="0" w:color="auto"/>
      </w:divBdr>
    </w:div>
    <w:div w:id="14311297">
      <w:bodyDiv w:val="1"/>
      <w:marLeft w:val="0"/>
      <w:marRight w:val="0"/>
      <w:marTop w:val="0"/>
      <w:marBottom w:val="0"/>
      <w:divBdr>
        <w:top w:val="none" w:sz="0" w:space="0" w:color="auto"/>
        <w:left w:val="none" w:sz="0" w:space="0" w:color="auto"/>
        <w:bottom w:val="none" w:sz="0" w:space="0" w:color="auto"/>
        <w:right w:val="none" w:sz="0" w:space="0" w:color="auto"/>
      </w:divBdr>
    </w:div>
    <w:div w:id="16466571">
      <w:bodyDiv w:val="1"/>
      <w:marLeft w:val="0"/>
      <w:marRight w:val="0"/>
      <w:marTop w:val="0"/>
      <w:marBottom w:val="0"/>
      <w:divBdr>
        <w:top w:val="none" w:sz="0" w:space="0" w:color="auto"/>
        <w:left w:val="none" w:sz="0" w:space="0" w:color="auto"/>
        <w:bottom w:val="none" w:sz="0" w:space="0" w:color="auto"/>
        <w:right w:val="none" w:sz="0" w:space="0" w:color="auto"/>
      </w:divBdr>
    </w:div>
    <w:div w:id="23216352">
      <w:bodyDiv w:val="1"/>
      <w:marLeft w:val="0"/>
      <w:marRight w:val="0"/>
      <w:marTop w:val="0"/>
      <w:marBottom w:val="0"/>
      <w:divBdr>
        <w:top w:val="none" w:sz="0" w:space="0" w:color="auto"/>
        <w:left w:val="none" w:sz="0" w:space="0" w:color="auto"/>
        <w:bottom w:val="none" w:sz="0" w:space="0" w:color="auto"/>
        <w:right w:val="none" w:sz="0" w:space="0" w:color="auto"/>
      </w:divBdr>
    </w:div>
    <w:div w:id="41370077">
      <w:bodyDiv w:val="1"/>
      <w:marLeft w:val="0"/>
      <w:marRight w:val="0"/>
      <w:marTop w:val="0"/>
      <w:marBottom w:val="0"/>
      <w:divBdr>
        <w:top w:val="none" w:sz="0" w:space="0" w:color="auto"/>
        <w:left w:val="none" w:sz="0" w:space="0" w:color="auto"/>
        <w:bottom w:val="none" w:sz="0" w:space="0" w:color="auto"/>
        <w:right w:val="none" w:sz="0" w:space="0" w:color="auto"/>
      </w:divBdr>
    </w:div>
    <w:div w:id="45573983">
      <w:bodyDiv w:val="1"/>
      <w:marLeft w:val="0"/>
      <w:marRight w:val="0"/>
      <w:marTop w:val="0"/>
      <w:marBottom w:val="0"/>
      <w:divBdr>
        <w:top w:val="none" w:sz="0" w:space="0" w:color="auto"/>
        <w:left w:val="none" w:sz="0" w:space="0" w:color="auto"/>
        <w:bottom w:val="none" w:sz="0" w:space="0" w:color="auto"/>
        <w:right w:val="none" w:sz="0" w:space="0" w:color="auto"/>
      </w:divBdr>
    </w:div>
    <w:div w:id="63724338">
      <w:bodyDiv w:val="1"/>
      <w:marLeft w:val="0"/>
      <w:marRight w:val="0"/>
      <w:marTop w:val="0"/>
      <w:marBottom w:val="0"/>
      <w:divBdr>
        <w:top w:val="none" w:sz="0" w:space="0" w:color="auto"/>
        <w:left w:val="none" w:sz="0" w:space="0" w:color="auto"/>
        <w:bottom w:val="none" w:sz="0" w:space="0" w:color="auto"/>
        <w:right w:val="none" w:sz="0" w:space="0" w:color="auto"/>
      </w:divBdr>
    </w:div>
    <w:div w:id="74134116">
      <w:bodyDiv w:val="1"/>
      <w:marLeft w:val="0"/>
      <w:marRight w:val="0"/>
      <w:marTop w:val="0"/>
      <w:marBottom w:val="0"/>
      <w:divBdr>
        <w:top w:val="none" w:sz="0" w:space="0" w:color="auto"/>
        <w:left w:val="none" w:sz="0" w:space="0" w:color="auto"/>
        <w:bottom w:val="none" w:sz="0" w:space="0" w:color="auto"/>
        <w:right w:val="none" w:sz="0" w:space="0" w:color="auto"/>
      </w:divBdr>
    </w:div>
    <w:div w:id="84309597">
      <w:bodyDiv w:val="1"/>
      <w:marLeft w:val="0"/>
      <w:marRight w:val="0"/>
      <w:marTop w:val="0"/>
      <w:marBottom w:val="0"/>
      <w:divBdr>
        <w:top w:val="none" w:sz="0" w:space="0" w:color="auto"/>
        <w:left w:val="none" w:sz="0" w:space="0" w:color="auto"/>
        <w:bottom w:val="none" w:sz="0" w:space="0" w:color="auto"/>
        <w:right w:val="none" w:sz="0" w:space="0" w:color="auto"/>
      </w:divBdr>
    </w:div>
    <w:div w:id="85462351">
      <w:bodyDiv w:val="1"/>
      <w:marLeft w:val="0"/>
      <w:marRight w:val="0"/>
      <w:marTop w:val="0"/>
      <w:marBottom w:val="0"/>
      <w:divBdr>
        <w:top w:val="none" w:sz="0" w:space="0" w:color="auto"/>
        <w:left w:val="none" w:sz="0" w:space="0" w:color="auto"/>
        <w:bottom w:val="none" w:sz="0" w:space="0" w:color="auto"/>
        <w:right w:val="none" w:sz="0" w:space="0" w:color="auto"/>
      </w:divBdr>
    </w:div>
    <w:div w:id="100952845">
      <w:bodyDiv w:val="1"/>
      <w:marLeft w:val="0"/>
      <w:marRight w:val="0"/>
      <w:marTop w:val="0"/>
      <w:marBottom w:val="0"/>
      <w:divBdr>
        <w:top w:val="none" w:sz="0" w:space="0" w:color="auto"/>
        <w:left w:val="none" w:sz="0" w:space="0" w:color="auto"/>
        <w:bottom w:val="none" w:sz="0" w:space="0" w:color="auto"/>
        <w:right w:val="none" w:sz="0" w:space="0" w:color="auto"/>
      </w:divBdr>
      <w:divsChild>
        <w:div w:id="1425951105">
          <w:marLeft w:val="0"/>
          <w:marRight w:val="0"/>
          <w:marTop w:val="0"/>
          <w:marBottom w:val="0"/>
          <w:divBdr>
            <w:top w:val="none" w:sz="0" w:space="0" w:color="auto"/>
            <w:left w:val="none" w:sz="0" w:space="0" w:color="auto"/>
            <w:bottom w:val="none" w:sz="0" w:space="0" w:color="auto"/>
            <w:right w:val="none" w:sz="0" w:space="0" w:color="auto"/>
          </w:divBdr>
        </w:div>
      </w:divsChild>
    </w:div>
    <w:div w:id="102650224">
      <w:bodyDiv w:val="1"/>
      <w:marLeft w:val="0"/>
      <w:marRight w:val="0"/>
      <w:marTop w:val="0"/>
      <w:marBottom w:val="0"/>
      <w:divBdr>
        <w:top w:val="none" w:sz="0" w:space="0" w:color="auto"/>
        <w:left w:val="none" w:sz="0" w:space="0" w:color="auto"/>
        <w:bottom w:val="none" w:sz="0" w:space="0" w:color="auto"/>
        <w:right w:val="none" w:sz="0" w:space="0" w:color="auto"/>
      </w:divBdr>
    </w:div>
    <w:div w:id="121967399">
      <w:bodyDiv w:val="1"/>
      <w:marLeft w:val="0"/>
      <w:marRight w:val="0"/>
      <w:marTop w:val="0"/>
      <w:marBottom w:val="0"/>
      <w:divBdr>
        <w:top w:val="none" w:sz="0" w:space="0" w:color="auto"/>
        <w:left w:val="none" w:sz="0" w:space="0" w:color="auto"/>
        <w:bottom w:val="none" w:sz="0" w:space="0" w:color="auto"/>
        <w:right w:val="none" w:sz="0" w:space="0" w:color="auto"/>
      </w:divBdr>
    </w:div>
    <w:div w:id="147402000">
      <w:bodyDiv w:val="1"/>
      <w:marLeft w:val="0"/>
      <w:marRight w:val="0"/>
      <w:marTop w:val="0"/>
      <w:marBottom w:val="0"/>
      <w:divBdr>
        <w:top w:val="none" w:sz="0" w:space="0" w:color="auto"/>
        <w:left w:val="none" w:sz="0" w:space="0" w:color="auto"/>
        <w:bottom w:val="none" w:sz="0" w:space="0" w:color="auto"/>
        <w:right w:val="none" w:sz="0" w:space="0" w:color="auto"/>
      </w:divBdr>
    </w:div>
    <w:div w:id="147939752">
      <w:bodyDiv w:val="1"/>
      <w:marLeft w:val="0"/>
      <w:marRight w:val="0"/>
      <w:marTop w:val="0"/>
      <w:marBottom w:val="0"/>
      <w:divBdr>
        <w:top w:val="none" w:sz="0" w:space="0" w:color="auto"/>
        <w:left w:val="none" w:sz="0" w:space="0" w:color="auto"/>
        <w:bottom w:val="none" w:sz="0" w:space="0" w:color="auto"/>
        <w:right w:val="none" w:sz="0" w:space="0" w:color="auto"/>
      </w:divBdr>
    </w:div>
    <w:div w:id="148403679">
      <w:bodyDiv w:val="1"/>
      <w:marLeft w:val="0"/>
      <w:marRight w:val="0"/>
      <w:marTop w:val="0"/>
      <w:marBottom w:val="0"/>
      <w:divBdr>
        <w:top w:val="none" w:sz="0" w:space="0" w:color="auto"/>
        <w:left w:val="none" w:sz="0" w:space="0" w:color="auto"/>
        <w:bottom w:val="none" w:sz="0" w:space="0" w:color="auto"/>
        <w:right w:val="none" w:sz="0" w:space="0" w:color="auto"/>
      </w:divBdr>
    </w:div>
    <w:div w:id="149249196">
      <w:bodyDiv w:val="1"/>
      <w:marLeft w:val="0"/>
      <w:marRight w:val="0"/>
      <w:marTop w:val="0"/>
      <w:marBottom w:val="0"/>
      <w:divBdr>
        <w:top w:val="none" w:sz="0" w:space="0" w:color="auto"/>
        <w:left w:val="none" w:sz="0" w:space="0" w:color="auto"/>
        <w:bottom w:val="none" w:sz="0" w:space="0" w:color="auto"/>
        <w:right w:val="none" w:sz="0" w:space="0" w:color="auto"/>
      </w:divBdr>
    </w:div>
    <w:div w:id="157038054">
      <w:bodyDiv w:val="1"/>
      <w:marLeft w:val="0"/>
      <w:marRight w:val="0"/>
      <w:marTop w:val="0"/>
      <w:marBottom w:val="0"/>
      <w:divBdr>
        <w:top w:val="none" w:sz="0" w:space="0" w:color="auto"/>
        <w:left w:val="none" w:sz="0" w:space="0" w:color="auto"/>
        <w:bottom w:val="none" w:sz="0" w:space="0" w:color="auto"/>
        <w:right w:val="none" w:sz="0" w:space="0" w:color="auto"/>
      </w:divBdr>
    </w:div>
    <w:div w:id="164248988">
      <w:bodyDiv w:val="1"/>
      <w:marLeft w:val="0"/>
      <w:marRight w:val="0"/>
      <w:marTop w:val="0"/>
      <w:marBottom w:val="0"/>
      <w:divBdr>
        <w:top w:val="none" w:sz="0" w:space="0" w:color="auto"/>
        <w:left w:val="none" w:sz="0" w:space="0" w:color="auto"/>
        <w:bottom w:val="none" w:sz="0" w:space="0" w:color="auto"/>
        <w:right w:val="none" w:sz="0" w:space="0" w:color="auto"/>
      </w:divBdr>
    </w:div>
    <w:div w:id="165026562">
      <w:bodyDiv w:val="1"/>
      <w:marLeft w:val="0"/>
      <w:marRight w:val="0"/>
      <w:marTop w:val="0"/>
      <w:marBottom w:val="0"/>
      <w:divBdr>
        <w:top w:val="none" w:sz="0" w:space="0" w:color="auto"/>
        <w:left w:val="none" w:sz="0" w:space="0" w:color="auto"/>
        <w:bottom w:val="none" w:sz="0" w:space="0" w:color="auto"/>
        <w:right w:val="none" w:sz="0" w:space="0" w:color="auto"/>
      </w:divBdr>
    </w:div>
    <w:div w:id="168058773">
      <w:bodyDiv w:val="1"/>
      <w:marLeft w:val="0"/>
      <w:marRight w:val="0"/>
      <w:marTop w:val="0"/>
      <w:marBottom w:val="0"/>
      <w:divBdr>
        <w:top w:val="none" w:sz="0" w:space="0" w:color="auto"/>
        <w:left w:val="none" w:sz="0" w:space="0" w:color="auto"/>
        <w:bottom w:val="none" w:sz="0" w:space="0" w:color="auto"/>
        <w:right w:val="none" w:sz="0" w:space="0" w:color="auto"/>
      </w:divBdr>
    </w:div>
    <w:div w:id="169026204">
      <w:bodyDiv w:val="1"/>
      <w:marLeft w:val="0"/>
      <w:marRight w:val="0"/>
      <w:marTop w:val="0"/>
      <w:marBottom w:val="0"/>
      <w:divBdr>
        <w:top w:val="none" w:sz="0" w:space="0" w:color="auto"/>
        <w:left w:val="none" w:sz="0" w:space="0" w:color="auto"/>
        <w:bottom w:val="none" w:sz="0" w:space="0" w:color="auto"/>
        <w:right w:val="none" w:sz="0" w:space="0" w:color="auto"/>
      </w:divBdr>
    </w:div>
    <w:div w:id="169411189">
      <w:bodyDiv w:val="1"/>
      <w:marLeft w:val="0"/>
      <w:marRight w:val="0"/>
      <w:marTop w:val="0"/>
      <w:marBottom w:val="0"/>
      <w:divBdr>
        <w:top w:val="none" w:sz="0" w:space="0" w:color="auto"/>
        <w:left w:val="none" w:sz="0" w:space="0" w:color="auto"/>
        <w:bottom w:val="none" w:sz="0" w:space="0" w:color="auto"/>
        <w:right w:val="none" w:sz="0" w:space="0" w:color="auto"/>
      </w:divBdr>
    </w:div>
    <w:div w:id="171189330">
      <w:bodyDiv w:val="1"/>
      <w:marLeft w:val="0"/>
      <w:marRight w:val="0"/>
      <w:marTop w:val="0"/>
      <w:marBottom w:val="0"/>
      <w:divBdr>
        <w:top w:val="none" w:sz="0" w:space="0" w:color="auto"/>
        <w:left w:val="none" w:sz="0" w:space="0" w:color="auto"/>
        <w:bottom w:val="none" w:sz="0" w:space="0" w:color="auto"/>
        <w:right w:val="none" w:sz="0" w:space="0" w:color="auto"/>
      </w:divBdr>
    </w:div>
    <w:div w:id="177473763">
      <w:bodyDiv w:val="1"/>
      <w:marLeft w:val="0"/>
      <w:marRight w:val="0"/>
      <w:marTop w:val="0"/>
      <w:marBottom w:val="0"/>
      <w:divBdr>
        <w:top w:val="none" w:sz="0" w:space="0" w:color="auto"/>
        <w:left w:val="none" w:sz="0" w:space="0" w:color="auto"/>
        <w:bottom w:val="none" w:sz="0" w:space="0" w:color="auto"/>
        <w:right w:val="none" w:sz="0" w:space="0" w:color="auto"/>
      </w:divBdr>
    </w:div>
    <w:div w:id="199172601">
      <w:bodyDiv w:val="1"/>
      <w:marLeft w:val="0"/>
      <w:marRight w:val="0"/>
      <w:marTop w:val="0"/>
      <w:marBottom w:val="0"/>
      <w:divBdr>
        <w:top w:val="none" w:sz="0" w:space="0" w:color="auto"/>
        <w:left w:val="none" w:sz="0" w:space="0" w:color="auto"/>
        <w:bottom w:val="none" w:sz="0" w:space="0" w:color="auto"/>
        <w:right w:val="none" w:sz="0" w:space="0" w:color="auto"/>
      </w:divBdr>
    </w:div>
    <w:div w:id="203563685">
      <w:bodyDiv w:val="1"/>
      <w:marLeft w:val="0"/>
      <w:marRight w:val="0"/>
      <w:marTop w:val="0"/>
      <w:marBottom w:val="0"/>
      <w:divBdr>
        <w:top w:val="none" w:sz="0" w:space="0" w:color="auto"/>
        <w:left w:val="none" w:sz="0" w:space="0" w:color="auto"/>
        <w:bottom w:val="none" w:sz="0" w:space="0" w:color="auto"/>
        <w:right w:val="none" w:sz="0" w:space="0" w:color="auto"/>
      </w:divBdr>
    </w:div>
    <w:div w:id="215432912">
      <w:bodyDiv w:val="1"/>
      <w:marLeft w:val="0"/>
      <w:marRight w:val="0"/>
      <w:marTop w:val="0"/>
      <w:marBottom w:val="0"/>
      <w:divBdr>
        <w:top w:val="none" w:sz="0" w:space="0" w:color="auto"/>
        <w:left w:val="none" w:sz="0" w:space="0" w:color="auto"/>
        <w:bottom w:val="none" w:sz="0" w:space="0" w:color="auto"/>
        <w:right w:val="none" w:sz="0" w:space="0" w:color="auto"/>
      </w:divBdr>
    </w:div>
    <w:div w:id="225728286">
      <w:bodyDiv w:val="1"/>
      <w:marLeft w:val="0"/>
      <w:marRight w:val="0"/>
      <w:marTop w:val="0"/>
      <w:marBottom w:val="0"/>
      <w:divBdr>
        <w:top w:val="none" w:sz="0" w:space="0" w:color="auto"/>
        <w:left w:val="none" w:sz="0" w:space="0" w:color="auto"/>
        <w:bottom w:val="none" w:sz="0" w:space="0" w:color="auto"/>
        <w:right w:val="none" w:sz="0" w:space="0" w:color="auto"/>
      </w:divBdr>
      <w:divsChild>
        <w:div w:id="1350063147">
          <w:marLeft w:val="0"/>
          <w:marRight w:val="0"/>
          <w:marTop w:val="0"/>
          <w:marBottom w:val="0"/>
          <w:divBdr>
            <w:top w:val="none" w:sz="0" w:space="0" w:color="auto"/>
            <w:left w:val="none" w:sz="0" w:space="0" w:color="auto"/>
            <w:bottom w:val="none" w:sz="0" w:space="0" w:color="auto"/>
            <w:right w:val="none" w:sz="0" w:space="0" w:color="auto"/>
          </w:divBdr>
          <w:divsChild>
            <w:div w:id="1729717951">
              <w:marLeft w:val="0"/>
              <w:marRight w:val="0"/>
              <w:marTop w:val="0"/>
              <w:marBottom w:val="0"/>
              <w:divBdr>
                <w:top w:val="none" w:sz="0" w:space="0" w:color="auto"/>
                <w:left w:val="none" w:sz="0" w:space="0" w:color="auto"/>
                <w:bottom w:val="none" w:sz="0" w:space="0" w:color="auto"/>
                <w:right w:val="none" w:sz="0" w:space="0" w:color="auto"/>
              </w:divBdr>
              <w:divsChild>
                <w:div w:id="207022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3017">
          <w:marLeft w:val="0"/>
          <w:marRight w:val="0"/>
          <w:marTop w:val="0"/>
          <w:marBottom w:val="0"/>
          <w:divBdr>
            <w:top w:val="none" w:sz="0" w:space="0" w:color="auto"/>
            <w:left w:val="none" w:sz="0" w:space="0" w:color="auto"/>
            <w:bottom w:val="none" w:sz="0" w:space="0" w:color="auto"/>
            <w:right w:val="none" w:sz="0" w:space="0" w:color="auto"/>
          </w:divBdr>
          <w:divsChild>
            <w:div w:id="300580541">
              <w:marLeft w:val="0"/>
              <w:marRight w:val="0"/>
              <w:marTop w:val="0"/>
              <w:marBottom w:val="0"/>
              <w:divBdr>
                <w:top w:val="none" w:sz="0" w:space="0" w:color="auto"/>
                <w:left w:val="none" w:sz="0" w:space="0" w:color="auto"/>
                <w:bottom w:val="none" w:sz="0" w:space="0" w:color="auto"/>
                <w:right w:val="none" w:sz="0" w:space="0" w:color="auto"/>
              </w:divBdr>
              <w:divsChild>
                <w:div w:id="3880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63006">
          <w:marLeft w:val="0"/>
          <w:marRight w:val="0"/>
          <w:marTop w:val="0"/>
          <w:marBottom w:val="0"/>
          <w:divBdr>
            <w:top w:val="none" w:sz="0" w:space="0" w:color="auto"/>
            <w:left w:val="none" w:sz="0" w:space="0" w:color="auto"/>
            <w:bottom w:val="none" w:sz="0" w:space="0" w:color="auto"/>
            <w:right w:val="none" w:sz="0" w:space="0" w:color="auto"/>
          </w:divBdr>
          <w:divsChild>
            <w:div w:id="1796170472">
              <w:marLeft w:val="0"/>
              <w:marRight w:val="0"/>
              <w:marTop w:val="0"/>
              <w:marBottom w:val="0"/>
              <w:divBdr>
                <w:top w:val="none" w:sz="0" w:space="0" w:color="auto"/>
                <w:left w:val="none" w:sz="0" w:space="0" w:color="auto"/>
                <w:bottom w:val="none" w:sz="0" w:space="0" w:color="auto"/>
                <w:right w:val="none" w:sz="0" w:space="0" w:color="auto"/>
              </w:divBdr>
              <w:divsChild>
                <w:div w:id="207966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31433">
      <w:bodyDiv w:val="1"/>
      <w:marLeft w:val="0"/>
      <w:marRight w:val="0"/>
      <w:marTop w:val="0"/>
      <w:marBottom w:val="0"/>
      <w:divBdr>
        <w:top w:val="none" w:sz="0" w:space="0" w:color="auto"/>
        <w:left w:val="none" w:sz="0" w:space="0" w:color="auto"/>
        <w:bottom w:val="none" w:sz="0" w:space="0" w:color="auto"/>
        <w:right w:val="none" w:sz="0" w:space="0" w:color="auto"/>
      </w:divBdr>
    </w:div>
    <w:div w:id="229194424">
      <w:bodyDiv w:val="1"/>
      <w:marLeft w:val="0"/>
      <w:marRight w:val="0"/>
      <w:marTop w:val="0"/>
      <w:marBottom w:val="0"/>
      <w:divBdr>
        <w:top w:val="none" w:sz="0" w:space="0" w:color="auto"/>
        <w:left w:val="none" w:sz="0" w:space="0" w:color="auto"/>
        <w:bottom w:val="none" w:sz="0" w:space="0" w:color="auto"/>
        <w:right w:val="none" w:sz="0" w:space="0" w:color="auto"/>
      </w:divBdr>
    </w:div>
    <w:div w:id="230386658">
      <w:bodyDiv w:val="1"/>
      <w:marLeft w:val="0"/>
      <w:marRight w:val="0"/>
      <w:marTop w:val="0"/>
      <w:marBottom w:val="0"/>
      <w:divBdr>
        <w:top w:val="none" w:sz="0" w:space="0" w:color="auto"/>
        <w:left w:val="none" w:sz="0" w:space="0" w:color="auto"/>
        <w:bottom w:val="none" w:sz="0" w:space="0" w:color="auto"/>
        <w:right w:val="none" w:sz="0" w:space="0" w:color="auto"/>
      </w:divBdr>
    </w:div>
    <w:div w:id="231702198">
      <w:bodyDiv w:val="1"/>
      <w:marLeft w:val="0"/>
      <w:marRight w:val="0"/>
      <w:marTop w:val="0"/>
      <w:marBottom w:val="0"/>
      <w:divBdr>
        <w:top w:val="none" w:sz="0" w:space="0" w:color="auto"/>
        <w:left w:val="none" w:sz="0" w:space="0" w:color="auto"/>
        <w:bottom w:val="none" w:sz="0" w:space="0" w:color="auto"/>
        <w:right w:val="none" w:sz="0" w:space="0" w:color="auto"/>
      </w:divBdr>
    </w:div>
    <w:div w:id="279149267">
      <w:bodyDiv w:val="1"/>
      <w:marLeft w:val="0"/>
      <w:marRight w:val="0"/>
      <w:marTop w:val="0"/>
      <w:marBottom w:val="0"/>
      <w:divBdr>
        <w:top w:val="none" w:sz="0" w:space="0" w:color="auto"/>
        <w:left w:val="none" w:sz="0" w:space="0" w:color="auto"/>
        <w:bottom w:val="none" w:sz="0" w:space="0" w:color="auto"/>
        <w:right w:val="none" w:sz="0" w:space="0" w:color="auto"/>
      </w:divBdr>
    </w:div>
    <w:div w:id="285042927">
      <w:bodyDiv w:val="1"/>
      <w:marLeft w:val="0"/>
      <w:marRight w:val="0"/>
      <w:marTop w:val="0"/>
      <w:marBottom w:val="0"/>
      <w:divBdr>
        <w:top w:val="none" w:sz="0" w:space="0" w:color="auto"/>
        <w:left w:val="none" w:sz="0" w:space="0" w:color="auto"/>
        <w:bottom w:val="none" w:sz="0" w:space="0" w:color="auto"/>
        <w:right w:val="none" w:sz="0" w:space="0" w:color="auto"/>
      </w:divBdr>
    </w:div>
    <w:div w:id="285048780">
      <w:bodyDiv w:val="1"/>
      <w:marLeft w:val="0"/>
      <w:marRight w:val="0"/>
      <w:marTop w:val="0"/>
      <w:marBottom w:val="0"/>
      <w:divBdr>
        <w:top w:val="none" w:sz="0" w:space="0" w:color="auto"/>
        <w:left w:val="none" w:sz="0" w:space="0" w:color="auto"/>
        <w:bottom w:val="none" w:sz="0" w:space="0" w:color="auto"/>
        <w:right w:val="none" w:sz="0" w:space="0" w:color="auto"/>
      </w:divBdr>
    </w:div>
    <w:div w:id="289701871">
      <w:bodyDiv w:val="1"/>
      <w:marLeft w:val="0"/>
      <w:marRight w:val="0"/>
      <w:marTop w:val="0"/>
      <w:marBottom w:val="0"/>
      <w:divBdr>
        <w:top w:val="none" w:sz="0" w:space="0" w:color="auto"/>
        <w:left w:val="none" w:sz="0" w:space="0" w:color="auto"/>
        <w:bottom w:val="none" w:sz="0" w:space="0" w:color="auto"/>
        <w:right w:val="none" w:sz="0" w:space="0" w:color="auto"/>
      </w:divBdr>
    </w:div>
    <w:div w:id="297222519">
      <w:bodyDiv w:val="1"/>
      <w:marLeft w:val="0"/>
      <w:marRight w:val="0"/>
      <w:marTop w:val="0"/>
      <w:marBottom w:val="0"/>
      <w:divBdr>
        <w:top w:val="none" w:sz="0" w:space="0" w:color="auto"/>
        <w:left w:val="none" w:sz="0" w:space="0" w:color="auto"/>
        <w:bottom w:val="none" w:sz="0" w:space="0" w:color="auto"/>
        <w:right w:val="none" w:sz="0" w:space="0" w:color="auto"/>
      </w:divBdr>
    </w:div>
    <w:div w:id="297881918">
      <w:bodyDiv w:val="1"/>
      <w:marLeft w:val="0"/>
      <w:marRight w:val="0"/>
      <w:marTop w:val="0"/>
      <w:marBottom w:val="0"/>
      <w:divBdr>
        <w:top w:val="none" w:sz="0" w:space="0" w:color="auto"/>
        <w:left w:val="none" w:sz="0" w:space="0" w:color="auto"/>
        <w:bottom w:val="none" w:sz="0" w:space="0" w:color="auto"/>
        <w:right w:val="none" w:sz="0" w:space="0" w:color="auto"/>
      </w:divBdr>
    </w:div>
    <w:div w:id="300312854">
      <w:bodyDiv w:val="1"/>
      <w:marLeft w:val="0"/>
      <w:marRight w:val="0"/>
      <w:marTop w:val="0"/>
      <w:marBottom w:val="0"/>
      <w:divBdr>
        <w:top w:val="none" w:sz="0" w:space="0" w:color="auto"/>
        <w:left w:val="none" w:sz="0" w:space="0" w:color="auto"/>
        <w:bottom w:val="none" w:sz="0" w:space="0" w:color="auto"/>
        <w:right w:val="none" w:sz="0" w:space="0" w:color="auto"/>
      </w:divBdr>
    </w:div>
    <w:div w:id="315501297">
      <w:bodyDiv w:val="1"/>
      <w:marLeft w:val="0"/>
      <w:marRight w:val="0"/>
      <w:marTop w:val="0"/>
      <w:marBottom w:val="0"/>
      <w:divBdr>
        <w:top w:val="none" w:sz="0" w:space="0" w:color="auto"/>
        <w:left w:val="none" w:sz="0" w:space="0" w:color="auto"/>
        <w:bottom w:val="none" w:sz="0" w:space="0" w:color="auto"/>
        <w:right w:val="none" w:sz="0" w:space="0" w:color="auto"/>
      </w:divBdr>
    </w:div>
    <w:div w:id="337123506">
      <w:bodyDiv w:val="1"/>
      <w:marLeft w:val="0"/>
      <w:marRight w:val="0"/>
      <w:marTop w:val="0"/>
      <w:marBottom w:val="0"/>
      <w:divBdr>
        <w:top w:val="none" w:sz="0" w:space="0" w:color="auto"/>
        <w:left w:val="none" w:sz="0" w:space="0" w:color="auto"/>
        <w:bottom w:val="none" w:sz="0" w:space="0" w:color="auto"/>
        <w:right w:val="none" w:sz="0" w:space="0" w:color="auto"/>
      </w:divBdr>
      <w:divsChild>
        <w:div w:id="1059328727">
          <w:marLeft w:val="0"/>
          <w:marRight w:val="0"/>
          <w:marTop w:val="0"/>
          <w:marBottom w:val="0"/>
          <w:divBdr>
            <w:top w:val="none" w:sz="0" w:space="0" w:color="auto"/>
            <w:left w:val="none" w:sz="0" w:space="0" w:color="auto"/>
            <w:bottom w:val="none" w:sz="0" w:space="0" w:color="auto"/>
            <w:right w:val="none" w:sz="0" w:space="0" w:color="auto"/>
          </w:divBdr>
        </w:div>
        <w:div w:id="1285574619">
          <w:marLeft w:val="0"/>
          <w:marRight w:val="0"/>
          <w:marTop w:val="0"/>
          <w:marBottom w:val="0"/>
          <w:divBdr>
            <w:top w:val="none" w:sz="0" w:space="0" w:color="auto"/>
            <w:left w:val="none" w:sz="0" w:space="0" w:color="auto"/>
            <w:bottom w:val="none" w:sz="0" w:space="0" w:color="auto"/>
            <w:right w:val="none" w:sz="0" w:space="0" w:color="auto"/>
          </w:divBdr>
        </w:div>
        <w:div w:id="542987643">
          <w:marLeft w:val="0"/>
          <w:marRight w:val="0"/>
          <w:marTop w:val="0"/>
          <w:marBottom w:val="0"/>
          <w:divBdr>
            <w:top w:val="none" w:sz="0" w:space="0" w:color="auto"/>
            <w:left w:val="none" w:sz="0" w:space="0" w:color="auto"/>
            <w:bottom w:val="none" w:sz="0" w:space="0" w:color="auto"/>
            <w:right w:val="none" w:sz="0" w:space="0" w:color="auto"/>
          </w:divBdr>
        </w:div>
        <w:div w:id="1598951185">
          <w:marLeft w:val="0"/>
          <w:marRight w:val="0"/>
          <w:marTop w:val="0"/>
          <w:marBottom w:val="0"/>
          <w:divBdr>
            <w:top w:val="none" w:sz="0" w:space="0" w:color="auto"/>
            <w:left w:val="none" w:sz="0" w:space="0" w:color="auto"/>
            <w:bottom w:val="none" w:sz="0" w:space="0" w:color="auto"/>
            <w:right w:val="none" w:sz="0" w:space="0" w:color="auto"/>
          </w:divBdr>
        </w:div>
      </w:divsChild>
    </w:div>
    <w:div w:id="344552338">
      <w:bodyDiv w:val="1"/>
      <w:marLeft w:val="0"/>
      <w:marRight w:val="0"/>
      <w:marTop w:val="0"/>
      <w:marBottom w:val="0"/>
      <w:divBdr>
        <w:top w:val="none" w:sz="0" w:space="0" w:color="auto"/>
        <w:left w:val="none" w:sz="0" w:space="0" w:color="auto"/>
        <w:bottom w:val="none" w:sz="0" w:space="0" w:color="auto"/>
        <w:right w:val="none" w:sz="0" w:space="0" w:color="auto"/>
      </w:divBdr>
      <w:divsChild>
        <w:div w:id="1072657296">
          <w:marLeft w:val="0"/>
          <w:marRight w:val="0"/>
          <w:marTop w:val="0"/>
          <w:marBottom w:val="0"/>
          <w:divBdr>
            <w:top w:val="none" w:sz="0" w:space="0" w:color="auto"/>
            <w:left w:val="none" w:sz="0" w:space="0" w:color="auto"/>
            <w:bottom w:val="none" w:sz="0" w:space="0" w:color="auto"/>
            <w:right w:val="none" w:sz="0" w:space="0" w:color="auto"/>
          </w:divBdr>
          <w:divsChild>
            <w:div w:id="18097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76720">
      <w:bodyDiv w:val="1"/>
      <w:marLeft w:val="0"/>
      <w:marRight w:val="0"/>
      <w:marTop w:val="0"/>
      <w:marBottom w:val="0"/>
      <w:divBdr>
        <w:top w:val="none" w:sz="0" w:space="0" w:color="auto"/>
        <w:left w:val="none" w:sz="0" w:space="0" w:color="auto"/>
        <w:bottom w:val="none" w:sz="0" w:space="0" w:color="auto"/>
        <w:right w:val="none" w:sz="0" w:space="0" w:color="auto"/>
      </w:divBdr>
    </w:div>
    <w:div w:id="368340726">
      <w:bodyDiv w:val="1"/>
      <w:marLeft w:val="0"/>
      <w:marRight w:val="0"/>
      <w:marTop w:val="0"/>
      <w:marBottom w:val="0"/>
      <w:divBdr>
        <w:top w:val="none" w:sz="0" w:space="0" w:color="auto"/>
        <w:left w:val="none" w:sz="0" w:space="0" w:color="auto"/>
        <w:bottom w:val="none" w:sz="0" w:space="0" w:color="auto"/>
        <w:right w:val="none" w:sz="0" w:space="0" w:color="auto"/>
      </w:divBdr>
    </w:div>
    <w:div w:id="383339234">
      <w:bodyDiv w:val="1"/>
      <w:marLeft w:val="0"/>
      <w:marRight w:val="0"/>
      <w:marTop w:val="0"/>
      <w:marBottom w:val="0"/>
      <w:divBdr>
        <w:top w:val="none" w:sz="0" w:space="0" w:color="auto"/>
        <w:left w:val="none" w:sz="0" w:space="0" w:color="auto"/>
        <w:bottom w:val="none" w:sz="0" w:space="0" w:color="auto"/>
        <w:right w:val="none" w:sz="0" w:space="0" w:color="auto"/>
      </w:divBdr>
    </w:div>
    <w:div w:id="385102543">
      <w:bodyDiv w:val="1"/>
      <w:marLeft w:val="0"/>
      <w:marRight w:val="0"/>
      <w:marTop w:val="0"/>
      <w:marBottom w:val="0"/>
      <w:divBdr>
        <w:top w:val="none" w:sz="0" w:space="0" w:color="auto"/>
        <w:left w:val="none" w:sz="0" w:space="0" w:color="auto"/>
        <w:bottom w:val="none" w:sz="0" w:space="0" w:color="auto"/>
        <w:right w:val="none" w:sz="0" w:space="0" w:color="auto"/>
      </w:divBdr>
    </w:div>
    <w:div w:id="393430575">
      <w:bodyDiv w:val="1"/>
      <w:marLeft w:val="0"/>
      <w:marRight w:val="0"/>
      <w:marTop w:val="0"/>
      <w:marBottom w:val="0"/>
      <w:divBdr>
        <w:top w:val="none" w:sz="0" w:space="0" w:color="auto"/>
        <w:left w:val="none" w:sz="0" w:space="0" w:color="auto"/>
        <w:bottom w:val="none" w:sz="0" w:space="0" w:color="auto"/>
        <w:right w:val="none" w:sz="0" w:space="0" w:color="auto"/>
      </w:divBdr>
    </w:div>
    <w:div w:id="405539919">
      <w:bodyDiv w:val="1"/>
      <w:marLeft w:val="0"/>
      <w:marRight w:val="0"/>
      <w:marTop w:val="0"/>
      <w:marBottom w:val="0"/>
      <w:divBdr>
        <w:top w:val="none" w:sz="0" w:space="0" w:color="auto"/>
        <w:left w:val="none" w:sz="0" w:space="0" w:color="auto"/>
        <w:bottom w:val="none" w:sz="0" w:space="0" w:color="auto"/>
        <w:right w:val="none" w:sz="0" w:space="0" w:color="auto"/>
      </w:divBdr>
    </w:div>
    <w:div w:id="413478592">
      <w:bodyDiv w:val="1"/>
      <w:marLeft w:val="0"/>
      <w:marRight w:val="0"/>
      <w:marTop w:val="0"/>
      <w:marBottom w:val="0"/>
      <w:divBdr>
        <w:top w:val="none" w:sz="0" w:space="0" w:color="auto"/>
        <w:left w:val="none" w:sz="0" w:space="0" w:color="auto"/>
        <w:bottom w:val="none" w:sz="0" w:space="0" w:color="auto"/>
        <w:right w:val="none" w:sz="0" w:space="0" w:color="auto"/>
      </w:divBdr>
    </w:div>
    <w:div w:id="417092601">
      <w:bodyDiv w:val="1"/>
      <w:marLeft w:val="0"/>
      <w:marRight w:val="0"/>
      <w:marTop w:val="0"/>
      <w:marBottom w:val="0"/>
      <w:divBdr>
        <w:top w:val="none" w:sz="0" w:space="0" w:color="auto"/>
        <w:left w:val="none" w:sz="0" w:space="0" w:color="auto"/>
        <w:bottom w:val="none" w:sz="0" w:space="0" w:color="auto"/>
        <w:right w:val="none" w:sz="0" w:space="0" w:color="auto"/>
      </w:divBdr>
    </w:div>
    <w:div w:id="423041804">
      <w:bodyDiv w:val="1"/>
      <w:marLeft w:val="0"/>
      <w:marRight w:val="0"/>
      <w:marTop w:val="0"/>
      <w:marBottom w:val="0"/>
      <w:divBdr>
        <w:top w:val="none" w:sz="0" w:space="0" w:color="auto"/>
        <w:left w:val="none" w:sz="0" w:space="0" w:color="auto"/>
        <w:bottom w:val="none" w:sz="0" w:space="0" w:color="auto"/>
        <w:right w:val="none" w:sz="0" w:space="0" w:color="auto"/>
      </w:divBdr>
    </w:div>
    <w:div w:id="425614504">
      <w:bodyDiv w:val="1"/>
      <w:marLeft w:val="0"/>
      <w:marRight w:val="0"/>
      <w:marTop w:val="0"/>
      <w:marBottom w:val="0"/>
      <w:divBdr>
        <w:top w:val="none" w:sz="0" w:space="0" w:color="auto"/>
        <w:left w:val="none" w:sz="0" w:space="0" w:color="auto"/>
        <w:bottom w:val="none" w:sz="0" w:space="0" w:color="auto"/>
        <w:right w:val="none" w:sz="0" w:space="0" w:color="auto"/>
      </w:divBdr>
    </w:div>
    <w:div w:id="428283322">
      <w:bodyDiv w:val="1"/>
      <w:marLeft w:val="0"/>
      <w:marRight w:val="0"/>
      <w:marTop w:val="0"/>
      <w:marBottom w:val="0"/>
      <w:divBdr>
        <w:top w:val="none" w:sz="0" w:space="0" w:color="auto"/>
        <w:left w:val="none" w:sz="0" w:space="0" w:color="auto"/>
        <w:bottom w:val="none" w:sz="0" w:space="0" w:color="auto"/>
        <w:right w:val="none" w:sz="0" w:space="0" w:color="auto"/>
      </w:divBdr>
    </w:div>
    <w:div w:id="432675218">
      <w:bodyDiv w:val="1"/>
      <w:marLeft w:val="0"/>
      <w:marRight w:val="0"/>
      <w:marTop w:val="0"/>
      <w:marBottom w:val="0"/>
      <w:divBdr>
        <w:top w:val="none" w:sz="0" w:space="0" w:color="auto"/>
        <w:left w:val="none" w:sz="0" w:space="0" w:color="auto"/>
        <w:bottom w:val="none" w:sz="0" w:space="0" w:color="auto"/>
        <w:right w:val="none" w:sz="0" w:space="0" w:color="auto"/>
      </w:divBdr>
    </w:div>
    <w:div w:id="436407537">
      <w:bodyDiv w:val="1"/>
      <w:marLeft w:val="0"/>
      <w:marRight w:val="0"/>
      <w:marTop w:val="0"/>
      <w:marBottom w:val="0"/>
      <w:divBdr>
        <w:top w:val="none" w:sz="0" w:space="0" w:color="auto"/>
        <w:left w:val="none" w:sz="0" w:space="0" w:color="auto"/>
        <w:bottom w:val="none" w:sz="0" w:space="0" w:color="auto"/>
        <w:right w:val="none" w:sz="0" w:space="0" w:color="auto"/>
      </w:divBdr>
    </w:div>
    <w:div w:id="442576040">
      <w:bodyDiv w:val="1"/>
      <w:marLeft w:val="0"/>
      <w:marRight w:val="0"/>
      <w:marTop w:val="0"/>
      <w:marBottom w:val="0"/>
      <w:divBdr>
        <w:top w:val="none" w:sz="0" w:space="0" w:color="auto"/>
        <w:left w:val="none" w:sz="0" w:space="0" w:color="auto"/>
        <w:bottom w:val="none" w:sz="0" w:space="0" w:color="auto"/>
        <w:right w:val="none" w:sz="0" w:space="0" w:color="auto"/>
      </w:divBdr>
    </w:div>
    <w:div w:id="442771395">
      <w:bodyDiv w:val="1"/>
      <w:marLeft w:val="0"/>
      <w:marRight w:val="0"/>
      <w:marTop w:val="0"/>
      <w:marBottom w:val="0"/>
      <w:divBdr>
        <w:top w:val="none" w:sz="0" w:space="0" w:color="auto"/>
        <w:left w:val="none" w:sz="0" w:space="0" w:color="auto"/>
        <w:bottom w:val="none" w:sz="0" w:space="0" w:color="auto"/>
        <w:right w:val="none" w:sz="0" w:space="0" w:color="auto"/>
      </w:divBdr>
    </w:div>
    <w:div w:id="445738296">
      <w:bodyDiv w:val="1"/>
      <w:marLeft w:val="0"/>
      <w:marRight w:val="0"/>
      <w:marTop w:val="0"/>
      <w:marBottom w:val="0"/>
      <w:divBdr>
        <w:top w:val="none" w:sz="0" w:space="0" w:color="auto"/>
        <w:left w:val="none" w:sz="0" w:space="0" w:color="auto"/>
        <w:bottom w:val="none" w:sz="0" w:space="0" w:color="auto"/>
        <w:right w:val="none" w:sz="0" w:space="0" w:color="auto"/>
      </w:divBdr>
    </w:div>
    <w:div w:id="445781982">
      <w:bodyDiv w:val="1"/>
      <w:marLeft w:val="0"/>
      <w:marRight w:val="0"/>
      <w:marTop w:val="0"/>
      <w:marBottom w:val="0"/>
      <w:divBdr>
        <w:top w:val="none" w:sz="0" w:space="0" w:color="auto"/>
        <w:left w:val="none" w:sz="0" w:space="0" w:color="auto"/>
        <w:bottom w:val="none" w:sz="0" w:space="0" w:color="auto"/>
        <w:right w:val="none" w:sz="0" w:space="0" w:color="auto"/>
      </w:divBdr>
    </w:div>
    <w:div w:id="447310166">
      <w:bodyDiv w:val="1"/>
      <w:marLeft w:val="0"/>
      <w:marRight w:val="0"/>
      <w:marTop w:val="0"/>
      <w:marBottom w:val="0"/>
      <w:divBdr>
        <w:top w:val="none" w:sz="0" w:space="0" w:color="auto"/>
        <w:left w:val="none" w:sz="0" w:space="0" w:color="auto"/>
        <w:bottom w:val="none" w:sz="0" w:space="0" w:color="auto"/>
        <w:right w:val="none" w:sz="0" w:space="0" w:color="auto"/>
      </w:divBdr>
    </w:div>
    <w:div w:id="460920265">
      <w:bodyDiv w:val="1"/>
      <w:marLeft w:val="0"/>
      <w:marRight w:val="0"/>
      <w:marTop w:val="0"/>
      <w:marBottom w:val="0"/>
      <w:divBdr>
        <w:top w:val="none" w:sz="0" w:space="0" w:color="auto"/>
        <w:left w:val="none" w:sz="0" w:space="0" w:color="auto"/>
        <w:bottom w:val="none" w:sz="0" w:space="0" w:color="auto"/>
        <w:right w:val="none" w:sz="0" w:space="0" w:color="auto"/>
      </w:divBdr>
    </w:div>
    <w:div w:id="467669584">
      <w:bodyDiv w:val="1"/>
      <w:marLeft w:val="0"/>
      <w:marRight w:val="0"/>
      <w:marTop w:val="0"/>
      <w:marBottom w:val="0"/>
      <w:divBdr>
        <w:top w:val="none" w:sz="0" w:space="0" w:color="auto"/>
        <w:left w:val="none" w:sz="0" w:space="0" w:color="auto"/>
        <w:bottom w:val="none" w:sz="0" w:space="0" w:color="auto"/>
        <w:right w:val="none" w:sz="0" w:space="0" w:color="auto"/>
      </w:divBdr>
    </w:div>
    <w:div w:id="468012046">
      <w:bodyDiv w:val="1"/>
      <w:marLeft w:val="0"/>
      <w:marRight w:val="0"/>
      <w:marTop w:val="0"/>
      <w:marBottom w:val="0"/>
      <w:divBdr>
        <w:top w:val="none" w:sz="0" w:space="0" w:color="auto"/>
        <w:left w:val="none" w:sz="0" w:space="0" w:color="auto"/>
        <w:bottom w:val="none" w:sz="0" w:space="0" w:color="auto"/>
        <w:right w:val="none" w:sz="0" w:space="0" w:color="auto"/>
      </w:divBdr>
    </w:div>
    <w:div w:id="474565011">
      <w:bodyDiv w:val="1"/>
      <w:marLeft w:val="0"/>
      <w:marRight w:val="0"/>
      <w:marTop w:val="0"/>
      <w:marBottom w:val="0"/>
      <w:divBdr>
        <w:top w:val="none" w:sz="0" w:space="0" w:color="auto"/>
        <w:left w:val="none" w:sz="0" w:space="0" w:color="auto"/>
        <w:bottom w:val="none" w:sz="0" w:space="0" w:color="auto"/>
        <w:right w:val="none" w:sz="0" w:space="0" w:color="auto"/>
      </w:divBdr>
    </w:div>
    <w:div w:id="477116801">
      <w:bodyDiv w:val="1"/>
      <w:marLeft w:val="0"/>
      <w:marRight w:val="0"/>
      <w:marTop w:val="0"/>
      <w:marBottom w:val="0"/>
      <w:divBdr>
        <w:top w:val="none" w:sz="0" w:space="0" w:color="auto"/>
        <w:left w:val="none" w:sz="0" w:space="0" w:color="auto"/>
        <w:bottom w:val="none" w:sz="0" w:space="0" w:color="auto"/>
        <w:right w:val="none" w:sz="0" w:space="0" w:color="auto"/>
      </w:divBdr>
    </w:div>
    <w:div w:id="484277689">
      <w:bodyDiv w:val="1"/>
      <w:marLeft w:val="0"/>
      <w:marRight w:val="0"/>
      <w:marTop w:val="0"/>
      <w:marBottom w:val="0"/>
      <w:divBdr>
        <w:top w:val="none" w:sz="0" w:space="0" w:color="auto"/>
        <w:left w:val="none" w:sz="0" w:space="0" w:color="auto"/>
        <w:bottom w:val="none" w:sz="0" w:space="0" w:color="auto"/>
        <w:right w:val="none" w:sz="0" w:space="0" w:color="auto"/>
      </w:divBdr>
    </w:div>
    <w:div w:id="485823121">
      <w:bodyDiv w:val="1"/>
      <w:marLeft w:val="0"/>
      <w:marRight w:val="0"/>
      <w:marTop w:val="0"/>
      <w:marBottom w:val="0"/>
      <w:divBdr>
        <w:top w:val="none" w:sz="0" w:space="0" w:color="auto"/>
        <w:left w:val="none" w:sz="0" w:space="0" w:color="auto"/>
        <w:bottom w:val="none" w:sz="0" w:space="0" w:color="auto"/>
        <w:right w:val="none" w:sz="0" w:space="0" w:color="auto"/>
      </w:divBdr>
    </w:div>
    <w:div w:id="508328521">
      <w:bodyDiv w:val="1"/>
      <w:marLeft w:val="0"/>
      <w:marRight w:val="0"/>
      <w:marTop w:val="0"/>
      <w:marBottom w:val="0"/>
      <w:divBdr>
        <w:top w:val="none" w:sz="0" w:space="0" w:color="auto"/>
        <w:left w:val="none" w:sz="0" w:space="0" w:color="auto"/>
        <w:bottom w:val="none" w:sz="0" w:space="0" w:color="auto"/>
        <w:right w:val="none" w:sz="0" w:space="0" w:color="auto"/>
      </w:divBdr>
    </w:div>
    <w:div w:id="515271216">
      <w:bodyDiv w:val="1"/>
      <w:marLeft w:val="0"/>
      <w:marRight w:val="0"/>
      <w:marTop w:val="0"/>
      <w:marBottom w:val="0"/>
      <w:divBdr>
        <w:top w:val="none" w:sz="0" w:space="0" w:color="auto"/>
        <w:left w:val="none" w:sz="0" w:space="0" w:color="auto"/>
        <w:bottom w:val="none" w:sz="0" w:space="0" w:color="auto"/>
        <w:right w:val="none" w:sz="0" w:space="0" w:color="auto"/>
      </w:divBdr>
    </w:div>
    <w:div w:id="516037825">
      <w:bodyDiv w:val="1"/>
      <w:marLeft w:val="0"/>
      <w:marRight w:val="0"/>
      <w:marTop w:val="0"/>
      <w:marBottom w:val="0"/>
      <w:divBdr>
        <w:top w:val="none" w:sz="0" w:space="0" w:color="auto"/>
        <w:left w:val="none" w:sz="0" w:space="0" w:color="auto"/>
        <w:bottom w:val="none" w:sz="0" w:space="0" w:color="auto"/>
        <w:right w:val="none" w:sz="0" w:space="0" w:color="auto"/>
      </w:divBdr>
    </w:div>
    <w:div w:id="531383681">
      <w:bodyDiv w:val="1"/>
      <w:marLeft w:val="0"/>
      <w:marRight w:val="0"/>
      <w:marTop w:val="0"/>
      <w:marBottom w:val="0"/>
      <w:divBdr>
        <w:top w:val="none" w:sz="0" w:space="0" w:color="auto"/>
        <w:left w:val="none" w:sz="0" w:space="0" w:color="auto"/>
        <w:bottom w:val="none" w:sz="0" w:space="0" w:color="auto"/>
        <w:right w:val="none" w:sz="0" w:space="0" w:color="auto"/>
      </w:divBdr>
    </w:div>
    <w:div w:id="538975505">
      <w:bodyDiv w:val="1"/>
      <w:marLeft w:val="0"/>
      <w:marRight w:val="0"/>
      <w:marTop w:val="0"/>
      <w:marBottom w:val="0"/>
      <w:divBdr>
        <w:top w:val="none" w:sz="0" w:space="0" w:color="auto"/>
        <w:left w:val="none" w:sz="0" w:space="0" w:color="auto"/>
        <w:bottom w:val="none" w:sz="0" w:space="0" w:color="auto"/>
        <w:right w:val="none" w:sz="0" w:space="0" w:color="auto"/>
      </w:divBdr>
    </w:div>
    <w:div w:id="561331617">
      <w:bodyDiv w:val="1"/>
      <w:marLeft w:val="0"/>
      <w:marRight w:val="0"/>
      <w:marTop w:val="0"/>
      <w:marBottom w:val="0"/>
      <w:divBdr>
        <w:top w:val="none" w:sz="0" w:space="0" w:color="auto"/>
        <w:left w:val="none" w:sz="0" w:space="0" w:color="auto"/>
        <w:bottom w:val="none" w:sz="0" w:space="0" w:color="auto"/>
        <w:right w:val="none" w:sz="0" w:space="0" w:color="auto"/>
      </w:divBdr>
    </w:div>
    <w:div w:id="561869624">
      <w:bodyDiv w:val="1"/>
      <w:marLeft w:val="0"/>
      <w:marRight w:val="0"/>
      <w:marTop w:val="0"/>
      <w:marBottom w:val="0"/>
      <w:divBdr>
        <w:top w:val="none" w:sz="0" w:space="0" w:color="auto"/>
        <w:left w:val="none" w:sz="0" w:space="0" w:color="auto"/>
        <w:bottom w:val="none" w:sz="0" w:space="0" w:color="auto"/>
        <w:right w:val="none" w:sz="0" w:space="0" w:color="auto"/>
      </w:divBdr>
    </w:div>
    <w:div w:id="565337516">
      <w:bodyDiv w:val="1"/>
      <w:marLeft w:val="0"/>
      <w:marRight w:val="0"/>
      <w:marTop w:val="0"/>
      <w:marBottom w:val="0"/>
      <w:divBdr>
        <w:top w:val="none" w:sz="0" w:space="0" w:color="auto"/>
        <w:left w:val="none" w:sz="0" w:space="0" w:color="auto"/>
        <w:bottom w:val="none" w:sz="0" w:space="0" w:color="auto"/>
        <w:right w:val="none" w:sz="0" w:space="0" w:color="auto"/>
      </w:divBdr>
    </w:div>
    <w:div w:id="566381835">
      <w:bodyDiv w:val="1"/>
      <w:marLeft w:val="0"/>
      <w:marRight w:val="0"/>
      <w:marTop w:val="0"/>
      <w:marBottom w:val="0"/>
      <w:divBdr>
        <w:top w:val="none" w:sz="0" w:space="0" w:color="auto"/>
        <w:left w:val="none" w:sz="0" w:space="0" w:color="auto"/>
        <w:bottom w:val="none" w:sz="0" w:space="0" w:color="auto"/>
        <w:right w:val="none" w:sz="0" w:space="0" w:color="auto"/>
      </w:divBdr>
    </w:div>
    <w:div w:id="584416523">
      <w:bodyDiv w:val="1"/>
      <w:marLeft w:val="0"/>
      <w:marRight w:val="0"/>
      <w:marTop w:val="0"/>
      <w:marBottom w:val="0"/>
      <w:divBdr>
        <w:top w:val="none" w:sz="0" w:space="0" w:color="auto"/>
        <w:left w:val="none" w:sz="0" w:space="0" w:color="auto"/>
        <w:bottom w:val="none" w:sz="0" w:space="0" w:color="auto"/>
        <w:right w:val="none" w:sz="0" w:space="0" w:color="auto"/>
      </w:divBdr>
    </w:div>
    <w:div w:id="589314885">
      <w:bodyDiv w:val="1"/>
      <w:marLeft w:val="0"/>
      <w:marRight w:val="0"/>
      <w:marTop w:val="0"/>
      <w:marBottom w:val="0"/>
      <w:divBdr>
        <w:top w:val="none" w:sz="0" w:space="0" w:color="auto"/>
        <w:left w:val="none" w:sz="0" w:space="0" w:color="auto"/>
        <w:bottom w:val="none" w:sz="0" w:space="0" w:color="auto"/>
        <w:right w:val="none" w:sz="0" w:space="0" w:color="auto"/>
      </w:divBdr>
    </w:div>
    <w:div w:id="610823678">
      <w:bodyDiv w:val="1"/>
      <w:marLeft w:val="0"/>
      <w:marRight w:val="0"/>
      <w:marTop w:val="0"/>
      <w:marBottom w:val="0"/>
      <w:divBdr>
        <w:top w:val="none" w:sz="0" w:space="0" w:color="auto"/>
        <w:left w:val="none" w:sz="0" w:space="0" w:color="auto"/>
        <w:bottom w:val="none" w:sz="0" w:space="0" w:color="auto"/>
        <w:right w:val="none" w:sz="0" w:space="0" w:color="auto"/>
      </w:divBdr>
    </w:div>
    <w:div w:id="612395863">
      <w:bodyDiv w:val="1"/>
      <w:marLeft w:val="0"/>
      <w:marRight w:val="0"/>
      <w:marTop w:val="0"/>
      <w:marBottom w:val="0"/>
      <w:divBdr>
        <w:top w:val="none" w:sz="0" w:space="0" w:color="auto"/>
        <w:left w:val="none" w:sz="0" w:space="0" w:color="auto"/>
        <w:bottom w:val="none" w:sz="0" w:space="0" w:color="auto"/>
        <w:right w:val="none" w:sz="0" w:space="0" w:color="auto"/>
      </w:divBdr>
    </w:div>
    <w:div w:id="627470842">
      <w:bodyDiv w:val="1"/>
      <w:marLeft w:val="0"/>
      <w:marRight w:val="0"/>
      <w:marTop w:val="0"/>
      <w:marBottom w:val="0"/>
      <w:divBdr>
        <w:top w:val="none" w:sz="0" w:space="0" w:color="auto"/>
        <w:left w:val="none" w:sz="0" w:space="0" w:color="auto"/>
        <w:bottom w:val="none" w:sz="0" w:space="0" w:color="auto"/>
        <w:right w:val="none" w:sz="0" w:space="0" w:color="auto"/>
      </w:divBdr>
    </w:div>
    <w:div w:id="635527739">
      <w:bodyDiv w:val="1"/>
      <w:marLeft w:val="0"/>
      <w:marRight w:val="0"/>
      <w:marTop w:val="0"/>
      <w:marBottom w:val="0"/>
      <w:divBdr>
        <w:top w:val="none" w:sz="0" w:space="0" w:color="auto"/>
        <w:left w:val="none" w:sz="0" w:space="0" w:color="auto"/>
        <w:bottom w:val="none" w:sz="0" w:space="0" w:color="auto"/>
        <w:right w:val="none" w:sz="0" w:space="0" w:color="auto"/>
      </w:divBdr>
    </w:div>
    <w:div w:id="637340497">
      <w:bodyDiv w:val="1"/>
      <w:marLeft w:val="0"/>
      <w:marRight w:val="0"/>
      <w:marTop w:val="0"/>
      <w:marBottom w:val="0"/>
      <w:divBdr>
        <w:top w:val="none" w:sz="0" w:space="0" w:color="auto"/>
        <w:left w:val="none" w:sz="0" w:space="0" w:color="auto"/>
        <w:bottom w:val="none" w:sz="0" w:space="0" w:color="auto"/>
        <w:right w:val="none" w:sz="0" w:space="0" w:color="auto"/>
      </w:divBdr>
    </w:div>
    <w:div w:id="638996242">
      <w:bodyDiv w:val="1"/>
      <w:marLeft w:val="0"/>
      <w:marRight w:val="0"/>
      <w:marTop w:val="0"/>
      <w:marBottom w:val="0"/>
      <w:divBdr>
        <w:top w:val="none" w:sz="0" w:space="0" w:color="auto"/>
        <w:left w:val="none" w:sz="0" w:space="0" w:color="auto"/>
        <w:bottom w:val="none" w:sz="0" w:space="0" w:color="auto"/>
        <w:right w:val="none" w:sz="0" w:space="0" w:color="auto"/>
      </w:divBdr>
    </w:div>
    <w:div w:id="639382569">
      <w:bodyDiv w:val="1"/>
      <w:marLeft w:val="0"/>
      <w:marRight w:val="0"/>
      <w:marTop w:val="0"/>
      <w:marBottom w:val="0"/>
      <w:divBdr>
        <w:top w:val="none" w:sz="0" w:space="0" w:color="auto"/>
        <w:left w:val="none" w:sz="0" w:space="0" w:color="auto"/>
        <w:bottom w:val="none" w:sz="0" w:space="0" w:color="auto"/>
        <w:right w:val="none" w:sz="0" w:space="0" w:color="auto"/>
      </w:divBdr>
    </w:div>
    <w:div w:id="656495656">
      <w:bodyDiv w:val="1"/>
      <w:marLeft w:val="0"/>
      <w:marRight w:val="0"/>
      <w:marTop w:val="0"/>
      <w:marBottom w:val="0"/>
      <w:divBdr>
        <w:top w:val="none" w:sz="0" w:space="0" w:color="auto"/>
        <w:left w:val="none" w:sz="0" w:space="0" w:color="auto"/>
        <w:bottom w:val="none" w:sz="0" w:space="0" w:color="auto"/>
        <w:right w:val="none" w:sz="0" w:space="0" w:color="auto"/>
      </w:divBdr>
    </w:div>
    <w:div w:id="656542505">
      <w:bodyDiv w:val="1"/>
      <w:marLeft w:val="0"/>
      <w:marRight w:val="0"/>
      <w:marTop w:val="0"/>
      <w:marBottom w:val="0"/>
      <w:divBdr>
        <w:top w:val="none" w:sz="0" w:space="0" w:color="auto"/>
        <w:left w:val="none" w:sz="0" w:space="0" w:color="auto"/>
        <w:bottom w:val="none" w:sz="0" w:space="0" w:color="auto"/>
        <w:right w:val="none" w:sz="0" w:space="0" w:color="auto"/>
      </w:divBdr>
    </w:div>
    <w:div w:id="660889366">
      <w:bodyDiv w:val="1"/>
      <w:marLeft w:val="0"/>
      <w:marRight w:val="0"/>
      <w:marTop w:val="0"/>
      <w:marBottom w:val="0"/>
      <w:divBdr>
        <w:top w:val="none" w:sz="0" w:space="0" w:color="auto"/>
        <w:left w:val="none" w:sz="0" w:space="0" w:color="auto"/>
        <w:bottom w:val="none" w:sz="0" w:space="0" w:color="auto"/>
        <w:right w:val="none" w:sz="0" w:space="0" w:color="auto"/>
      </w:divBdr>
    </w:div>
    <w:div w:id="662204580">
      <w:bodyDiv w:val="1"/>
      <w:marLeft w:val="0"/>
      <w:marRight w:val="0"/>
      <w:marTop w:val="0"/>
      <w:marBottom w:val="0"/>
      <w:divBdr>
        <w:top w:val="none" w:sz="0" w:space="0" w:color="auto"/>
        <w:left w:val="none" w:sz="0" w:space="0" w:color="auto"/>
        <w:bottom w:val="none" w:sz="0" w:space="0" w:color="auto"/>
        <w:right w:val="none" w:sz="0" w:space="0" w:color="auto"/>
      </w:divBdr>
    </w:div>
    <w:div w:id="678234841">
      <w:bodyDiv w:val="1"/>
      <w:marLeft w:val="0"/>
      <w:marRight w:val="0"/>
      <w:marTop w:val="0"/>
      <w:marBottom w:val="0"/>
      <w:divBdr>
        <w:top w:val="none" w:sz="0" w:space="0" w:color="auto"/>
        <w:left w:val="none" w:sz="0" w:space="0" w:color="auto"/>
        <w:bottom w:val="none" w:sz="0" w:space="0" w:color="auto"/>
        <w:right w:val="none" w:sz="0" w:space="0" w:color="auto"/>
      </w:divBdr>
    </w:div>
    <w:div w:id="711732649">
      <w:bodyDiv w:val="1"/>
      <w:marLeft w:val="0"/>
      <w:marRight w:val="0"/>
      <w:marTop w:val="0"/>
      <w:marBottom w:val="0"/>
      <w:divBdr>
        <w:top w:val="none" w:sz="0" w:space="0" w:color="auto"/>
        <w:left w:val="none" w:sz="0" w:space="0" w:color="auto"/>
        <w:bottom w:val="none" w:sz="0" w:space="0" w:color="auto"/>
        <w:right w:val="none" w:sz="0" w:space="0" w:color="auto"/>
      </w:divBdr>
    </w:div>
    <w:div w:id="717163616">
      <w:bodyDiv w:val="1"/>
      <w:marLeft w:val="0"/>
      <w:marRight w:val="0"/>
      <w:marTop w:val="0"/>
      <w:marBottom w:val="0"/>
      <w:divBdr>
        <w:top w:val="none" w:sz="0" w:space="0" w:color="auto"/>
        <w:left w:val="none" w:sz="0" w:space="0" w:color="auto"/>
        <w:bottom w:val="none" w:sz="0" w:space="0" w:color="auto"/>
        <w:right w:val="none" w:sz="0" w:space="0" w:color="auto"/>
      </w:divBdr>
      <w:divsChild>
        <w:div w:id="1710299389">
          <w:marLeft w:val="0"/>
          <w:marRight w:val="0"/>
          <w:marTop w:val="0"/>
          <w:marBottom w:val="0"/>
          <w:divBdr>
            <w:top w:val="none" w:sz="0" w:space="0" w:color="auto"/>
            <w:left w:val="none" w:sz="0" w:space="0" w:color="auto"/>
            <w:bottom w:val="none" w:sz="0" w:space="0" w:color="auto"/>
            <w:right w:val="none" w:sz="0" w:space="0" w:color="auto"/>
          </w:divBdr>
          <w:divsChild>
            <w:div w:id="1676230746">
              <w:marLeft w:val="0"/>
              <w:marRight w:val="0"/>
              <w:marTop w:val="0"/>
              <w:marBottom w:val="0"/>
              <w:divBdr>
                <w:top w:val="none" w:sz="0" w:space="0" w:color="auto"/>
                <w:left w:val="none" w:sz="0" w:space="0" w:color="auto"/>
                <w:bottom w:val="none" w:sz="0" w:space="0" w:color="auto"/>
                <w:right w:val="none" w:sz="0" w:space="0" w:color="auto"/>
              </w:divBdr>
              <w:divsChild>
                <w:div w:id="147752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8381">
          <w:marLeft w:val="0"/>
          <w:marRight w:val="0"/>
          <w:marTop w:val="0"/>
          <w:marBottom w:val="0"/>
          <w:divBdr>
            <w:top w:val="none" w:sz="0" w:space="0" w:color="auto"/>
            <w:left w:val="none" w:sz="0" w:space="0" w:color="auto"/>
            <w:bottom w:val="none" w:sz="0" w:space="0" w:color="auto"/>
            <w:right w:val="none" w:sz="0" w:space="0" w:color="auto"/>
          </w:divBdr>
          <w:divsChild>
            <w:div w:id="1143545669">
              <w:marLeft w:val="0"/>
              <w:marRight w:val="0"/>
              <w:marTop w:val="0"/>
              <w:marBottom w:val="0"/>
              <w:divBdr>
                <w:top w:val="none" w:sz="0" w:space="0" w:color="auto"/>
                <w:left w:val="none" w:sz="0" w:space="0" w:color="auto"/>
                <w:bottom w:val="none" w:sz="0" w:space="0" w:color="auto"/>
                <w:right w:val="none" w:sz="0" w:space="0" w:color="auto"/>
              </w:divBdr>
              <w:divsChild>
                <w:div w:id="5972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647104">
      <w:bodyDiv w:val="1"/>
      <w:marLeft w:val="0"/>
      <w:marRight w:val="0"/>
      <w:marTop w:val="0"/>
      <w:marBottom w:val="0"/>
      <w:divBdr>
        <w:top w:val="none" w:sz="0" w:space="0" w:color="auto"/>
        <w:left w:val="none" w:sz="0" w:space="0" w:color="auto"/>
        <w:bottom w:val="none" w:sz="0" w:space="0" w:color="auto"/>
        <w:right w:val="none" w:sz="0" w:space="0" w:color="auto"/>
      </w:divBdr>
    </w:div>
    <w:div w:id="746264125">
      <w:bodyDiv w:val="1"/>
      <w:marLeft w:val="0"/>
      <w:marRight w:val="0"/>
      <w:marTop w:val="0"/>
      <w:marBottom w:val="0"/>
      <w:divBdr>
        <w:top w:val="none" w:sz="0" w:space="0" w:color="auto"/>
        <w:left w:val="none" w:sz="0" w:space="0" w:color="auto"/>
        <w:bottom w:val="none" w:sz="0" w:space="0" w:color="auto"/>
        <w:right w:val="none" w:sz="0" w:space="0" w:color="auto"/>
      </w:divBdr>
    </w:div>
    <w:div w:id="772743111">
      <w:bodyDiv w:val="1"/>
      <w:marLeft w:val="0"/>
      <w:marRight w:val="0"/>
      <w:marTop w:val="0"/>
      <w:marBottom w:val="0"/>
      <w:divBdr>
        <w:top w:val="none" w:sz="0" w:space="0" w:color="auto"/>
        <w:left w:val="none" w:sz="0" w:space="0" w:color="auto"/>
        <w:bottom w:val="none" w:sz="0" w:space="0" w:color="auto"/>
        <w:right w:val="none" w:sz="0" w:space="0" w:color="auto"/>
      </w:divBdr>
    </w:div>
    <w:div w:id="778453088">
      <w:bodyDiv w:val="1"/>
      <w:marLeft w:val="0"/>
      <w:marRight w:val="0"/>
      <w:marTop w:val="0"/>
      <w:marBottom w:val="0"/>
      <w:divBdr>
        <w:top w:val="none" w:sz="0" w:space="0" w:color="auto"/>
        <w:left w:val="none" w:sz="0" w:space="0" w:color="auto"/>
        <w:bottom w:val="none" w:sz="0" w:space="0" w:color="auto"/>
        <w:right w:val="none" w:sz="0" w:space="0" w:color="auto"/>
      </w:divBdr>
    </w:div>
    <w:div w:id="784352845">
      <w:bodyDiv w:val="1"/>
      <w:marLeft w:val="0"/>
      <w:marRight w:val="0"/>
      <w:marTop w:val="0"/>
      <w:marBottom w:val="0"/>
      <w:divBdr>
        <w:top w:val="none" w:sz="0" w:space="0" w:color="auto"/>
        <w:left w:val="none" w:sz="0" w:space="0" w:color="auto"/>
        <w:bottom w:val="none" w:sz="0" w:space="0" w:color="auto"/>
        <w:right w:val="none" w:sz="0" w:space="0" w:color="auto"/>
      </w:divBdr>
    </w:div>
    <w:div w:id="790436051">
      <w:bodyDiv w:val="1"/>
      <w:marLeft w:val="0"/>
      <w:marRight w:val="0"/>
      <w:marTop w:val="0"/>
      <w:marBottom w:val="0"/>
      <w:divBdr>
        <w:top w:val="none" w:sz="0" w:space="0" w:color="auto"/>
        <w:left w:val="none" w:sz="0" w:space="0" w:color="auto"/>
        <w:bottom w:val="none" w:sz="0" w:space="0" w:color="auto"/>
        <w:right w:val="none" w:sz="0" w:space="0" w:color="auto"/>
      </w:divBdr>
    </w:div>
    <w:div w:id="791437229">
      <w:bodyDiv w:val="1"/>
      <w:marLeft w:val="0"/>
      <w:marRight w:val="0"/>
      <w:marTop w:val="0"/>
      <w:marBottom w:val="0"/>
      <w:divBdr>
        <w:top w:val="none" w:sz="0" w:space="0" w:color="auto"/>
        <w:left w:val="none" w:sz="0" w:space="0" w:color="auto"/>
        <w:bottom w:val="none" w:sz="0" w:space="0" w:color="auto"/>
        <w:right w:val="none" w:sz="0" w:space="0" w:color="auto"/>
      </w:divBdr>
    </w:div>
    <w:div w:id="804785374">
      <w:bodyDiv w:val="1"/>
      <w:marLeft w:val="0"/>
      <w:marRight w:val="0"/>
      <w:marTop w:val="0"/>
      <w:marBottom w:val="0"/>
      <w:divBdr>
        <w:top w:val="none" w:sz="0" w:space="0" w:color="auto"/>
        <w:left w:val="none" w:sz="0" w:space="0" w:color="auto"/>
        <w:bottom w:val="none" w:sz="0" w:space="0" w:color="auto"/>
        <w:right w:val="none" w:sz="0" w:space="0" w:color="auto"/>
      </w:divBdr>
    </w:div>
    <w:div w:id="813646394">
      <w:bodyDiv w:val="1"/>
      <w:marLeft w:val="0"/>
      <w:marRight w:val="0"/>
      <w:marTop w:val="0"/>
      <w:marBottom w:val="0"/>
      <w:divBdr>
        <w:top w:val="none" w:sz="0" w:space="0" w:color="auto"/>
        <w:left w:val="none" w:sz="0" w:space="0" w:color="auto"/>
        <w:bottom w:val="none" w:sz="0" w:space="0" w:color="auto"/>
        <w:right w:val="none" w:sz="0" w:space="0" w:color="auto"/>
      </w:divBdr>
    </w:div>
    <w:div w:id="816261454">
      <w:bodyDiv w:val="1"/>
      <w:marLeft w:val="0"/>
      <w:marRight w:val="0"/>
      <w:marTop w:val="0"/>
      <w:marBottom w:val="0"/>
      <w:divBdr>
        <w:top w:val="none" w:sz="0" w:space="0" w:color="auto"/>
        <w:left w:val="none" w:sz="0" w:space="0" w:color="auto"/>
        <w:bottom w:val="none" w:sz="0" w:space="0" w:color="auto"/>
        <w:right w:val="none" w:sz="0" w:space="0" w:color="auto"/>
      </w:divBdr>
    </w:div>
    <w:div w:id="817040971">
      <w:bodyDiv w:val="1"/>
      <w:marLeft w:val="0"/>
      <w:marRight w:val="0"/>
      <w:marTop w:val="0"/>
      <w:marBottom w:val="0"/>
      <w:divBdr>
        <w:top w:val="none" w:sz="0" w:space="0" w:color="auto"/>
        <w:left w:val="none" w:sz="0" w:space="0" w:color="auto"/>
        <w:bottom w:val="none" w:sz="0" w:space="0" w:color="auto"/>
        <w:right w:val="none" w:sz="0" w:space="0" w:color="auto"/>
      </w:divBdr>
    </w:div>
    <w:div w:id="821851225">
      <w:bodyDiv w:val="1"/>
      <w:marLeft w:val="0"/>
      <w:marRight w:val="0"/>
      <w:marTop w:val="0"/>
      <w:marBottom w:val="0"/>
      <w:divBdr>
        <w:top w:val="none" w:sz="0" w:space="0" w:color="auto"/>
        <w:left w:val="none" w:sz="0" w:space="0" w:color="auto"/>
        <w:bottom w:val="none" w:sz="0" w:space="0" w:color="auto"/>
        <w:right w:val="none" w:sz="0" w:space="0" w:color="auto"/>
      </w:divBdr>
    </w:div>
    <w:div w:id="823353481">
      <w:bodyDiv w:val="1"/>
      <w:marLeft w:val="0"/>
      <w:marRight w:val="0"/>
      <w:marTop w:val="0"/>
      <w:marBottom w:val="0"/>
      <w:divBdr>
        <w:top w:val="none" w:sz="0" w:space="0" w:color="auto"/>
        <w:left w:val="none" w:sz="0" w:space="0" w:color="auto"/>
        <w:bottom w:val="none" w:sz="0" w:space="0" w:color="auto"/>
        <w:right w:val="none" w:sz="0" w:space="0" w:color="auto"/>
      </w:divBdr>
    </w:div>
    <w:div w:id="831263736">
      <w:bodyDiv w:val="1"/>
      <w:marLeft w:val="0"/>
      <w:marRight w:val="0"/>
      <w:marTop w:val="0"/>
      <w:marBottom w:val="0"/>
      <w:divBdr>
        <w:top w:val="none" w:sz="0" w:space="0" w:color="auto"/>
        <w:left w:val="none" w:sz="0" w:space="0" w:color="auto"/>
        <w:bottom w:val="none" w:sz="0" w:space="0" w:color="auto"/>
        <w:right w:val="none" w:sz="0" w:space="0" w:color="auto"/>
      </w:divBdr>
    </w:div>
    <w:div w:id="835026680">
      <w:bodyDiv w:val="1"/>
      <w:marLeft w:val="0"/>
      <w:marRight w:val="0"/>
      <w:marTop w:val="0"/>
      <w:marBottom w:val="0"/>
      <w:divBdr>
        <w:top w:val="none" w:sz="0" w:space="0" w:color="auto"/>
        <w:left w:val="none" w:sz="0" w:space="0" w:color="auto"/>
        <w:bottom w:val="none" w:sz="0" w:space="0" w:color="auto"/>
        <w:right w:val="none" w:sz="0" w:space="0" w:color="auto"/>
      </w:divBdr>
    </w:div>
    <w:div w:id="840505241">
      <w:bodyDiv w:val="1"/>
      <w:marLeft w:val="0"/>
      <w:marRight w:val="0"/>
      <w:marTop w:val="0"/>
      <w:marBottom w:val="0"/>
      <w:divBdr>
        <w:top w:val="none" w:sz="0" w:space="0" w:color="auto"/>
        <w:left w:val="none" w:sz="0" w:space="0" w:color="auto"/>
        <w:bottom w:val="none" w:sz="0" w:space="0" w:color="auto"/>
        <w:right w:val="none" w:sz="0" w:space="0" w:color="auto"/>
      </w:divBdr>
    </w:div>
    <w:div w:id="847331682">
      <w:bodyDiv w:val="1"/>
      <w:marLeft w:val="0"/>
      <w:marRight w:val="0"/>
      <w:marTop w:val="0"/>
      <w:marBottom w:val="0"/>
      <w:divBdr>
        <w:top w:val="none" w:sz="0" w:space="0" w:color="auto"/>
        <w:left w:val="none" w:sz="0" w:space="0" w:color="auto"/>
        <w:bottom w:val="none" w:sz="0" w:space="0" w:color="auto"/>
        <w:right w:val="none" w:sz="0" w:space="0" w:color="auto"/>
      </w:divBdr>
    </w:div>
    <w:div w:id="851337632">
      <w:bodyDiv w:val="1"/>
      <w:marLeft w:val="0"/>
      <w:marRight w:val="0"/>
      <w:marTop w:val="0"/>
      <w:marBottom w:val="0"/>
      <w:divBdr>
        <w:top w:val="none" w:sz="0" w:space="0" w:color="auto"/>
        <w:left w:val="none" w:sz="0" w:space="0" w:color="auto"/>
        <w:bottom w:val="none" w:sz="0" w:space="0" w:color="auto"/>
        <w:right w:val="none" w:sz="0" w:space="0" w:color="auto"/>
      </w:divBdr>
    </w:div>
    <w:div w:id="851341930">
      <w:bodyDiv w:val="1"/>
      <w:marLeft w:val="0"/>
      <w:marRight w:val="0"/>
      <w:marTop w:val="0"/>
      <w:marBottom w:val="0"/>
      <w:divBdr>
        <w:top w:val="none" w:sz="0" w:space="0" w:color="auto"/>
        <w:left w:val="none" w:sz="0" w:space="0" w:color="auto"/>
        <w:bottom w:val="none" w:sz="0" w:space="0" w:color="auto"/>
        <w:right w:val="none" w:sz="0" w:space="0" w:color="auto"/>
      </w:divBdr>
    </w:div>
    <w:div w:id="857889290">
      <w:bodyDiv w:val="1"/>
      <w:marLeft w:val="0"/>
      <w:marRight w:val="0"/>
      <w:marTop w:val="0"/>
      <w:marBottom w:val="0"/>
      <w:divBdr>
        <w:top w:val="none" w:sz="0" w:space="0" w:color="auto"/>
        <w:left w:val="none" w:sz="0" w:space="0" w:color="auto"/>
        <w:bottom w:val="none" w:sz="0" w:space="0" w:color="auto"/>
        <w:right w:val="none" w:sz="0" w:space="0" w:color="auto"/>
      </w:divBdr>
    </w:div>
    <w:div w:id="859858984">
      <w:bodyDiv w:val="1"/>
      <w:marLeft w:val="0"/>
      <w:marRight w:val="0"/>
      <w:marTop w:val="0"/>
      <w:marBottom w:val="0"/>
      <w:divBdr>
        <w:top w:val="none" w:sz="0" w:space="0" w:color="auto"/>
        <w:left w:val="none" w:sz="0" w:space="0" w:color="auto"/>
        <w:bottom w:val="none" w:sz="0" w:space="0" w:color="auto"/>
        <w:right w:val="none" w:sz="0" w:space="0" w:color="auto"/>
      </w:divBdr>
    </w:div>
    <w:div w:id="862717358">
      <w:bodyDiv w:val="1"/>
      <w:marLeft w:val="0"/>
      <w:marRight w:val="0"/>
      <w:marTop w:val="0"/>
      <w:marBottom w:val="0"/>
      <w:divBdr>
        <w:top w:val="none" w:sz="0" w:space="0" w:color="auto"/>
        <w:left w:val="none" w:sz="0" w:space="0" w:color="auto"/>
        <w:bottom w:val="none" w:sz="0" w:space="0" w:color="auto"/>
        <w:right w:val="none" w:sz="0" w:space="0" w:color="auto"/>
      </w:divBdr>
    </w:div>
    <w:div w:id="874997532">
      <w:bodyDiv w:val="1"/>
      <w:marLeft w:val="0"/>
      <w:marRight w:val="0"/>
      <w:marTop w:val="0"/>
      <w:marBottom w:val="0"/>
      <w:divBdr>
        <w:top w:val="none" w:sz="0" w:space="0" w:color="auto"/>
        <w:left w:val="none" w:sz="0" w:space="0" w:color="auto"/>
        <w:bottom w:val="none" w:sz="0" w:space="0" w:color="auto"/>
        <w:right w:val="none" w:sz="0" w:space="0" w:color="auto"/>
      </w:divBdr>
      <w:divsChild>
        <w:div w:id="2077049536">
          <w:marLeft w:val="0"/>
          <w:marRight w:val="0"/>
          <w:marTop w:val="0"/>
          <w:marBottom w:val="0"/>
          <w:divBdr>
            <w:top w:val="none" w:sz="0" w:space="0" w:color="auto"/>
            <w:left w:val="none" w:sz="0" w:space="0" w:color="auto"/>
            <w:bottom w:val="none" w:sz="0" w:space="0" w:color="auto"/>
            <w:right w:val="none" w:sz="0" w:space="0" w:color="auto"/>
          </w:divBdr>
          <w:divsChild>
            <w:div w:id="886795021">
              <w:marLeft w:val="0"/>
              <w:marRight w:val="0"/>
              <w:marTop w:val="0"/>
              <w:marBottom w:val="0"/>
              <w:divBdr>
                <w:top w:val="none" w:sz="0" w:space="0" w:color="auto"/>
                <w:left w:val="none" w:sz="0" w:space="0" w:color="auto"/>
                <w:bottom w:val="none" w:sz="0" w:space="0" w:color="auto"/>
                <w:right w:val="none" w:sz="0" w:space="0" w:color="auto"/>
              </w:divBdr>
              <w:divsChild>
                <w:div w:id="2837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23901">
          <w:marLeft w:val="0"/>
          <w:marRight w:val="0"/>
          <w:marTop w:val="0"/>
          <w:marBottom w:val="0"/>
          <w:divBdr>
            <w:top w:val="none" w:sz="0" w:space="0" w:color="auto"/>
            <w:left w:val="none" w:sz="0" w:space="0" w:color="auto"/>
            <w:bottom w:val="none" w:sz="0" w:space="0" w:color="auto"/>
            <w:right w:val="none" w:sz="0" w:space="0" w:color="auto"/>
          </w:divBdr>
          <w:divsChild>
            <w:div w:id="1706446535">
              <w:marLeft w:val="0"/>
              <w:marRight w:val="0"/>
              <w:marTop w:val="0"/>
              <w:marBottom w:val="0"/>
              <w:divBdr>
                <w:top w:val="none" w:sz="0" w:space="0" w:color="auto"/>
                <w:left w:val="none" w:sz="0" w:space="0" w:color="auto"/>
                <w:bottom w:val="none" w:sz="0" w:space="0" w:color="auto"/>
                <w:right w:val="none" w:sz="0" w:space="0" w:color="auto"/>
              </w:divBdr>
              <w:divsChild>
                <w:div w:id="180959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35884">
          <w:marLeft w:val="0"/>
          <w:marRight w:val="0"/>
          <w:marTop w:val="0"/>
          <w:marBottom w:val="0"/>
          <w:divBdr>
            <w:top w:val="none" w:sz="0" w:space="0" w:color="auto"/>
            <w:left w:val="none" w:sz="0" w:space="0" w:color="auto"/>
            <w:bottom w:val="none" w:sz="0" w:space="0" w:color="auto"/>
            <w:right w:val="none" w:sz="0" w:space="0" w:color="auto"/>
          </w:divBdr>
          <w:divsChild>
            <w:div w:id="1468277755">
              <w:marLeft w:val="0"/>
              <w:marRight w:val="0"/>
              <w:marTop w:val="0"/>
              <w:marBottom w:val="0"/>
              <w:divBdr>
                <w:top w:val="none" w:sz="0" w:space="0" w:color="auto"/>
                <w:left w:val="none" w:sz="0" w:space="0" w:color="auto"/>
                <w:bottom w:val="none" w:sz="0" w:space="0" w:color="auto"/>
                <w:right w:val="none" w:sz="0" w:space="0" w:color="auto"/>
              </w:divBdr>
              <w:divsChild>
                <w:div w:id="20940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87130">
      <w:bodyDiv w:val="1"/>
      <w:marLeft w:val="0"/>
      <w:marRight w:val="0"/>
      <w:marTop w:val="0"/>
      <w:marBottom w:val="0"/>
      <w:divBdr>
        <w:top w:val="none" w:sz="0" w:space="0" w:color="auto"/>
        <w:left w:val="none" w:sz="0" w:space="0" w:color="auto"/>
        <w:bottom w:val="none" w:sz="0" w:space="0" w:color="auto"/>
        <w:right w:val="none" w:sz="0" w:space="0" w:color="auto"/>
      </w:divBdr>
    </w:div>
    <w:div w:id="880437125">
      <w:bodyDiv w:val="1"/>
      <w:marLeft w:val="0"/>
      <w:marRight w:val="0"/>
      <w:marTop w:val="0"/>
      <w:marBottom w:val="0"/>
      <w:divBdr>
        <w:top w:val="none" w:sz="0" w:space="0" w:color="auto"/>
        <w:left w:val="none" w:sz="0" w:space="0" w:color="auto"/>
        <w:bottom w:val="none" w:sz="0" w:space="0" w:color="auto"/>
        <w:right w:val="none" w:sz="0" w:space="0" w:color="auto"/>
      </w:divBdr>
    </w:div>
    <w:div w:id="880900344">
      <w:bodyDiv w:val="1"/>
      <w:marLeft w:val="0"/>
      <w:marRight w:val="0"/>
      <w:marTop w:val="0"/>
      <w:marBottom w:val="0"/>
      <w:divBdr>
        <w:top w:val="none" w:sz="0" w:space="0" w:color="auto"/>
        <w:left w:val="none" w:sz="0" w:space="0" w:color="auto"/>
        <w:bottom w:val="none" w:sz="0" w:space="0" w:color="auto"/>
        <w:right w:val="none" w:sz="0" w:space="0" w:color="auto"/>
      </w:divBdr>
    </w:div>
    <w:div w:id="884291559">
      <w:bodyDiv w:val="1"/>
      <w:marLeft w:val="0"/>
      <w:marRight w:val="0"/>
      <w:marTop w:val="0"/>
      <w:marBottom w:val="0"/>
      <w:divBdr>
        <w:top w:val="none" w:sz="0" w:space="0" w:color="auto"/>
        <w:left w:val="none" w:sz="0" w:space="0" w:color="auto"/>
        <w:bottom w:val="none" w:sz="0" w:space="0" w:color="auto"/>
        <w:right w:val="none" w:sz="0" w:space="0" w:color="auto"/>
      </w:divBdr>
    </w:div>
    <w:div w:id="896433659">
      <w:bodyDiv w:val="1"/>
      <w:marLeft w:val="0"/>
      <w:marRight w:val="0"/>
      <w:marTop w:val="0"/>
      <w:marBottom w:val="0"/>
      <w:divBdr>
        <w:top w:val="none" w:sz="0" w:space="0" w:color="auto"/>
        <w:left w:val="none" w:sz="0" w:space="0" w:color="auto"/>
        <w:bottom w:val="none" w:sz="0" w:space="0" w:color="auto"/>
        <w:right w:val="none" w:sz="0" w:space="0" w:color="auto"/>
      </w:divBdr>
    </w:div>
    <w:div w:id="896623149">
      <w:bodyDiv w:val="1"/>
      <w:marLeft w:val="0"/>
      <w:marRight w:val="0"/>
      <w:marTop w:val="0"/>
      <w:marBottom w:val="0"/>
      <w:divBdr>
        <w:top w:val="none" w:sz="0" w:space="0" w:color="auto"/>
        <w:left w:val="none" w:sz="0" w:space="0" w:color="auto"/>
        <w:bottom w:val="none" w:sz="0" w:space="0" w:color="auto"/>
        <w:right w:val="none" w:sz="0" w:space="0" w:color="auto"/>
      </w:divBdr>
    </w:div>
    <w:div w:id="899942042">
      <w:bodyDiv w:val="1"/>
      <w:marLeft w:val="0"/>
      <w:marRight w:val="0"/>
      <w:marTop w:val="0"/>
      <w:marBottom w:val="0"/>
      <w:divBdr>
        <w:top w:val="none" w:sz="0" w:space="0" w:color="auto"/>
        <w:left w:val="none" w:sz="0" w:space="0" w:color="auto"/>
        <w:bottom w:val="none" w:sz="0" w:space="0" w:color="auto"/>
        <w:right w:val="none" w:sz="0" w:space="0" w:color="auto"/>
      </w:divBdr>
    </w:div>
    <w:div w:id="903877643">
      <w:bodyDiv w:val="1"/>
      <w:marLeft w:val="0"/>
      <w:marRight w:val="0"/>
      <w:marTop w:val="0"/>
      <w:marBottom w:val="0"/>
      <w:divBdr>
        <w:top w:val="none" w:sz="0" w:space="0" w:color="auto"/>
        <w:left w:val="none" w:sz="0" w:space="0" w:color="auto"/>
        <w:bottom w:val="none" w:sz="0" w:space="0" w:color="auto"/>
        <w:right w:val="none" w:sz="0" w:space="0" w:color="auto"/>
      </w:divBdr>
    </w:div>
    <w:div w:id="909462086">
      <w:bodyDiv w:val="1"/>
      <w:marLeft w:val="0"/>
      <w:marRight w:val="0"/>
      <w:marTop w:val="0"/>
      <w:marBottom w:val="0"/>
      <w:divBdr>
        <w:top w:val="none" w:sz="0" w:space="0" w:color="auto"/>
        <w:left w:val="none" w:sz="0" w:space="0" w:color="auto"/>
        <w:bottom w:val="none" w:sz="0" w:space="0" w:color="auto"/>
        <w:right w:val="none" w:sz="0" w:space="0" w:color="auto"/>
      </w:divBdr>
    </w:div>
    <w:div w:id="912356539">
      <w:bodyDiv w:val="1"/>
      <w:marLeft w:val="0"/>
      <w:marRight w:val="0"/>
      <w:marTop w:val="0"/>
      <w:marBottom w:val="0"/>
      <w:divBdr>
        <w:top w:val="none" w:sz="0" w:space="0" w:color="auto"/>
        <w:left w:val="none" w:sz="0" w:space="0" w:color="auto"/>
        <w:bottom w:val="none" w:sz="0" w:space="0" w:color="auto"/>
        <w:right w:val="none" w:sz="0" w:space="0" w:color="auto"/>
      </w:divBdr>
    </w:div>
    <w:div w:id="921138020">
      <w:bodyDiv w:val="1"/>
      <w:marLeft w:val="0"/>
      <w:marRight w:val="0"/>
      <w:marTop w:val="0"/>
      <w:marBottom w:val="0"/>
      <w:divBdr>
        <w:top w:val="none" w:sz="0" w:space="0" w:color="auto"/>
        <w:left w:val="none" w:sz="0" w:space="0" w:color="auto"/>
        <w:bottom w:val="none" w:sz="0" w:space="0" w:color="auto"/>
        <w:right w:val="none" w:sz="0" w:space="0" w:color="auto"/>
      </w:divBdr>
    </w:div>
    <w:div w:id="975183682">
      <w:bodyDiv w:val="1"/>
      <w:marLeft w:val="0"/>
      <w:marRight w:val="0"/>
      <w:marTop w:val="0"/>
      <w:marBottom w:val="0"/>
      <w:divBdr>
        <w:top w:val="none" w:sz="0" w:space="0" w:color="auto"/>
        <w:left w:val="none" w:sz="0" w:space="0" w:color="auto"/>
        <w:bottom w:val="none" w:sz="0" w:space="0" w:color="auto"/>
        <w:right w:val="none" w:sz="0" w:space="0" w:color="auto"/>
      </w:divBdr>
    </w:div>
    <w:div w:id="984547656">
      <w:bodyDiv w:val="1"/>
      <w:marLeft w:val="0"/>
      <w:marRight w:val="0"/>
      <w:marTop w:val="0"/>
      <w:marBottom w:val="0"/>
      <w:divBdr>
        <w:top w:val="none" w:sz="0" w:space="0" w:color="auto"/>
        <w:left w:val="none" w:sz="0" w:space="0" w:color="auto"/>
        <w:bottom w:val="none" w:sz="0" w:space="0" w:color="auto"/>
        <w:right w:val="none" w:sz="0" w:space="0" w:color="auto"/>
      </w:divBdr>
    </w:div>
    <w:div w:id="985471897">
      <w:bodyDiv w:val="1"/>
      <w:marLeft w:val="0"/>
      <w:marRight w:val="0"/>
      <w:marTop w:val="0"/>
      <w:marBottom w:val="0"/>
      <w:divBdr>
        <w:top w:val="none" w:sz="0" w:space="0" w:color="auto"/>
        <w:left w:val="none" w:sz="0" w:space="0" w:color="auto"/>
        <w:bottom w:val="none" w:sz="0" w:space="0" w:color="auto"/>
        <w:right w:val="none" w:sz="0" w:space="0" w:color="auto"/>
      </w:divBdr>
    </w:div>
    <w:div w:id="988510117">
      <w:bodyDiv w:val="1"/>
      <w:marLeft w:val="0"/>
      <w:marRight w:val="0"/>
      <w:marTop w:val="0"/>
      <w:marBottom w:val="0"/>
      <w:divBdr>
        <w:top w:val="none" w:sz="0" w:space="0" w:color="auto"/>
        <w:left w:val="none" w:sz="0" w:space="0" w:color="auto"/>
        <w:bottom w:val="none" w:sz="0" w:space="0" w:color="auto"/>
        <w:right w:val="none" w:sz="0" w:space="0" w:color="auto"/>
      </w:divBdr>
      <w:divsChild>
        <w:div w:id="451247069">
          <w:marLeft w:val="0"/>
          <w:marRight w:val="0"/>
          <w:marTop w:val="0"/>
          <w:marBottom w:val="0"/>
          <w:divBdr>
            <w:top w:val="none" w:sz="0" w:space="0" w:color="auto"/>
            <w:left w:val="none" w:sz="0" w:space="0" w:color="auto"/>
            <w:bottom w:val="none" w:sz="0" w:space="0" w:color="auto"/>
            <w:right w:val="none" w:sz="0" w:space="0" w:color="auto"/>
          </w:divBdr>
          <w:divsChild>
            <w:div w:id="1679429530">
              <w:marLeft w:val="0"/>
              <w:marRight w:val="0"/>
              <w:marTop w:val="0"/>
              <w:marBottom w:val="0"/>
              <w:divBdr>
                <w:top w:val="none" w:sz="0" w:space="0" w:color="auto"/>
                <w:left w:val="none" w:sz="0" w:space="0" w:color="auto"/>
                <w:bottom w:val="none" w:sz="0" w:space="0" w:color="auto"/>
                <w:right w:val="none" w:sz="0" w:space="0" w:color="auto"/>
              </w:divBdr>
              <w:divsChild>
                <w:div w:id="20822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59137">
          <w:marLeft w:val="0"/>
          <w:marRight w:val="0"/>
          <w:marTop w:val="0"/>
          <w:marBottom w:val="0"/>
          <w:divBdr>
            <w:top w:val="none" w:sz="0" w:space="0" w:color="auto"/>
            <w:left w:val="none" w:sz="0" w:space="0" w:color="auto"/>
            <w:bottom w:val="none" w:sz="0" w:space="0" w:color="auto"/>
            <w:right w:val="none" w:sz="0" w:space="0" w:color="auto"/>
          </w:divBdr>
          <w:divsChild>
            <w:div w:id="1182669107">
              <w:marLeft w:val="0"/>
              <w:marRight w:val="0"/>
              <w:marTop w:val="0"/>
              <w:marBottom w:val="0"/>
              <w:divBdr>
                <w:top w:val="none" w:sz="0" w:space="0" w:color="auto"/>
                <w:left w:val="none" w:sz="0" w:space="0" w:color="auto"/>
                <w:bottom w:val="none" w:sz="0" w:space="0" w:color="auto"/>
                <w:right w:val="none" w:sz="0" w:space="0" w:color="auto"/>
              </w:divBdr>
              <w:divsChild>
                <w:div w:id="18402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23845">
          <w:marLeft w:val="0"/>
          <w:marRight w:val="0"/>
          <w:marTop w:val="0"/>
          <w:marBottom w:val="0"/>
          <w:divBdr>
            <w:top w:val="none" w:sz="0" w:space="0" w:color="auto"/>
            <w:left w:val="none" w:sz="0" w:space="0" w:color="auto"/>
            <w:bottom w:val="none" w:sz="0" w:space="0" w:color="auto"/>
            <w:right w:val="none" w:sz="0" w:space="0" w:color="auto"/>
          </w:divBdr>
          <w:divsChild>
            <w:div w:id="32926357">
              <w:marLeft w:val="0"/>
              <w:marRight w:val="0"/>
              <w:marTop w:val="0"/>
              <w:marBottom w:val="0"/>
              <w:divBdr>
                <w:top w:val="none" w:sz="0" w:space="0" w:color="auto"/>
                <w:left w:val="none" w:sz="0" w:space="0" w:color="auto"/>
                <w:bottom w:val="none" w:sz="0" w:space="0" w:color="auto"/>
                <w:right w:val="none" w:sz="0" w:space="0" w:color="auto"/>
              </w:divBdr>
              <w:divsChild>
                <w:div w:id="199217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65860">
      <w:bodyDiv w:val="1"/>
      <w:marLeft w:val="0"/>
      <w:marRight w:val="0"/>
      <w:marTop w:val="0"/>
      <w:marBottom w:val="0"/>
      <w:divBdr>
        <w:top w:val="none" w:sz="0" w:space="0" w:color="auto"/>
        <w:left w:val="none" w:sz="0" w:space="0" w:color="auto"/>
        <w:bottom w:val="none" w:sz="0" w:space="0" w:color="auto"/>
        <w:right w:val="none" w:sz="0" w:space="0" w:color="auto"/>
      </w:divBdr>
    </w:div>
    <w:div w:id="1013143714">
      <w:bodyDiv w:val="1"/>
      <w:marLeft w:val="0"/>
      <w:marRight w:val="0"/>
      <w:marTop w:val="0"/>
      <w:marBottom w:val="0"/>
      <w:divBdr>
        <w:top w:val="none" w:sz="0" w:space="0" w:color="auto"/>
        <w:left w:val="none" w:sz="0" w:space="0" w:color="auto"/>
        <w:bottom w:val="none" w:sz="0" w:space="0" w:color="auto"/>
        <w:right w:val="none" w:sz="0" w:space="0" w:color="auto"/>
      </w:divBdr>
    </w:div>
    <w:div w:id="1018387665">
      <w:bodyDiv w:val="1"/>
      <w:marLeft w:val="0"/>
      <w:marRight w:val="0"/>
      <w:marTop w:val="0"/>
      <w:marBottom w:val="0"/>
      <w:divBdr>
        <w:top w:val="none" w:sz="0" w:space="0" w:color="auto"/>
        <w:left w:val="none" w:sz="0" w:space="0" w:color="auto"/>
        <w:bottom w:val="none" w:sz="0" w:space="0" w:color="auto"/>
        <w:right w:val="none" w:sz="0" w:space="0" w:color="auto"/>
      </w:divBdr>
    </w:div>
    <w:div w:id="1021661219">
      <w:bodyDiv w:val="1"/>
      <w:marLeft w:val="0"/>
      <w:marRight w:val="0"/>
      <w:marTop w:val="0"/>
      <w:marBottom w:val="0"/>
      <w:divBdr>
        <w:top w:val="none" w:sz="0" w:space="0" w:color="auto"/>
        <w:left w:val="none" w:sz="0" w:space="0" w:color="auto"/>
        <w:bottom w:val="none" w:sz="0" w:space="0" w:color="auto"/>
        <w:right w:val="none" w:sz="0" w:space="0" w:color="auto"/>
      </w:divBdr>
    </w:div>
    <w:div w:id="1026447723">
      <w:bodyDiv w:val="1"/>
      <w:marLeft w:val="0"/>
      <w:marRight w:val="0"/>
      <w:marTop w:val="0"/>
      <w:marBottom w:val="0"/>
      <w:divBdr>
        <w:top w:val="none" w:sz="0" w:space="0" w:color="auto"/>
        <w:left w:val="none" w:sz="0" w:space="0" w:color="auto"/>
        <w:bottom w:val="none" w:sz="0" w:space="0" w:color="auto"/>
        <w:right w:val="none" w:sz="0" w:space="0" w:color="auto"/>
      </w:divBdr>
    </w:div>
    <w:div w:id="1029840108">
      <w:bodyDiv w:val="1"/>
      <w:marLeft w:val="0"/>
      <w:marRight w:val="0"/>
      <w:marTop w:val="0"/>
      <w:marBottom w:val="0"/>
      <w:divBdr>
        <w:top w:val="none" w:sz="0" w:space="0" w:color="auto"/>
        <w:left w:val="none" w:sz="0" w:space="0" w:color="auto"/>
        <w:bottom w:val="none" w:sz="0" w:space="0" w:color="auto"/>
        <w:right w:val="none" w:sz="0" w:space="0" w:color="auto"/>
      </w:divBdr>
    </w:div>
    <w:div w:id="1032223074">
      <w:bodyDiv w:val="1"/>
      <w:marLeft w:val="0"/>
      <w:marRight w:val="0"/>
      <w:marTop w:val="0"/>
      <w:marBottom w:val="0"/>
      <w:divBdr>
        <w:top w:val="none" w:sz="0" w:space="0" w:color="auto"/>
        <w:left w:val="none" w:sz="0" w:space="0" w:color="auto"/>
        <w:bottom w:val="none" w:sz="0" w:space="0" w:color="auto"/>
        <w:right w:val="none" w:sz="0" w:space="0" w:color="auto"/>
      </w:divBdr>
    </w:div>
    <w:div w:id="1042748491">
      <w:bodyDiv w:val="1"/>
      <w:marLeft w:val="0"/>
      <w:marRight w:val="0"/>
      <w:marTop w:val="0"/>
      <w:marBottom w:val="0"/>
      <w:divBdr>
        <w:top w:val="none" w:sz="0" w:space="0" w:color="auto"/>
        <w:left w:val="none" w:sz="0" w:space="0" w:color="auto"/>
        <w:bottom w:val="none" w:sz="0" w:space="0" w:color="auto"/>
        <w:right w:val="none" w:sz="0" w:space="0" w:color="auto"/>
      </w:divBdr>
    </w:div>
    <w:div w:id="1054697374">
      <w:bodyDiv w:val="1"/>
      <w:marLeft w:val="0"/>
      <w:marRight w:val="0"/>
      <w:marTop w:val="0"/>
      <w:marBottom w:val="0"/>
      <w:divBdr>
        <w:top w:val="none" w:sz="0" w:space="0" w:color="auto"/>
        <w:left w:val="none" w:sz="0" w:space="0" w:color="auto"/>
        <w:bottom w:val="none" w:sz="0" w:space="0" w:color="auto"/>
        <w:right w:val="none" w:sz="0" w:space="0" w:color="auto"/>
      </w:divBdr>
    </w:div>
    <w:div w:id="1059402216">
      <w:bodyDiv w:val="1"/>
      <w:marLeft w:val="0"/>
      <w:marRight w:val="0"/>
      <w:marTop w:val="0"/>
      <w:marBottom w:val="0"/>
      <w:divBdr>
        <w:top w:val="none" w:sz="0" w:space="0" w:color="auto"/>
        <w:left w:val="none" w:sz="0" w:space="0" w:color="auto"/>
        <w:bottom w:val="none" w:sz="0" w:space="0" w:color="auto"/>
        <w:right w:val="none" w:sz="0" w:space="0" w:color="auto"/>
      </w:divBdr>
    </w:div>
    <w:div w:id="1062757120">
      <w:bodyDiv w:val="1"/>
      <w:marLeft w:val="0"/>
      <w:marRight w:val="0"/>
      <w:marTop w:val="0"/>
      <w:marBottom w:val="0"/>
      <w:divBdr>
        <w:top w:val="none" w:sz="0" w:space="0" w:color="auto"/>
        <w:left w:val="none" w:sz="0" w:space="0" w:color="auto"/>
        <w:bottom w:val="none" w:sz="0" w:space="0" w:color="auto"/>
        <w:right w:val="none" w:sz="0" w:space="0" w:color="auto"/>
      </w:divBdr>
    </w:div>
    <w:div w:id="1073242052">
      <w:bodyDiv w:val="1"/>
      <w:marLeft w:val="0"/>
      <w:marRight w:val="0"/>
      <w:marTop w:val="0"/>
      <w:marBottom w:val="0"/>
      <w:divBdr>
        <w:top w:val="none" w:sz="0" w:space="0" w:color="auto"/>
        <w:left w:val="none" w:sz="0" w:space="0" w:color="auto"/>
        <w:bottom w:val="none" w:sz="0" w:space="0" w:color="auto"/>
        <w:right w:val="none" w:sz="0" w:space="0" w:color="auto"/>
      </w:divBdr>
    </w:div>
    <w:div w:id="1103185743">
      <w:bodyDiv w:val="1"/>
      <w:marLeft w:val="0"/>
      <w:marRight w:val="0"/>
      <w:marTop w:val="0"/>
      <w:marBottom w:val="0"/>
      <w:divBdr>
        <w:top w:val="none" w:sz="0" w:space="0" w:color="auto"/>
        <w:left w:val="none" w:sz="0" w:space="0" w:color="auto"/>
        <w:bottom w:val="none" w:sz="0" w:space="0" w:color="auto"/>
        <w:right w:val="none" w:sz="0" w:space="0" w:color="auto"/>
      </w:divBdr>
    </w:div>
    <w:div w:id="1103301684">
      <w:bodyDiv w:val="1"/>
      <w:marLeft w:val="0"/>
      <w:marRight w:val="0"/>
      <w:marTop w:val="0"/>
      <w:marBottom w:val="0"/>
      <w:divBdr>
        <w:top w:val="none" w:sz="0" w:space="0" w:color="auto"/>
        <w:left w:val="none" w:sz="0" w:space="0" w:color="auto"/>
        <w:bottom w:val="none" w:sz="0" w:space="0" w:color="auto"/>
        <w:right w:val="none" w:sz="0" w:space="0" w:color="auto"/>
      </w:divBdr>
      <w:divsChild>
        <w:div w:id="6373168">
          <w:marLeft w:val="547"/>
          <w:marRight w:val="0"/>
          <w:marTop w:val="0"/>
          <w:marBottom w:val="0"/>
          <w:divBdr>
            <w:top w:val="none" w:sz="0" w:space="0" w:color="auto"/>
            <w:left w:val="none" w:sz="0" w:space="0" w:color="auto"/>
            <w:bottom w:val="none" w:sz="0" w:space="0" w:color="auto"/>
            <w:right w:val="none" w:sz="0" w:space="0" w:color="auto"/>
          </w:divBdr>
        </w:div>
      </w:divsChild>
    </w:div>
    <w:div w:id="1121731692">
      <w:bodyDiv w:val="1"/>
      <w:marLeft w:val="0"/>
      <w:marRight w:val="0"/>
      <w:marTop w:val="0"/>
      <w:marBottom w:val="0"/>
      <w:divBdr>
        <w:top w:val="none" w:sz="0" w:space="0" w:color="auto"/>
        <w:left w:val="none" w:sz="0" w:space="0" w:color="auto"/>
        <w:bottom w:val="none" w:sz="0" w:space="0" w:color="auto"/>
        <w:right w:val="none" w:sz="0" w:space="0" w:color="auto"/>
      </w:divBdr>
    </w:div>
    <w:div w:id="1141537165">
      <w:bodyDiv w:val="1"/>
      <w:marLeft w:val="0"/>
      <w:marRight w:val="0"/>
      <w:marTop w:val="0"/>
      <w:marBottom w:val="0"/>
      <w:divBdr>
        <w:top w:val="none" w:sz="0" w:space="0" w:color="auto"/>
        <w:left w:val="none" w:sz="0" w:space="0" w:color="auto"/>
        <w:bottom w:val="none" w:sz="0" w:space="0" w:color="auto"/>
        <w:right w:val="none" w:sz="0" w:space="0" w:color="auto"/>
      </w:divBdr>
    </w:div>
    <w:div w:id="1156918211">
      <w:bodyDiv w:val="1"/>
      <w:marLeft w:val="0"/>
      <w:marRight w:val="0"/>
      <w:marTop w:val="0"/>
      <w:marBottom w:val="0"/>
      <w:divBdr>
        <w:top w:val="none" w:sz="0" w:space="0" w:color="auto"/>
        <w:left w:val="none" w:sz="0" w:space="0" w:color="auto"/>
        <w:bottom w:val="none" w:sz="0" w:space="0" w:color="auto"/>
        <w:right w:val="none" w:sz="0" w:space="0" w:color="auto"/>
      </w:divBdr>
    </w:div>
    <w:div w:id="1168405206">
      <w:bodyDiv w:val="1"/>
      <w:marLeft w:val="0"/>
      <w:marRight w:val="0"/>
      <w:marTop w:val="0"/>
      <w:marBottom w:val="0"/>
      <w:divBdr>
        <w:top w:val="none" w:sz="0" w:space="0" w:color="auto"/>
        <w:left w:val="none" w:sz="0" w:space="0" w:color="auto"/>
        <w:bottom w:val="none" w:sz="0" w:space="0" w:color="auto"/>
        <w:right w:val="none" w:sz="0" w:space="0" w:color="auto"/>
      </w:divBdr>
    </w:div>
    <w:div w:id="1188517983">
      <w:bodyDiv w:val="1"/>
      <w:marLeft w:val="0"/>
      <w:marRight w:val="0"/>
      <w:marTop w:val="0"/>
      <w:marBottom w:val="0"/>
      <w:divBdr>
        <w:top w:val="none" w:sz="0" w:space="0" w:color="auto"/>
        <w:left w:val="none" w:sz="0" w:space="0" w:color="auto"/>
        <w:bottom w:val="none" w:sz="0" w:space="0" w:color="auto"/>
        <w:right w:val="none" w:sz="0" w:space="0" w:color="auto"/>
      </w:divBdr>
    </w:div>
    <w:div w:id="1189948587">
      <w:bodyDiv w:val="1"/>
      <w:marLeft w:val="0"/>
      <w:marRight w:val="0"/>
      <w:marTop w:val="0"/>
      <w:marBottom w:val="0"/>
      <w:divBdr>
        <w:top w:val="none" w:sz="0" w:space="0" w:color="auto"/>
        <w:left w:val="none" w:sz="0" w:space="0" w:color="auto"/>
        <w:bottom w:val="none" w:sz="0" w:space="0" w:color="auto"/>
        <w:right w:val="none" w:sz="0" w:space="0" w:color="auto"/>
      </w:divBdr>
    </w:div>
    <w:div w:id="1196505521">
      <w:bodyDiv w:val="1"/>
      <w:marLeft w:val="0"/>
      <w:marRight w:val="0"/>
      <w:marTop w:val="0"/>
      <w:marBottom w:val="0"/>
      <w:divBdr>
        <w:top w:val="none" w:sz="0" w:space="0" w:color="auto"/>
        <w:left w:val="none" w:sz="0" w:space="0" w:color="auto"/>
        <w:bottom w:val="none" w:sz="0" w:space="0" w:color="auto"/>
        <w:right w:val="none" w:sz="0" w:space="0" w:color="auto"/>
      </w:divBdr>
    </w:div>
    <w:div w:id="1197281592">
      <w:bodyDiv w:val="1"/>
      <w:marLeft w:val="0"/>
      <w:marRight w:val="0"/>
      <w:marTop w:val="0"/>
      <w:marBottom w:val="0"/>
      <w:divBdr>
        <w:top w:val="none" w:sz="0" w:space="0" w:color="auto"/>
        <w:left w:val="none" w:sz="0" w:space="0" w:color="auto"/>
        <w:bottom w:val="none" w:sz="0" w:space="0" w:color="auto"/>
        <w:right w:val="none" w:sz="0" w:space="0" w:color="auto"/>
      </w:divBdr>
    </w:div>
    <w:div w:id="1198471032">
      <w:bodyDiv w:val="1"/>
      <w:marLeft w:val="0"/>
      <w:marRight w:val="0"/>
      <w:marTop w:val="0"/>
      <w:marBottom w:val="0"/>
      <w:divBdr>
        <w:top w:val="none" w:sz="0" w:space="0" w:color="auto"/>
        <w:left w:val="none" w:sz="0" w:space="0" w:color="auto"/>
        <w:bottom w:val="none" w:sz="0" w:space="0" w:color="auto"/>
        <w:right w:val="none" w:sz="0" w:space="0" w:color="auto"/>
      </w:divBdr>
    </w:div>
    <w:div w:id="1198735404">
      <w:bodyDiv w:val="1"/>
      <w:marLeft w:val="0"/>
      <w:marRight w:val="0"/>
      <w:marTop w:val="0"/>
      <w:marBottom w:val="0"/>
      <w:divBdr>
        <w:top w:val="none" w:sz="0" w:space="0" w:color="auto"/>
        <w:left w:val="none" w:sz="0" w:space="0" w:color="auto"/>
        <w:bottom w:val="none" w:sz="0" w:space="0" w:color="auto"/>
        <w:right w:val="none" w:sz="0" w:space="0" w:color="auto"/>
      </w:divBdr>
    </w:div>
    <w:div w:id="1212159096">
      <w:bodyDiv w:val="1"/>
      <w:marLeft w:val="0"/>
      <w:marRight w:val="0"/>
      <w:marTop w:val="0"/>
      <w:marBottom w:val="0"/>
      <w:divBdr>
        <w:top w:val="none" w:sz="0" w:space="0" w:color="auto"/>
        <w:left w:val="none" w:sz="0" w:space="0" w:color="auto"/>
        <w:bottom w:val="none" w:sz="0" w:space="0" w:color="auto"/>
        <w:right w:val="none" w:sz="0" w:space="0" w:color="auto"/>
      </w:divBdr>
    </w:div>
    <w:div w:id="1221863434">
      <w:bodyDiv w:val="1"/>
      <w:marLeft w:val="0"/>
      <w:marRight w:val="0"/>
      <w:marTop w:val="0"/>
      <w:marBottom w:val="0"/>
      <w:divBdr>
        <w:top w:val="none" w:sz="0" w:space="0" w:color="auto"/>
        <w:left w:val="none" w:sz="0" w:space="0" w:color="auto"/>
        <w:bottom w:val="none" w:sz="0" w:space="0" w:color="auto"/>
        <w:right w:val="none" w:sz="0" w:space="0" w:color="auto"/>
      </w:divBdr>
    </w:div>
    <w:div w:id="1240017911">
      <w:bodyDiv w:val="1"/>
      <w:marLeft w:val="0"/>
      <w:marRight w:val="0"/>
      <w:marTop w:val="0"/>
      <w:marBottom w:val="0"/>
      <w:divBdr>
        <w:top w:val="none" w:sz="0" w:space="0" w:color="auto"/>
        <w:left w:val="none" w:sz="0" w:space="0" w:color="auto"/>
        <w:bottom w:val="none" w:sz="0" w:space="0" w:color="auto"/>
        <w:right w:val="none" w:sz="0" w:space="0" w:color="auto"/>
      </w:divBdr>
    </w:div>
    <w:div w:id="1244801776">
      <w:bodyDiv w:val="1"/>
      <w:marLeft w:val="0"/>
      <w:marRight w:val="0"/>
      <w:marTop w:val="0"/>
      <w:marBottom w:val="0"/>
      <w:divBdr>
        <w:top w:val="none" w:sz="0" w:space="0" w:color="auto"/>
        <w:left w:val="none" w:sz="0" w:space="0" w:color="auto"/>
        <w:bottom w:val="none" w:sz="0" w:space="0" w:color="auto"/>
        <w:right w:val="none" w:sz="0" w:space="0" w:color="auto"/>
      </w:divBdr>
    </w:div>
    <w:div w:id="1251353796">
      <w:bodyDiv w:val="1"/>
      <w:marLeft w:val="0"/>
      <w:marRight w:val="0"/>
      <w:marTop w:val="0"/>
      <w:marBottom w:val="0"/>
      <w:divBdr>
        <w:top w:val="none" w:sz="0" w:space="0" w:color="auto"/>
        <w:left w:val="none" w:sz="0" w:space="0" w:color="auto"/>
        <w:bottom w:val="none" w:sz="0" w:space="0" w:color="auto"/>
        <w:right w:val="none" w:sz="0" w:space="0" w:color="auto"/>
      </w:divBdr>
    </w:div>
    <w:div w:id="1252935721">
      <w:bodyDiv w:val="1"/>
      <w:marLeft w:val="0"/>
      <w:marRight w:val="0"/>
      <w:marTop w:val="0"/>
      <w:marBottom w:val="0"/>
      <w:divBdr>
        <w:top w:val="none" w:sz="0" w:space="0" w:color="auto"/>
        <w:left w:val="none" w:sz="0" w:space="0" w:color="auto"/>
        <w:bottom w:val="none" w:sz="0" w:space="0" w:color="auto"/>
        <w:right w:val="none" w:sz="0" w:space="0" w:color="auto"/>
      </w:divBdr>
    </w:div>
    <w:div w:id="1255823498">
      <w:bodyDiv w:val="1"/>
      <w:marLeft w:val="0"/>
      <w:marRight w:val="0"/>
      <w:marTop w:val="0"/>
      <w:marBottom w:val="0"/>
      <w:divBdr>
        <w:top w:val="none" w:sz="0" w:space="0" w:color="auto"/>
        <w:left w:val="none" w:sz="0" w:space="0" w:color="auto"/>
        <w:bottom w:val="none" w:sz="0" w:space="0" w:color="auto"/>
        <w:right w:val="none" w:sz="0" w:space="0" w:color="auto"/>
      </w:divBdr>
    </w:div>
    <w:div w:id="1280449183">
      <w:bodyDiv w:val="1"/>
      <w:marLeft w:val="0"/>
      <w:marRight w:val="0"/>
      <w:marTop w:val="0"/>
      <w:marBottom w:val="0"/>
      <w:divBdr>
        <w:top w:val="none" w:sz="0" w:space="0" w:color="auto"/>
        <w:left w:val="none" w:sz="0" w:space="0" w:color="auto"/>
        <w:bottom w:val="none" w:sz="0" w:space="0" w:color="auto"/>
        <w:right w:val="none" w:sz="0" w:space="0" w:color="auto"/>
      </w:divBdr>
    </w:div>
    <w:div w:id="1298947478">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310162880">
      <w:bodyDiv w:val="1"/>
      <w:marLeft w:val="0"/>
      <w:marRight w:val="0"/>
      <w:marTop w:val="0"/>
      <w:marBottom w:val="0"/>
      <w:divBdr>
        <w:top w:val="none" w:sz="0" w:space="0" w:color="auto"/>
        <w:left w:val="none" w:sz="0" w:space="0" w:color="auto"/>
        <w:bottom w:val="none" w:sz="0" w:space="0" w:color="auto"/>
        <w:right w:val="none" w:sz="0" w:space="0" w:color="auto"/>
      </w:divBdr>
    </w:div>
    <w:div w:id="1314992919">
      <w:bodyDiv w:val="1"/>
      <w:marLeft w:val="0"/>
      <w:marRight w:val="0"/>
      <w:marTop w:val="0"/>
      <w:marBottom w:val="0"/>
      <w:divBdr>
        <w:top w:val="none" w:sz="0" w:space="0" w:color="auto"/>
        <w:left w:val="none" w:sz="0" w:space="0" w:color="auto"/>
        <w:bottom w:val="none" w:sz="0" w:space="0" w:color="auto"/>
        <w:right w:val="none" w:sz="0" w:space="0" w:color="auto"/>
      </w:divBdr>
    </w:div>
    <w:div w:id="1315522101">
      <w:bodyDiv w:val="1"/>
      <w:marLeft w:val="0"/>
      <w:marRight w:val="0"/>
      <w:marTop w:val="0"/>
      <w:marBottom w:val="0"/>
      <w:divBdr>
        <w:top w:val="none" w:sz="0" w:space="0" w:color="auto"/>
        <w:left w:val="none" w:sz="0" w:space="0" w:color="auto"/>
        <w:bottom w:val="none" w:sz="0" w:space="0" w:color="auto"/>
        <w:right w:val="none" w:sz="0" w:space="0" w:color="auto"/>
      </w:divBdr>
    </w:div>
    <w:div w:id="1318261954">
      <w:bodyDiv w:val="1"/>
      <w:marLeft w:val="0"/>
      <w:marRight w:val="0"/>
      <w:marTop w:val="0"/>
      <w:marBottom w:val="0"/>
      <w:divBdr>
        <w:top w:val="none" w:sz="0" w:space="0" w:color="auto"/>
        <w:left w:val="none" w:sz="0" w:space="0" w:color="auto"/>
        <w:bottom w:val="none" w:sz="0" w:space="0" w:color="auto"/>
        <w:right w:val="none" w:sz="0" w:space="0" w:color="auto"/>
      </w:divBdr>
    </w:div>
    <w:div w:id="1323895699">
      <w:bodyDiv w:val="1"/>
      <w:marLeft w:val="0"/>
      <w:marRight w:val="0"/>
      <w:marTop w:val="0"/>
      <w:marBottom w:val="0"/>
      <w:divBdr>
        <w:top w:val="none" w:sz="0" w:space="0" w:color="auto"/>
        <w:left w:val="none" w:sz="0" w:space="0" w:color="auto"/>
        <w:bottom w:val="none" w:sz="0" w:space="0" w:color="auto"/>
        <w:right w:val="none" w:sz="0" w:space="0" w:color="auto"/>
      </w:divBdr>
    </w:div>
    <w:div w:id="1332761291">
      <w:bodyDiv w:val="1"/>
      <w:marLeft w:val="0"/>
      <w:marRight w:val="0"/>
      <w:marTop w:val="0"/>
      <w:marBottom w:val="0"/>
      <w:divBdr>
        <w:top w:val="none" w:sz="0" w:space="0" w:color="auto"/>
        <w:left w:val="none" w:sz="0" w:space="0" w:color="auto"/>
        <w:bottom w:val="none" w:sz="0" w:space="0" w:color="auto"/>
        <w:right w:val="none" w:sz="0" w:space="0" w:color="auto"/>
      </w:divBdr>
    </w:div>
    <w:div w:id="1345942085">
      <w:bodyDiv w:val="1"/>
      <w:marLeft w:val="0"/>
      <w:marRight w:val="0"/>
      <w:marTop w:val="0"/>
      <w:marBottom w:val="0"/>
      <w:divBdr>
        <w:top w:val="none" w:sz="0" w:space="0" w:color="auto"/>
        <w:left w:val="none" w:sz="0" w:space="0" w:color="auto"/>
        <w:bottom w:val="none" w:sz="0" w:space="0" w:color="auto"/>
        <w:right w:val="none" w:sz="0" w:space="0" w:color="auto"/>
      </w:divBdr>
    </w:div>
    <w:div w:id="1358509689">
      <w:bodyDiv w:val="1"/>
      <w:marLeft w:val="0"/>
      <w:marRight w:val="0"/>
      <w:marTop w:val="0"/>
      <w:marBottom w:val="0"/>
      <w:divBdr>
        <w:top w:val="none" w:sz="0" w:space="0" w:color="auto"/>
        <w:left w:val="none" w:sz="0" w:space="0" w:color="auto"/>
        <w:bottom w:val="none" w:sz="0" w:space="0" w:color="auto"/>
        <w:right w:val="none" w:sz="0" w:space="0" w:color="auto"/>
      </w:divBdr>
    </w:div>
    <w:div w:id="1380980133">
      <w:bodyDiv w:val="1"/>
      <w:marLeft w:val="0"/>
      <w:marRight w:val="0"/>
      <w:marTop w:val="0"/>
      <w:marBottom w:val="0"/>
      <w:divBdr>
        <w:top w:val="none" w:sz="0" w:space="0" w:color="auto"/>
        <w:left w:val="none" w:sz="0" w:space="0" w:color="auto"/>
        <w:bottom w:val="none" w:sz="0" w:space="0" w:color="auto"/>
        <w:right w:val="none" w:sz="0" w:space="0" w:color="auto"/>
      </w:divBdr>
    </w:div>
    <w:div w:id="1387022427">
      <w:bodyDiv w:val="1"/>
      <w:marLeft w:val="0"/>
      <w:marRight w:val="0"/>
      <w:marTop w:val="0"/>
      <w:marBottom w:val="0"/>
      <w:divBdr>
        <w:top w:val="none" w:sz="0" w:space="0" w:color="auto"/>
        <w:left w:val="none" w:sz="0" w:space="0" w:color="auto"/>
        <w:bottom w:val="none" w:sz="0" w:space="0" w:color="auto"/>
        <w:right w:val="none" w:sz="0" w:space="0" w:color="auto"/>
      </w:divBdr>
    </w:div>
    <w:div w:id="1429423342">
      <w:bodyDiv w:val="1"/>
      <w:marLeft w:val="0"/>
      <w:marRight w:val="0"/>
      <w:marTop w:val="0"/>
      <w:marBottom w:val="0"/>
      <w:divBdr>
        <w:top w:val="none" w:sz="0" w:space="0" w:color="auto"/>
        <w:left w:val="none" w:sz="0" w:space="0" w:color="auto"/>
        <w:bottom w:val="none" w:sz="0" w:space="0" w:color="auto"/>
        <w:right w:val="none" w:sz="0" w:space="0" w:color="auto"/>
      </w:divBdr>
    </w:div>
    <w:div w:id="1447892620">
      <w:bodyDiv w:val="1"/>
      <w:marLeft w:val="0"/>
      <w:marRight w:val="0"/>
      <w:marTop w:val="0"/>
      <w:marBottom w:val="0"/>
      <w:divBdr>
        <w:top w:val="none" w:sz="0" w:space="0" w:color="auto"/>
        <w:left w:val="none" w:sz="0" w:space="0" w:color="auto"/>
        <w:bottom w:val="none" w:sz="0" w:space="0" w:color="auto"/>
        <w:right w:val="none" w:sz="0" w:space="0" w:color="auto"/>
      </w:divBdr>
    </w:div>
    <w:div w:id="1448507913">
      <w:bodyDiv w:val="1"/>
      <w:marLeft w:val="0"/>
      <w:marRight w:val="0"/>
      <w:marTop w:val="0"/>
      <w:marBottom w:val="0"/>
      <w:divBdr>
        <w:top w:val="none" w:sz="0" w:space="0" w:color="auto"/>
        <w:left w:val="none" w:sz="0" w:space="0" w:color="auto"/>
        <w:bottom w:val="none" w:sz="0" w:space="0" w:color="auto"/>
        <w:right w:val="none" w:sz="0" w:space="0" w:color="auto"/>
      </w:divBdr>
    </w:div>
    <w:div w:id="1450466424">
      <w:bodyDiv w:val="1"/>
      <w:marLeft w:val="0"/>
      <w:marRight w:val="0"/>
      <w:marTop w:val="0"/>
      <w:marBottom w:val="0"/>
      <w:divBdr>
        <w:top w:val="none" w:sz="0" w:space="0" w:color="auto"/>
        <w:left w:val="none" w:sz="0" w:space="0" w:color="auto"/>
        <w:bottom w:val="none" w:sz="0" w:space="0" w:color="auto"/>
        <w:right w:val="none" w:sz="0" w:space="0" w:color="auto"/>
      </w:divBdr>
    </w:div>
    <w:div w:id="1450540838">
      <w:bodyDiv w:val="1"/>
      <w:marLeft w:val="0"/>
      <w:marRight w:val="0"/>
      <w:marTop w:val="0"/>
      <w:marBottom w:val="0"/>
      <w:divBdr>
        <w:top w:val="none" w:sz="0" w:space="0" w:color="auto"/>
        <w:left w:val="none" w:sz="0" w:space="0" w:color="auto"/>
        <w:bottom w:val="none" w:sz="0" w:space="0" w:color="auto"/>
        <w:right w:val="none" w:sz="0" w:space="0" w:color="auto"/>
      </w:divBdr>
    </w:div>
    <w:div w:id="1459034729">
      <w:bodyDiv w:val="1"/>
      <w:marLeft w:val="0"/>
      <w:marRight w:val="0"/>
      <w:marTop w:val="0"/>
      <w:marBottom w:val="0"/>
      <w:divBdr>
        <w:top w:val="none" w:sz="0" w:space="0" w:color="auto"/>
        <w:left w:val="none" w:sz="0" w:space="0" w:color="auto"/>
        <w:bottom w:val="none" w:sz="0" w:space="0" w:color="auto"/>
        <w:right w:val="none" w:sz="0" w:space="0" w:color="auto"/>
      </w:divBdr>
    </w:div>
    <w:div w:id="1467311854">
      <w:bodyDiv w:val="1"/>
      <w:marLeft w:val="0"/>
      <w:marRight w:val="0"/>
      <w:marTop w:val="0"/>
      <w:marBottom w:val="0"/>
      <w:divBdr>
        <w:top w:val="none" w:sz="0" w:space="0" w:color="auto"/>
        <w:left w:val="none" w:sz="0" w:space="0" w:color="auto"/>
        <w:bottom w:val="none" w:sz="0" w:space="0" w:color="auto"/>
        <w:right w:val="none" w:sz="0" w:space="0" w:color="auto"/>
      </w:divBdr>
    </w:div>
    <w:div w:id="1473868166">
      <w:bodyDiv w:val="1"/>
      <w:marLeft w:val="0"/>
      <w:marRight w:val="0"/>
      <w:marTop w:val="0"/>
      <w:marBottom w:val="0"/>
      <w:divBdr>
        <w:top w:val="none" w:sz="0" w:space="0" w:color="auto"/>
        <w:left w:val="none" w:sz="0" w:space="0" w:color="auto"/>
        <w:bottom w:val="none" w:sz="0" w:space="0" w:color="auto"/>
        <w:right w:val="none" w:sz="0" w:space="0" w:color="auto"/>
      </w:divBdr>
    </w:div>
    <w:div w:id="1480730672">
      <w:bodyDiv w:val="1"/>
      <w:marLeft w:val="0"/>
      <w:marRight w:val="0"/>
      <w:marTop w:val="0"/>
      <w:marBottom w:val="0"/>
      <w:divBdr>
        <w:top w:val="none" w:sz="0" w:space="0" w:color="auto"/>
        <w:left w:val="none" w:sz="0" w:space="0" w:color="auto"/>
        <w:bottom w:val="none" w:sz="0" w:space="0" w:color="auto"/>
        <w:right w:val="none" w:sz="0" w:space="0" w:color="auto"/>
      </w:divBdr>
    </w:div>
    <w:div w:id="1491486561">
      <w:bodyDiv w:val="1"/>
      <w:marLeft w:val="0"/>
      <w:marRight w:val="0"/>
      <w:marTop w:val="0"/>
      <w:marBottom w:val="0"/>
      <w:divBdr>
        <w:top w:val="none" w:sz="0" w:space="0" w:color="auto"/>
        <w:left w:val="none" w:sz="0" w:space="0" w:color="auto"/>
        <w:bottom w:val="none" w:sz="0" w:space="0" w:color="auto"/>
        <w:right w:val="none" w:sz="0" w:space="0" w:color="auto"/>
      </w:divBdr>
    </w:div>
    <w:div w:id="1507860064">
      <w:bodyDiv w:val="1"/>
      <w:marLeft w:val="0"/>
      <w:marRight w:val="0"/>
      <w:marTop w:val="0"/>
      <w:marBottom w:val="0"/>
      <w:divBdr>
        <w:top w:val="none" w:sz="0" w:space="0" w:color="auto"/>
        <w:left w:val="none" w:sz="0" w:space="0" w:color="auto"/>
        <w:bottom w:val="none" w:sz="0" w:space="0" w:color="auto"/>
        <w:right w:val="none" w:sz="0" w:space="0" w:color="auto"/>
      </w:divBdr>
    </w:div>
    <w:div w:id="1513109650">
      <w:bodyDiv w:val="1"/>
      <w:marLeft w:val="0"/>
      <w:marRight w:val="0"/>
      <w:marTop w:val="0"/>
      <w:marBottom w:val="0"/>
      <w:divBdr>
        <w:top w:val="none" w:sz="0" w:space="0" w:color="auto"/>
        <w:left w:val="none" w:sz="0" w:space="0" w:color="auto"/>
        <w:bottom w:val="none" w:sz="0" w:space="0" w:color="auto"/>
        <w:right w:val="none" w:sz="0" w:space="0" w:color="auto"/>
      </w:divBdr>
    </w:div>
    <w:div w:id="1515804697">
      <w:bodyDiv w:val="1"/>
      <w:marLeft w:val="0"/>
      <w:marRight w:val="0"/>
      <w:marTop w:val="0"/>
      <w:marBottom w:val="0"/>
      <w:divBdr>
        <w:top w:val="none" w:sz="0" w:space="0" w:color="auto"/>
        <w:left w:val="none" w:sz="0" w:space="0" w:color="auto"/>
        <w:bottom w:val="none" w:sz="0" w:space="0" w:color="auto"/>
        <w:right w:val="none" w:sz="0" w:space="0" w:color="auto"/>
      </w:divBdr>
    </w:div>
    <w:div w:id="1526404844">
      <w:bodyDiv w:val="1"/>
      <w:marLeft w:val="0"/>
      <w:marRight w:val="0"/>
      <w:marTop w:val="0"/>
      <w:marBottom w:val="0"/>
      <w:divBdr>
        <w:top w:val="none" w:sz="0" w:space="0" w:color="auto"/>
        <w:left w:val="none" w:sz="0" w:space="0" w:color="auto"/>
        <w:bottom w:val="none" w:sz="0" w:space="0" w:color="auto"/>
        <w:right w:val="none" w:sz="0" w:space="0" w:color="auto"/>
      </w:divBdr>
    </w:div>
    <w:div w:id="1556696771">
      <w:bodyDiv w:val="1"/>
      <w:marLeft w:val="0"/>
      <w:marRight w:val="0"/>
      <w:marTop w:val="0"/>
      <w:marBottom w:val="0"/>
      <w:divBdr>
        <w:top w:val="none" w:sz="0" w:space="0" w:color="auto"/>
        <w:left w:val="none" w:sz="0" w:space="0" w:color="auto"/>
        <w:bottom w:val="none" w:sz="0" w:space="0" w:color="auto"/>
        <w:right w:val="none" w:sz="0" w:space="0" w:color="auto"/>
      </w:divBdr>
    </w:div>
    <w:div w:id="1605645923">
      <w:bodyDiv w:val="1"/>
      <w:marLeft w:val="0"/>
      <w:marRight w:val="0"/>
      <w:marTop w:val="0"/>
      <w:marBottom w:val="0"/>
      <w:divBdr>
        <w:top w:val="none" w:sz="0" w:space="0" w:color="auto"/>
        <w:left w:val="none" w:sz="0" w:space="0" w:color="auto"/>
        <w:bottom w:val="none" w:sz="0" w:space="0" w:color="auto"/>
        <w:right w:val="none" w:sz="0" w:space="0" w:color="auto"/>
      </w:divBdr>
    </w:div>
    <w:div w:id="1610157554">
      <w:bodyDiv w:val="1"/>
      <w:marLeft w:val="0"/>
      <w:marRight w:val="0"/>
      <w:marTop w:val="0"/>
      <w:marBottom w:val="0"/>
      <w:divBdr>
        <w:top w:val="none" w:sz="0" w:space="0" w:color="auto"/>
        <w:left w:val="none" w:sz="0" w:space="0" w:color="auto"/>
        <w:bottom w:val="none" w:sz="0" w:space="0" w:color="auto"/>
        <w:right w:val="none" w:sz="0" w:space="0" w:color="auto"/>
      </w:divBdr>
    </w:div>
    <w:div w:id="1631125964">
      <w:bodyDiv w:val="1"/>
      <w:marLeft w:val="0"/>
      <w:marRight w:val="0"/>
      <w:marTop w:val="0"/>
      <w:marBottom w:val="0"/>
      <w:divBdr>
        <w:top w:val="none" w:sz="0" w:space="0" w:color="auto"/>
        <w:left w:val="none" w:sz="0" w:space="0" w:color="auto"/>
        <w:bottom w:val="none" w:sz="0" w:space="0" w:color="auto"/>
        <w:right w:val="none" w:sz="0" w:space="0" w:color="auto"/>
      </w:divBdr>
    </w:div>
    <w:div w:id="1637905521">
      <w:bodyDiv w:val="1"/>
      <w:marLeft w:val="0"/>
      <w:marRight w:val="0"/>
      <w:marTop w:val="0"/>
      <w:marBottom w:val="0"/>
      <w:divBdr>
        <w:top w:val="none" w:sz="0" w:space="0" w:color="auto"/>
        <w:left w:val="none" w:sz="0" w:space="0" w:color="auto"/>
        <w:bottom w:val="none" w:sz="0" w:space="0" w:color="auto"/>
        <w:right w:val="none" w:sz="0" w:space="0" w:color="auto"/>
      </w:divBdr>
    </w:div>
    <w:div w:id="1642418811">
      <w:bodyDiv w:val="1"/>
      <w:marLeft w:val="0"/>
      <w:marRight w:val="0"/>
      <w:marTop w:val="0"/>
      <w:marBottom w:val="0"/>
      <w:divBdr>
        <w:top w:val="none" w:sz="0" w:space="0" w:color="auto"/>
        <w:left w:val="none" w:sz="0" w:space="0" w:color="auto"/>
        <w:bottom w:val="none" w:sz="0" w:space="0" w:color="auto"/>
        <w:right w:val="none" w:sz="0" w:space="0" w:color="auto"/>
      </w:divBdr>
    </w:div>
    <w:div w:id="1659113238">
      <w:bodyDiv w:val="1"/>
      <w:marLeft w:val="0"/>
      <w:marRight w:val="0"/>
      <w:marTop w:val="0"/>
      <w:marBottom w:val="0"/>
      <w:divBdr>
        <w:top w:val="none" w:sz="0" w:space="0" w:color="auto"/>
        <w:left w:val="none" w:sz="0" w:space="0" w:color="auto"/>
        <w:bottom w:val="none" w:sz="0" w:space="0" w:color="auto"/>
        <w:right w:val="none" w:sz="0" w:space="0" w:color="auto"/>
      </w:divBdr>
    </w:div>
    <w:div w:id="1665014706">
      <w:bodyDiv w:val="1"/>
      <w:marLeft w:val="0"/>
      <w:marRight w:val="0"/>
      <w:marTop w:val="0"/>
      <w:marBottom w:val="0"/>
      <w:divBdr>
        <w:top w:val="none" w:sz="0" w:space="0" w:color="auto"/>
        <w:left w:val="none" w:sz="0" w:space="0" w:color="auto"/>
        <w:bottom w:val="none" w:sz="0" w:space="0" w:color="auto"/>
        <w:right w:val="none" w:sz="0" w:space="0" w:color="auto"/>
      </w:divBdr>
    </w:div>
    <w:div w:id="1679120027">
      <w:bodyDiv w:val="1"/>
      <w:marLeft w:val="0"/>
      <w:marRight w:val="0"/>
      <w:marTop w:val="0"/>
      <w:marBottom w:val="0"/>
      <w:divBdr>
        <w:top w:val="none" w:sz="0" w:space="0" w:color="auto"/>
        <w:left w:val="none" w:sz="0" w:space="0" w:color="auto"/>
        <w:bottom w:val="none" w:sz="0" w:space="0" w:color="auto"/>
        <w:right w:val="none" w:sz="0" w:space="0" w:color="auto"/>
      </w:divBdr>
    </w:div>
    <w:div w:id="1687173734">
      <w:bodyDiv w:val="1"/>
      <w:marLeft w:val="0"/>
      <w:marRight w:val="0"/>
      <w:marTop w:val="0"/>
      <w:marBottom w:val="0"/>
      <w:divBdr>
        <w:top w:val="none" w:sz="0" w:space="0" w:color="auto"/>
        <w:left w:val="none" w:sz="0" w:space="0" w:color="auto"/>
        <w:bottom w:val="none" w:sz="0" w:space="0" w:color="auto"/>
        <w:right w:val="none" w:sz="0" w:space="0" w:color="auto"/>
      </w:divBdr>
    </w:div>
    <w:div w:id="1696539924">
      <w:bodyDiv w:val="1"/>
      <w:marLeft w:val="0"/>
      <w:marRight w:val="0"/>
      <w:marTop w:val="0"/>
      <w:marBottom w:val="0"/>
      <w:divBdr>
        <w:top w:val="none" w:sz="0" w:space="0" w:color="auto"/>
        <w:left w:val="none" w:sz="0" w:space="0" w:color="auto"/>
        <w:bottom w:val="none" w:sz="0" w:space="0" w:color="auto"/>
        <w:right w:val="none" w:sz="0" w:space="0" w:color="auto"/>
      </w:divBdr>
    </w:div>
    <w:div w:id="1705058528">
      <w:bodyDiv w:val="1"/>
      <w:marLeft w:val="0"/>
      <w:marRight w:val="0"/>
      <w:marTop w:val="0"/>
      <w:marBottom w:val="0"/>
      <w:divBdr>
        <w:top w:val="none" w:sz="0" w:space="0" w:color="auto"/>
        <w:left w:val="none" w:sz="0" w:space="0" w:color="auto"/>
        <w:bottom w:val="none" w:sz="0" w:space="0" w:color="auto"/>
        <w:right w:val="none" w:sz="0" w:space="0" w:color="auto"/>
      </w:divBdr>
    </w:div>
    <w:div w:id="1710640902">
      <w:bodyDiv w:val="1"/>
      <w:marLeft w:val="0"/>
      <w:marRight w:val="0"/>
      <w:marTop w:val="0"/>
      <w:marBottom w:val="0"/>
      <w:divBdr>
        <w:top w:val="none" w:sz="0" w:space="0" w:color="auto"/>
        <w:left w:val="none" w:sz="0" w:space="0" w:color="auto"/>
        <w:bottom w:val="none" w:sz="0" w:space="0" w:color="auto"/>
        <w:right w:val="none" w:sz="0" w:space="0" w:color="auto"/>
      </w:divBdr>
    </w:div>
    <w:div w:id="1714620684">
      <w:bodyDiv w:val="1"/>
      <w:marLeft w:val="0"/>
      <w:marRight w:val="0"/>
      <w:marTop w:val="0"/>
      <w:marBottom w:val="0"/>
      <w:divBdr>
        <w:top w:val="none" w:sz="0" w:space="0" w:color="auto"/>
        <w:left w:val="none" w:sz="0" w:space="0" w:color="auto"/>
        <w:bottom w:val="none" w:sz="0" w:space="0" w:color="auto"/>
        <w:right w:val="none" w:sz="0" w:space="0" w:color="auto"/>
      </w:divBdr>
    </w:div>
    <w:div w:id="1715232716">
      <w:bodyDiv w:val="1"/>
      <w:marLeft w:val="0"/>
      <w:marRight w:val="0"/>
      <w:marTop w:val="0"/>
      <w:marBottom w:val="0"/>
      <w:divBdr>
        <w:top w:val="none" w:sz="0" w:space="0" w:color="auto"/>
        <w:left w:val="none" w:sz="0" w:space="0" w:color="auto"/>
        <w:bottom w:val="none" w:sz="0" w:space="0" w:color="auto"/>
        <w:right w:val="none" w:sz="0" w:space="0" w:color="auto"/>
      </w:divBdr>
    </w:div>
    <w:div w:id="1717854422">
      <w:bodyDiv w:val="1"/>
      <w:marLeft w:val="0"/>
      <w:marRight w:val="0"/>
      <w:marTop w:val="0"/>
      <w:marBottom w:val="0"/>
      <w:divBdr>
        <w:top w:val="none" w:sz="0" w:space="0" w:color="auto"/>
        <w:left w:val="none" w:sz="0" w:space="0" w:color="auto"/>
        <w:bottom w:val="none" w:sz="0" w:space="0" w:color="auto"/>
        <w:right w:val="none" w:sz="0" w:space="0" w:color="auto"/>
      </w:divBdr>
    </w:div>
    <w:div w:id="1724330418">
      <w:bodyDiv w:val="1"/>
      <w:marLeft w:val="0"/>
      <w:marRight w:val="0"/>
      <w:marTop w:val="0"/>
      <w:marBottom w:val="0"/>
      <w:divBdr>
        <w:top w:val="none" w:sz="0" w:space="0" w:color="auto"/>
        <w:left w:val="none" w:sz="0" w:space="0" w:color="auto"/>
        <w:bottom w:val="none" w:sz="0" w:space="0" w:color="auto"/>
        <w:right w:val="none" w:sz="0" w:space="0" w:color="auto"/>
      </w:divBdr>
    </w:div>
    <w:div w:id="1726219074">
      <w:bodyDiv w:val="1"/>
      <w:marLeft w:val="0"/>
      <w:marRight w:val="0"/>
      <w:marTop w:val="0"/>
      <w:marBottom w:val="0"/>
      <w:divBdr>
        <w:top w:val="none" w:sz="0" w:space="0" w:color="auto"/>
        <w:left w:val="none" w:sz="0" w:space="0" w:color="auto"/>
        <w:bottom w:val="none" w:sz="0" w:space="0" w:color="auto"/>
        <w:right w:val="none" w:sz="0" w:space="0" w:color="auto"/>
      </w:divBdr>
    </w:div>
    <w:div w:id="1732999389">
      <w:bodyDiv w:val="1"/>
      <w:marLeft w:val="0"/>
      <w:marRight w:val="0"/>
      <w:marTop w:val="0"/>
      <w:marBottom w:val="0"/>
      <w:divBdr>
        <w:top w:val="none" w:sz="0" w:space="0" w:color="auto"/>
        <w:left w:val="none" w:sz="0" w:space="0" w:color="auto"/>
        <w:bottom w:val="none" w:sz="0" w:space="0" w:color="auto"/>
        <w:right w:val="none" w:sz="0" w:space="0" w:color="auto"/>
      </w:divBdr>
    </w:div>
    <w:div w:id="1741901210">
      <w:bodyDiv w:val="1"/>
      <w:marLeft w:val="0"/>
      <w:marRight w:val="0"/>
      <w:marTop w:val="0"/>
      <w:marBottom w:val="0"/>
      <w:divBdr>
        <w:top w:val="none" w:sz="0" w:space="0" w:color="auto"/>
        <w:left w:val="none" w:sz="0" w:space="0" w:color="auto"/>
        <w:bottom w:val="none" w:sz="0" w:space="0" w:color="auto"/>
        <w:right w:val="none" w:sz="0" w:space="0" w:color="auto"/>
      </w:divBdr>
    </w:div>
    <w:div w:id="1742438144">
      <w:bodyDiv w:val="1"/>
      <w:marLeft w:val="0"/>
      <w:marRight w:val="0"/>
      <w:marTop w:val="0"/>
      <w:marBottom w:val="0"/>
      <w:divBdr>
        <w:top w:val="none" w:sz="0" w:space="0" w:color="auto"/>
        <w:left w:val="none" w:sz="0" w:space="0" w:color="auto"/>
        <w:bottom w:val="none" w:sz="0" w:space="0" w:color="auto"/>
        <w:right w:val="none" w:sz="0" w:space="0" w:color="auto"/>
      </w:divBdr>
    </w:div>
    <w:div w:id="1754932351">
      <w:bodyDiv w:val="1"/>
      <w:marLeft w:val="0"/>
      <w:marRight w:val="0"/>
      <w:marTop w:val="0"/>
      <w:marBottom w:val="0"/>
      <w:divBdr>
        <w:top w:val="none" w:sz="0" w:space="0" w:color="auto"/>
        <w:left w:val="none" w:sz="0" w:space="0" w:color="auto"/>
        <w:bottom w:val="none" w:sz="0" w:space="0" w:color="auto"/>
        <w:right w:val="none" w:sz="0" w:space="0" w:color="auto"/>
      </w:divBdr>
    </w:div>
    <w:div w:id="1755780483">
      <w:bodyDiv w:val="1"/>
      <w:marLeft w:val="0"/>
      <w:marRight w:val="0"/>
      <w:marTop w:val="0"/>
      <w:marBottom w:val="0"/>
      <w:divBdr>
        <w:top w:val="none" w:sz="0" w:space="0" w:color="auto"/>
        <w:left w:val="none" w:sz="0" w:space="0" w:color="auto"/>
        <w:bottom w:val="none" w:sz="0" w:space="0" w:color="auto"/>
        <w:right w:val="none" w:sz="0" w:space="0" w:color="auto"/>
      </w:divBdr>
    </w:div>
    <w:div w:id="1759666834">
      <w:bodyDiv w:val="1"/>
      <w:marLeft w:val="0"/>
      <w:marRight w:val="0"/>
      <w:marTop w:val="0"/>
      <w:marBottom w:val="0"/>
      <w:divBdr>
        <w:top w:val="none" w:sz="0" w:space="0" w:color="auto"/>
        <w:left w:val="none" w:sz="0" w:space="0" w:color="auto"/>
        <w:bottom w:val="none" w:sz="0" w:space="0" w:color="auto"/>
        <w:right w:val="none" w:sz="0" w:space="0" w:color="auto"/>
      </w:divBdr>
    </w:div>
    <w:div w:id="1772626587">
      <w:bodyDiv w:val="1"/>
      <w:marLeft w:val="0"/>
      <w:marRight w:val="0"/>
      <w:marTop w:val="0"/>
      <w:marBottom w:val="0"/>
      <w:divBdr>
        <w:top w:val="none" w:sz="0" w:space="0" w:color="auto"/>
        <w:left w:val="none" w:sz="0" w:space="0" w:color="auto"/>
        <w:bottom w:val="none" w:sz="0" w:space="0" w:color="auto"/>
        <w:right w:val="none" w:sz="0" w:space="0" w:color="auto"/>
      </w:divBdr>
    </w:div>
    <w:div w:id="1780757534">
      <w:bodyDiv w:val="1"/>
      <w:marLeft w:val="0"/>
      <w:marRight w:val="0"/>
      <w:marTop w:val="0"/>
      <w:marBottom w:val="0"/>
      <w:divBdr>
        <w:top w:val="none" w:sz="0" w:space="0" w:color="auto"/>
        <w:left w:val="none" w:sz="0" w:space="0" w:color="auto"/>
        <w:bottom w:val="none" w:sz="0" w:space="0" w:color="auto"/>
        <w:right w:val="none" w:sz="0" w:space="0" w:color="auto"/>
      </w:divBdr>
    </w:div>
    <w:div w:id="1790934700">
      <w:bodyDiv w:val="1"/>
      <w:marLeft w:val="0"/>
      <w:marRight w:val="0"/>
      <w:marTop w:val="0"/>
      <w:marBottom w:val="0"/>
      <w:divBdr>
        <w:top w:val="none" w:sz="0" w:space="0" w:color="auto"/>
        <w:left w:val="none" w:sz="0" w:space="0" w:color="auto"/>
        <w:bottom w:val="none" w:sz="0" w:space="0" w:color="auto"/>
        <w:right w:val="none" w:sz="0" w:space="0" w:color="auto"/>
      </w:divBdr>
    </w:div>
    <w:div w:id="1827234889">
      <w:bodyDiv w:val="1"/>
      <w:marLeft w:val="0"/>
      <w:marRight w:val="0"/>
      <w:marTop w:val="0"/>
      <w:marBottom w:val="0"/>
      <w:divBdr>
        <w:top w:val="none" w:sz="0" w:space="0" w:color="auto"/>
        <w:left w:val="none" w:sz="0" w:space="0" w:color="auto"/>
        <w:bottom w:val="none" w:sz="0" w:space="0" w:color="auto"/>
        <w:right w:val="none" w:sz="0" w:space="0" w:color="auto"/>
      </w:divBdr>
    </w:div>
    <w:div w:id="1844736812">
      <w:bodyDiv w:val="1"/>
      <w:marLeft w:val="0"/>
      <w:marRight w:val="0"/>
      <w:marTop w:val="0"/>
      <w:marBottom w:val="0"/>
      <w:divBdr>
        <w:top w:val="none" w:sz="0" w:space="0" w:color="auto"/>
        <w:left w:val="none" w:sz="0" w:space="0" w:color="auto"/>
        <w:bottom w:val="none" w:sz="0" w:space="0" w:color="auto"/>
        <w:right w:val="none" w:sz="0" w:space="0" w:color="auto"/>
      </w:divBdr>
    </w:div>
    <w:div w:id="1846364612">
      <w:bodyDiv w:val="1"/>
      <w:marLeft w:val="0"/>
      <w:marRight w:val="0"/>
      <w:marTop w:val="0"/>
      <w:marBottom w:val="0"/>
      <w:divBdr>
        <w:top w:val="none" w:sz="0" w:space="0" w:color="auto"/>
        <w:left w:val="none" w:sz="0" w:space="0" w:color="auto"/>
        <w:bottom w:val="none" w:sz="0" w:space="0" w:color="auto"/>
        <w:right w:val="none" w:sz="0" w:space="0" w:color="auto"/>
      </w:divBdr>
    </w:div>
    <w:div w:id="1864592614">
      <w:bodyDiv w:val="1"/>
      <w:marLeft w:val="0"/>
      <w:marRight w:val="0"/>
      <w:marTop w:val="0"/>
      <w:marBottom w:val="0"/>
      <w:divBdr>
        <w:top w:val="none" w:sz="0" w:space="0" w:color="auto"/>
        <w:left w:val="none" w:sz="0" w:space="0" w:color="auto"/>
        <w:bottom w:val="none" w:sz="0" w:space="0" w:color="auto"/>
        <w:right w:val="none" w:sz="0" w:space="0" w:color="auto"/>
      </w:divBdr>
    </w:div>
    <w:div w:id="1869022034">
      <w:bodyDiv w:val="1"/>
      <w:marLeft w:val="0"/>
      <w:marRight w:val="0"/>
      <w:marTop w:val="0"/>
      <w:marBottom w:val="0"/>
      <w:divBdr>
        <w:top w:val="none" w:sz="0" w:space="0" w:color="auto"/>
        <w:left w:val="none" w:sz="0" w:space="0" w:color="auto"/>
        <w:bottom w:val="none" w:sz="0" w:space="0" w:color="auto"/>
        <w:right w:val="none" w:sz="0" w:space="0" w:color="auto"/>
      </w:divBdr>
    </w:div>
    <w:div w:id="1891304721">
      <w:bodyDiv w:val="1"/>
      <w:marLeft w:val="0"/>
      <w:marRight w:val="0"/>
      <w:marTop w:val="0"/>
      <w:marBottom w:val="0"/>
      <w:divBdr>
        <w:top w:val="none" w:sz="0" w:space="0" w:color="auto"/>
        <w:left w:val="none" w:sz="0" w:space="0" w:color="auto"/>
        <w:bottom w:val="none" w:sz="0" w:space="0" w:color="auto"/>
        <w:right w:val="none" w:sz="0" w:space="0" w:color="auto"/>
      </w:divBdr>
    </w:div>
    <w:div w:id="1899902759">
      <w:bodyDiv w:val="1"/>
      <w:marLeft w:val="0"/>
      <w:marRight w:val="0"/>
      <w:marTop w:val="0"/>
      <w:marBottom w:val="0"/>
      <w:divBdr>
        <w:top w:val="none" w:sz="0" w:space="0" w:color="auto"/>
        <w:left w:val="none" w:sz="0" w:space="0" w:color="auto"/>
        <w:bottom w:val="none" w:sz="0" w:space="0" w:color="auto"/>
        <w:right w:val="none" w:sz="0" w:space="0" w:color="auto"/>
      </w:divBdr>
    </w:div>
    <w:div w:id="1900482566">
      <w:bodyDiv w:val="1"/>
      <w:marLeft w:val="0"/>
      <w:marRight w:val="0"/>
      <w:marTop w:val="0"/>
      <w:marBottom w:val="0"/>
      <w:divBdr>
        <w:top w:val="none" w:sz="0" w:space="0" w:color="auto"/>
        <w:left w:val="none" w:sz="0" w:space="0" w:color="auto"/>
        <w:bottom w:val="none" w:sz="0" w:space="0" w:color="auto"/>
        <w:right w:val="none" w:sz="0" w:space="0" w:color="auto"/>
      </w:divBdr>
    </w:div>
    <w:div w:id="1902061475">
      <w:bodyDiv w:val="1"/>
      <w:marLeft w:val="0"/>
      <w:marRight w:val="0"/>
      <w:marTop w:val="0"/>
      <w:marBottom w:val="0"/>
      <w:divBdr>
        <w:top w:val="none" w:sz="0" w:space="0" w:color="auto"/>
        <w:left w:val="none" w:sz="0" w:space="0" w:color="auto"/>
        <w:bottom w:val="none" w:sz="0" w:space="0" w:color="auto"/>
        <w:right w:val="none" w:sz="0" w:space="0" w:color="auto"/>
      </w:divBdr>
    </w:div>
    <w:div w:id="1903640363">
      <w:bodyDiv w:val="1"/>
      <w:marLeft w:val="0"/>
      <w:marRight w:val="0"/>
      <w:marTop w:val="0"/>
      <w:marBottom w:val="0"/>
      <w:divBdr>
        <w:top w:val="none" w:sz="0" w:space="0" w:color="auto"/>
        <w:left w:val="none" w:sz="0" w:space="0" w:color="auto"/>
        <w:bottom w:val="none" w:sz="0" w:space="0" w:color="auto"/>
        <w:right w:val="none" w:sz="0" w:space="0" w:color="auto"/>
      </w:divBdr>
    </w:div>
    <w:div w:id="1911112108">
      <w:bodyDiv w:val="1"/>
      <w:marLeft w:val="0"/>
      <w:marRight w:val="0"/>
      <w:marTop w:val="0"/>
      <w:marBottom w:val="0"/>
      <w:divBdr>
        <w:top w:val="none" w:sz="0" w:space="0" w:color="auto"/>
        <w:left w:val="none" w:sz="0" w:space="0" w:color="auto"/>
        <w:bottom w:val="none" w:sz="0" w:space="0" w:color="auto"/>
        <w:right w:val="none" w:sz="0" w:space="0" w:color="auto"/>
      </w:divBdr>
    </w:div>
    <w:div w:id="1914123218">
      <w:bodyDiv w:val="1"/>
      <w:marLeft w:val="0"/>
      <w:marRight w:val="0"/>
      <w:marTop w:val="0"/>
      <w:marBottom w:val="0"/>
      <w:divBdr>
        <w:top w:val="none" w:sz="0" w:space="0" w:color="auto"/>
        <w:left w:val="none" w:sz="0" w:space="0" w:color="auto"/>
        <w:bottom w:val="none" w:sz="0" w:space="0" w:color="auto"/>
        <w:right w:val="none" w:sz="0" w:space="0" w:color="auto"/>
      </w:divBdr>
    </w:div>
    <w:div w:id="1923757619">
      <w:bodyDiv w:val="1"/>
      <w:marLeft w:val="0"/>
      <w:marRight w:val="0"/>
      <w:marTop w:val="0"/>
      <w:marBottom w:val="0"/>
      <w:divBdr>
        <w:top w:val="none" w:sz="0" w:space="0" w:color="auto"/>
        <w:left w:val="none" w:sz="0" w:space="0" w:color="auto"/>
        <w:bottom w:val="none" w:sz="0" w:space="0" w:color="auto"/>
        <w:right w:val="none" w:sz="0" w:space="0" w:color="auto"/>
      </w:divBdr>
    </w:div>
    <w:div w:id="1930120557">
      <w:bodyDiv w:val="1"/>
      <w:marLeft w:val="0"/>
      <w:marRight w:val="0"/>
      <w:marTop w:val="0"/>
      <w:marBottom w:val="0"/>
      <w:divBdr>
        <w:top w:val="none" w:sz="0" w:space="0" w:color="auto"/>
        <w:left w:val="none" w:sz="0" w:space="0" w:color="auto"/>
        <w:bottom w:val="none" w:sz="0" w:space="0" w:color="auto"/>
        <w:right w:val="none" w:sz="0" w:space="0" w:color="auto"/>
      </w:divBdr>
    </w:div>
    <w:div w:id="1942451850">
      <w:bodyDiv w:val="1"/>
      <w:marLeft w:val="0"/>
      <w:marRight w:val="0"/>
      <w:marTop w:val="0"/>
      <w:marBottom w:val="0"/>
      <w:divBdr>
        <w:top w:val="none" w:sz="0" w:space="0" w:color="auto"/>
        <w:left w:val="none" w:sz="0" w:space="0" w:color="auto"/>
        <w:bottom w:val="none" w:sz="0" w:space="0" w:color="auto"/>
        <w:right w:val="none" w:sz="0" w:space="0" w:color="auto"/>
      </w:divBdr>
    </w:div>
    <w:div w:id="1962180228">
      <w:bodyDiv w:val="1"/>
      <w:marLeft w:val="0"/>
      <w:marRight w:val="0"/>
      <w:marTop w:val="0"/>
      <w:marBottom w:val="0"/>
      <w:divBdr>
        <w:top w:val="none" w:sz="0" w:space="0" w:color="auto"/>
        <w:left w:val="none" w:sz="0" w:space="0" w:color="auto"/>
        <w:bottom w:val="none" w:sz="0" w:space="0" w:color="auto"/>
        <w:right w:val="none" w:sz="0" w:space="0" w:color="auto"/>
      </w:divBdr>
    </w:div>
    <w:div w:id="1972402377">
      <w:bodyDiv w:val="1"/>
      <w:marLeft w:val="0"/>
      <w:marRight w:val="0"/>
      <w:marTop w:val="0"/>
      <w:marBottom w:val="0"/>
      <w:divBdr>
        <w:top w:val="none" w:sz="0" w:space="0" w:color="auto"/>
        <w:left w:val="none" w:sz="0" w:space="0" w:color="auto"/>
        <w:bottom w:val="none" w:sz="0" w:space="0" w:color="auto"/>
        <w:right w:val="none" w:sz="0" w:space="0" w:color="auto"/>
      </w:divBdr>
    </w:div>
    <w:div w:id="1975670667">
      <w:bodyDiv w:val="1"/>
      <w:marLeft w:val="0"/>
      <w:marRight w:val="0"/>
      <w:marTop w:val="0"/>
      <w:marBottom w:val="0"/>
      <w:divBdr>
        <w:top w:val="none" w:sz="0" w:space="0" w:color="auto"/>
        <w:left w:val="none" w:sz="0" w:space="0" w:color="auto"/>
        <w:bottom w:val="none" w:sz="0" w:space="0" w:color="auto"/>
        <w:right w:val="none" w:sz="0" w:space="0" w:color="auto"/>
      </w:divBdr>
    </w:div>
    <w:div w:id="1981811050">
      <w:bodyDiv w:val="1"/>
      <w:marLeft w:val="0"/>
      <w:marRight w:val="0"/>
      <w:marTop w:val="0"/>
      <w:marBottom w:val="0"/>
      <w:divBdr>
        <w:top w:val="none" w:sz="0" w:space="0" w:color="auto"/>
        <w:left w:val="none" w:sz="0" w:space="0" w:color="auto"/>
        <w:bottom w:val="none" w:sz="0" w:space="0" w:color="auto"/>
        <w:right w:val="none" w:sz="0" w:space="0" w:color="auto"/>
      </w:divBdr>
    </w:div>
    <w:div w:id="1997952031">
      <w:bodyDiv w:val="1"/>
      <w:marLeft w:val="0"/>
      <w:marRight w:val="0"/>
      <w:marTop w:val="0"/>
      <w:marBottom w:val="0"/>
      <w:divBdr>
        <w:top w:val="none" w:sz="0" w:space="0" w:color="auto"/>
        <w:left w:val="none" w:sz="0" w:space="0" w:color="auto"/>
        <w:bottom w:val="none" w:sz="0" w:space="0" w:color="auto"/>
        <w:right w:val="none" w:sz="0" w:space="0" w:color="auto"/>
      </w:divBdr>
    </w:div>
    <w:div w:id="2001883112">
      <w:bodyDiv w:val="1"/>
      <w:marLeft w:val="0"/>
      <w:marRight w:val="0"/>
      <w:marTop w:val="0"/>
      <w:marBottom w:val="0"/>
      <w:divBdr>
        <w:top w:val="none" w:sz="0" w:space="0" w:color="auto"/>
        <w:left w:val="none" w:sz="0" w:space="0" w:color="auto"/>
        <w:bottom w:val="none" w:sz="0" w:space="0" w:color="auto"/>
        <w:right w:val="none" w:sz="0" w:space="0" w:color="auto"/>
      </w:divBdr>
    </w:div>
    <w:div w:id="2006007709">
      <w:bodyDiv w:val="1"/>
      <w:marLeft w:val="0"/>
      <w:marRight w:val="0"/>
      <w:marTop w:val="0"/>
      <w:marBottom w:val="0"/>
      <w:divBdr>
        <w:top w:val="none" w:sz="0" w:space="0" w:color="auto"/>
        <w:left w:val="none" w:sz="0" w:space="0" w:color="auto"/>
        <w:bottom w:val="none" w:sz="0" w:space="0" w:color="auto"/>
        <w:right w:val="none" w:sz="0" w:space="0" w:color="auto"/>
      </w:divBdr>
    </w:div>
    <w:div w:id="2010524074">
      <w:bodyDiv w:val="1"/>
      <w:marLeft w:val="0"/>
      <w:marRight w:val="0"/>
      <w:marTop w:val="0"/>
      <w:marBottom w:val="0"/>
      <w:divBdr>
        <w:top w:val="none" w:sz="0" w:space="0" w:color="auto"/>
        <w:left w:val="none" w:sz="0" w:space="0" w:color="auto"/>
        <w:bottom w:val="none" w:sz="0" w:space="0" w:color="auto"/>
        <w:right w:val="none" w:sz="0" w:space="0" w:color="auto"/>
      </w:divBdr>
    </w:div>
    <w:div w:id="2021853486">
      <w:bodyDiv w:val="1"/>
      <w:marLeft w:val="0"/>
      <w:marRight w:val="0"/>
      <w:marTop w:val="0"/>
      <w:marBottom w:val="0"/>
      <w:divBdr>
        <w:top w:val="none" w:sz="0" w:space="0" w:color="auto"/>
        <w:left w:val="none" w:sz="0" w:space="0" w:color="auto"/>
        <w:bottom w:val="none" w:sz="0" w:space="0" w:color="auto"/>
        <w:right w:val="none" w:sz="0" w:space="0" w:color="auto"/>
      </w:divBdr>
    </w:div>
    <w:div w:id="2022052240">
      <w:bodyDiv w:val="1"/>
      <w:marLeft w:val="0"/>
      <w:marRight w:val="0"/>
      <w:marTop w:val="0"/>
      <w:marBottom w:val="0"/>
      <w:divBdr>
        <w:top w:val="none" w:sz="0" w:space="0" w:color="auto"/>
        <w:left w:val="none" w:sz="0" w:space="0" w:color="auto"/>
        <w:bottom w:val="none" w:sz="0" w:space="0" w:color="auto"/>
        <w:right w:val="none" w:sz="0" w:space="0" w:color="auto"/>
      </w:divBdr>
    </w:div>
    <w:div w:id="2035842646">
      <w:bodyDiv w:val="1"/>
      <w:marLeft w:val="0"/>
      <w:marRight w:val="0"/>
      <w:marTop w:val="0"/>
      <w:marBottom w:val="0"/>
      <w:divBdr>
        <w:top w:val="none" w:sz="0" w:space="0" w:color="auto"/>
        <w:left w:val="none" w:sz="0" w:space="0" w:color="auto"/>
        <w:bottom w:val="none" w:sz="0" w:space="0" w:color="auto"/>
        <w:right w:val="none" w:sz="0" w:space="0" w:color="auto"/>
      </w:divBdr>
    </w:div>
    <w:div w:id="2042512406">
      <w:bodyDiv w:val="1"/>
      <w:marLeft w:val="0"/>
      <w:marRight w:val="0"/>
      <w:marTop w:val="0"/>
      <w:marBottom w:val="0"/>
      <w:divBdr>
        <w:top w:val="none" w:sz="0" w:space="0" w:color="auto"/>
        <w:left w:val="none" w:sz="0" w:space="0" w:color="auto"/>
        <w:bottom w:val="none" w:sz="0" w:space="0" w:color="auto"/>
        <w:right w:val="none" w:sz="0" w:space="0" w:color="auto"/>
      </w:divBdr>
    </w:div>
    <w:div w:id="2054888078">
      <w:bodyDiv w:val="1"/>
      <w:marLeft w:val="0"/>
      <w:marRight w:val="0"/>
      <w:marTop w:val="0"/>
      <w:marBottom w:val="0"/>
      <w:divBdr>
        <w:top w:val="none" w:sz="0" w:space="0" w:color="auto"/>
        <w:left w:val="none" w:sz="0" w:space="0" w:color="auto"/>
        <w:bottom w:val="none" w:sz="0" w:space="0" w:color="auto"/>
        <w:right w:val="none" w:sz="0" w:space="0" w:color="auto"/>
      </w:divBdr>
    </w:div>
    <w:div w:id="2056083766">
      <w:bodyDiv w:val="1"/>
      <w:marLeft w:val="0"/>
      <w:marRight w:val="0"/>
      <w:marTop w:val="0"/>
      <w:marBottom w:val="0"/>
      <w:divBdr>
        <w:top w:val="none" w:sz="0" w:space="0" w:color="auto"/>
        <w:left w:val="none" w:sz="0" w:space="0" w:color="auto"/>
        <w:bottom w:val="none" w:sz="0" w:space="0" w:color="auto"/>
        <w:right w:val="none" w:sz="0" w:space="0" w:color="auto"/>
      </w:divBdr>
    </w:div>
    <w:div w:id="2067560256">
      <w:bodyDiv w:val="1"/>
      <w:marLeft w:val="0"/>
      <w:marRight w:val="0"/>
      <w:marTop w:val="0"/>
      <w:marBottom w:val="0"/>
      <w:divBdr>
        <w:top w:val="none" w:sz="0" w:space="0" w:color="auto"/>
        <w:left w:val="none" w:sz="0" w:space="0" w:color="auto"/>
        <w:bottom w:val="none" w:sz="0" w:space="0" w:color="auto"/>
        <w:right w:val="none" w:sz="0" w:space="0" w:color="auto"/>
      </w:divBdr>
    </w:div>
    <w:div w:id="2072269115">
      <w:bodyDiv w:val="1"/>
      <w:marLeft w:val="0"/>
      <w:marRight w:val="0"/>
      <w:marTop w:val="0"/>
      <w:marBottom w:val="0"/>
      <w:divBdr>
        <w:top w:val="none" w:sz="0" w:space="0" w:color="auto"/>
        <w:left w:val="none" w:sz="0" w:space="0" w:color="auto"/>
        <w:bottom w:val="none" w:sz="0" w:space="0" w:color="auto"/>
        <w:right w:val="none" w:sz="0" w:space="0" w:color="auto"/>
      </w:divBdr>
    </w:div>
    <w:div w:id="2084526455">
      <w:bodyDiv w:val="1"/>
      <w:marLeft w:val="0"/>
      <w:marRight w:val="0"/>
      <w:marTop w:val="0"/>
      <w:marBottom w:val="0"/>
      <w:divBdr>
        <w:top w:val="none" w:sz="0" w:space="0" w:color="auto"/>
        <w:left w:val="none" w:sz="0" w:space="0" w:color="auto"/>
        <w:bottom w:val="none" w:sz="0" w:space="0" w:color="auto"/>
        <w:right w:val="none" w:sz="0" w:space="0" w:color="auto"/>
      </w:divBdr>
    </w:div>
    <w:div w:id="2093697368">
      <w:bodyDiv w:val="1"/>
      <w:marLeft w:val="0"/>
      <w:marRight w:val="0"/>
      <w:marTop w:val="0"/>
      <w:marBottom w:val="0"/>
      <w:divBdr>
        <w:top w:val="none" w:sz="0" w:space="0" w:color="auto"/>
        <w:left w:val="none" w:sz="0" w:space="0" w:color="auto"/>
        <w:bottom w:val="none" w:sz="0" w:space="0" w:color="auto"/>
        <w:right w:val="none" w:sz="0" w:space="0" w:color="auto"/>
      </w:divBdr>
    </w:div>
    <w:div w:id="2097171130">
      <w:bodyDiv w:val="1"/>
      <w:marLeft w:val="0"/>
      <w:marRight w:val="0"/>
      <w:marTop w:val="0"/>
      <w:marBottom w:val="0"/>
      <w:divBdr>
        <w:top w:val="none" w:sz="0" w:space="0" w:color="auto"/>
        <w:left w:val="none" w:sz="0" w:space="0" w:color="auto"/>
        <w:bottom w:val="none" w:sz="0" w:space="0" w:color="auto"/>
        <w:right w:val="none" w:sz="0" w:space="0" w:color="auto"/>
      </w:divBdr>
    </w:div>
    <w:div w:id="2102873729">
      <w:bodyDiv w:val="1"/>
      <w:marLeft w:val="0"/>
      <w:marRight w:val="0"/>
      <w:marTop w:val="0"/>
      <w:marBottom w:val="0"/>
      <w:divBdr>
        <w:top w:val="none" w:sz="0" w:space="0" w:color="auto"/>
        <w:left w:val="none" w:sz="0" w:space="0" w:color="auto"/>
        <w:bottom w:val="none" w:sz="0" w:space="0" w:color="auto"/>
        <w:right w:val="none" w:sz="0" w:space="0" w:color="auto"/>
      </w:divBdr>
    </w:div>
    <w:div w:id="2115710269">
      <w:bodyDiv w:val="1"/>
      <w:marLeft w:val="0"/>
      <w:marRight w:val="0"/>
      <w:marTop w:val="0"/>
      <w:marBottom w:val="0"/>
      <w:divBdr>
        <w:top w:val="none" w:sz="0" w:space="0" w:color="auto"/>
        <w:left w:val="none" w:sz="0" w:space="0" w:color="auto"/>
        <w:bottom w:val="none" w:sz="0" w:space="0" w:color="auto"/>
        <w:right w:val="none" w:sz="0" w:space="0" w:color="auto"/>
      </w:divBdr>
    </w:div>
    <w:div w:id="2116250605">
      <w:bodyDiv w:val="1"/>
      <w:marLeft w:val="0"/>
      <w:marRight w:val="0"/>
      <w:marTop w:val="0"/>
      <w:marBottom w:val="0"/>
      <w:divBdr>
        <w:top w:val="none" w:sz="0" w:space="0" w:color="auto"/>
        <w:left w:val="none" w:sz="0" w:space="0" w:color="auto"/>
        <w:bottom w:val="none" w:sz="0" w:space="0" w:color="auto"/>
        <w:right w:val="none" w:sz="0" w:space="0" w:color="auto"/>
      </w:divBdr>
    </w:div>
    <w:div w:id="2124643418">
      <w:bodyDiv w:val="1"/>
      <w:marLeft w:val="0"/>
      <w:marRight w:val="0"/>
      <w:marTop w:val="0"/>
      <w:marBottom w:val="0"/>
      <w:divBdr>
        <w:top w:val="none" w:sz="0" w:space="0" w:color="auto"/>
        <w:left w:val="none" w:sz="0" w:space="0" w:color="auto"/>
        <w:bottom w:val="none" w:sz="0" w:space="0" w:color="auto"/>
        <w:right w:val="none" w:sz="0" w:space="0" w:color="auto"/>
      </w:divBdr>
    </w:div>
    <w:div w:id="2142335670">
      <w:bodyDiv w:val="1"/>
      <w:marLeft w:val="0"/>
      <w:marRight w:val="0"/>
      <w:marTop w:val="0"/>
      <w:marBottom w:val="0"/>
      <w:divBdr>
        <w:top w:val="none" w:sz="0" w:space="0" w:color="auto"/>
        <w:left w:val="none" w:sz="0" w:space="0" w:color="auto"/>
        <w:bottom w:val="none" w:sz="0" w:space="0" w:color="auto"/>
        <w:right w:val="none" w:sz="0" w:space="0" w:color="auto"/>
      </w:divBdr>
    </w:div>
    <w:div w:id="214730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theme" Target="theme/theme1.xml"/><Relationship Id="rId21" Type="http://schemas.openxmlformats.org/officeDocument/2006/relationships/footer" Target="footer4.xml"/><Relationship Id="rId42" Type="http://schemas.microsoft.com/office/2007/relationships/diagramDrawing" Target="diagrams/drawing1.xml"/><Relationship Id="rId47" Type="http://schemas.openxmlformats.org/officeDocument/2006/relationships/image" Target="media/image22.png"/><Relationship Id="rId63" Type="http://schemas.openxmlformats.org/officeDocument/2006/relationships/image" Target="media/image37.emf"/><Relationship Id="rId68" Type="http://schemas.openxmlformats.org/officeDocument/2006/relationships/image" Target="media/image42.emf"/><Relationship Id="rId84" Type="http://schemas.openxmlformats.org/officeDocument/2006/relationships/diagramLayout" Target="diagrams/layout2.xml"/><Relationship Id="rId89" Type="http://schemas.openxmlformats.org/officeDocument/2006/relationships/footer" Target="footer10.xml"/><Relationship Id="rId112" Type="http://schemas.openxmlformats.org/officeDocument/2006/relationships/image" Target="media/image60.jpeg"/><Relationship Id="rId16" Type="http://schemas.openxmlformats.org/officeDocument/2006/relationships/footer" Target="footer1.xml"/><Relationship Id="rId107" Type="http://schemas.openxmlformats.org/officeDocument/2006/relationships/hyperlink" Target="http://www.abivax.com" TargetMode="External"/><Relationship Id="rId11" Type="http://schemas.openxmlformats.org/officeDocument/2006/relationships/hyperlink" Target="http://www.amf-france.org" TargetMode="External"/><Relationship Id="rId24" Type="http://schemas.openxmlformats.org/officeDocument/2006/relationships/image" Target="media/image4.png"/><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diagramQuickStyle" Target="diagrams/quickStyle1.xml"/><Relationship Id="rId45" Type="http://schemas.openxmlformats.org/officeDocument/2006/relationships/image" Target="media/image20.png"/><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image" Target="media/image40.emf"/><Relationship Id="rId74" Type="http://schemas.openxmlformats.org/officeDocument/2006/relationships/image" Target="media/image48.emf"/><Relationship Id="rId79" Type="http://schemas.openxmlformats.org/officeDocument/2006/relationships/footer" Target="footer7.xml"/><Relationship Id="rId87" Type="http://schemas.microsoft.com/office/2007/relationships/diagramDrawing" Target="diagrams/drawing2.xml"/><Relationship Id="rId102" Type="http://schemas.openxmlformats.org/officeDocument/2006/relationships/footer" Target="footer13.xml"/><Relationship Id="rId110" Type="http://schemas.openxmlformats.org/officeDocument/2006/relationships/footer" Target="footer16.xml"/><Relationship Id="rId115" Type="http://schemas.openxmlformats.org/officeDocument/2006/relationships/footer" Target="footer18.xml"/><Relationship Id="rId5" Type="http://schemas.openxmlformats.org/officeDocument/2006/relationships/webSettings" Target="webSettings.xml"/><Relationship Id="rId61" Type="http://schemas.openxmlformats.org/officeDocument/2006/relationships/image" Target="media/image35.emf"/><Relationship Id="rId82" Type="http://schemas.openxmlformats.org/officeDocument/2006/relationships/footer" Target="footer9.xml"/><Relationship Id="rId90" Type="http://schemas.openxmlformats.org/officeDocument/2006/relationships/image" Target="media/image51.png"/><Relationship Id="rId95" Type="http://schemas.openxmlformats.org/officeDocument/2006/relationships/image" Target="media/image53.png"/><Relationship Id="rId19" Type="http://schemas.openxmlformats.org/officeDocument/2006/relationships/header" Target="header2.xml"/><Relationship Id="rId14" Type="http://schemas.openxmlformats.org/officeDocument/2006/relationships/hyperlink" Target="http://www.ABIVAX.com" TargetMode="External"/><Relationship Id="rId22"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0.emf"/><Relationship Id="rId64" Type="http://schemas.openxmlformats.org/officeDocument/2006/relationships/image" Target="media/image38.emf"/><Relationship Id="rId69" Type="http://schemas.openxmlformats.org/officeDocument/2006/relationships/image" Target="media/image43.emf"/><Relationship Id="rId77" Type="http://schemas.openxmlformats.org/officeDocument/2006/relationships/footer" Target="footer6.xml"/><Relationship Id="rId100" Type="http://schemas.openxmlformats.org/officeDocument/2006/relationships/image" Target="media/image58.png"/><Relationship Id="rId105" Type="http://schemas.openxmlformats.org/officeDocument/2006/relationships/header" Target="header9.xml"/><Relationship Id="rId113" Type="http://schemas.openxmlformats.org/officeDocument/2006/relationships/hyperlink" Target="mailto:info@ABIVAX.com" TargetMode="External"/><Relationship Id="rId8" Type="http://schemas.openxmlformats.org/officeDocument/2006/relationships/image" Target="media/image1.png"/><Relationship Id="rId51" Type="http://schemas.openxmlformats.org/officeDocument/2006/relationships/image" Target="media/image25.emf"/><Relationship Id="rId72" Type="http://schemas.openxmlformats.org/officeDocument/2006/relationships/image" Target="media/image46.emf"/><Relationship Id="rId80" Type="http://schemas.openxmlformats.org/officeDocument/2006/relationships/footer" Target="footer8.xml"/><Relationship Id="rId85" Type="http://schemas.openxmlformats.org/officeDocument/2006/relationships/diagramQuickStyle" Target="diagrams/quickStyle2.xml"/><Relationship Id="rId93" Type="http://schemas.openxmlformats.org/officeDocument/2006/relationships/footer" Target="footer11.xml"/><Relationship Id="rId98"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hyperlink" Target="mailto:info@abivax.com" TargetMode="External"/><Relationship Id="rId17" Type="http://schemas.openxmlformats.org/officeDocument/2006/relationships/footer" Target="footer2.xml"/><Relationship Id="rId25" Type="http://schemas.openxmlformats.org/officeDocument/2006/relationships/image" Target="media/image5.emf"/><Relationship Id="rId33" Type="http://schemas.openxmlformats.org/officeDocument/2006/relationships/image" Target="media/image13.png"/><Relationship Id="rId38" Type="http://schemas.openxmlformats.org/officeDocument/2006/relationships/diagramData" Target="diagrams/data1.xml"/><Relationship Id="rId46" Type="http://schemas.openxmlformats.org/officeDocument/2006/relationships/image" Target="media/image21.png"/><Relationship Id="rId59" Type="http://schemas.openxmlformats.org/officeDocument/2006/relationships/image" Target="media/image33.emf"/><Relationship Id="rId67" Type="http://schemas.openxmlformats.org/officeDocument/2006/relationships/image" Target="media/image41.emf"/><Relationship Id="rId103" Type="http://schemas.openxmlformats.org/officeDocument/2006/relationships/header" Target="header8.xml"/><Relationship Id="rId108" Type="http://schemas.openxmlformats.org/officeDocument/2006/relationships/hyperlink" Target="http://www.amf-france.org" TargetMode="External"/><Relationship Id="rId116"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diagramColors" Target="diagrams/colors1.xml"/><Relationship Id="rId54" Type="http://schemas.openxmlformats.org/officeDocument/2006/relationships/image" Target="media/image28.emf"/><Relationship Id="rId62" Type="http://schemas.openxmlformats.org/officeDocument/2006/relationships/image" Target="media/image36.emf"/><Relationship Id="rId70" Type="http://schemas.openxmlformats.org/officeDocument/2006/relationships/image" Target="media/image44.emf"/><Relationship Id="rId75" Type="http://schemas.openxmlformats.org/officeDocument/2006/relationships/image" Target="media/image49.emf"/><Relationship Id="rId83" Type="http://schemas.openxmlformats.org/officeDocument/2006/relationships/diagramData" Target="diagrams/data2.xml"/><Relationship Id="rId88" Type="http://schemas.openxmlformats.org/officeDocument/2006/relationships/header" Target="header6.xml"/><Relationship Id="rId91" Type="http://schemas.openxmlformats.org/officeDocument/2006/relationships/image" Target="media/image52.png"/><Relationship Id="rId96" Type="http://schemas.openxmlformats.org/officeDocument/2006/relationships/image" Target="media/image54.png"/><Relationship Id="rId111"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oter" Target="footer5.xml"/><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hyperlink" Target="http://www.ABIVAX.com/fr/investisseurs/assemblee-generale.html" TargetMode="External"/><Relationship Id="rId57" Type="http://schemas.openxmlformats.org/officeDocument/2006/relationships/image" Target="media/image31.emf"/><Relationship Id="rId106" Type="http://schemas.openxmlformats.org/officeDocument/2006/relationships/footer" Target="footer15.xml"/><Relationship Id="rId114" Type="http://schemas.openxmlformats.org/officeDocument/2006/relationships/hyperlink" Target="http://www.ABIVAX.com" TargetMode="External"/><Relationship Id="rId10" Type="http://schemas.openxmlformats.org/officeDocument/2006/relationships/hyperlink" Target="http://www.ABIVAX.com" TargetMode="External"/><Relationship Id="rId31" Type="http://schemas.openxmlformats.org/officeDocument/2006/relationships/image" Target="media/image11.emf"/><Relationship Id="rId44" Type="http://schemas.openxmlformats.org/officeDocument/2006/relationships/image" Target="media/image19.png"/><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image" Target="media/image47.emf"/><Relationship Id="rId78" Type="http://schemas.openxmlformats.org/officeDocument/2006/relationships/header" Target="header4.xml"/><Relationship Id="rId81" Type="http://schemas.openxmlformats.org/officeDocument/2006/relationships/header" Target="header5.xml"/><Relationship Id="rId86" Type="http://schemas.openxmlformats.org/officeDocument/2006/relationships/diagramColors" Target="diagrams/colors2.xml"/><Relationship Id="rId94" Type="http://schemas.openxmlformats.org/officeDocument/2006/relationships/footer" Target="footer12.xml"/><Relationship Id="rId99" Type="http://schemas.openxmlformats.org/officeDocument/2006/relationships/image" Target="media/image57.png"/><Relationship Id="rId101"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info@ABIVAX.com" TargetMode="External"/><Relationship Id="rId18" Type="http://schemas.openxmlformats.org/officeDocument/2006/relationships/header" Target="header1.xml"/><Relationship Id="rId39" Type="http://schemas.openxmlformats.org/officeDocument/2006/relationships/diagramLayout" Target="diagrams/layout1.xml"/><Relationship Id="rId109" Type="http://schemas.openxmlformats.org/officeDocument/2006/relationships/header" Target="header10.xml"/><Relationship Id="rId34" Type="http://schemas.openxmlformats.org/officeDocument/2006/relationships/image" Target="media/image14.emf"/><Relationship Id="rId50" Type="http://schemas.openxmlformats.org/officeDocument/2006/relationships/image" Target="media/image24.emf"/><Relationship Id="rId55" Type="http://schemas.openxmlformats.org/officeDocument/2006/relationships/image" Target="media/image29.emf"/><Relationship Id="rId76" Type="http://schemas.openxmlformats.org/officeDocument/2006/relationships/image" Target="media/image50.emf"/><Relationship Id="rId97" Type="http://schemas.openxmlformats.org/officeDocument/2006/relationships/image" Target="media/image55.png"/><Relationship Id="rId104"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image" Target="media/image45.emf"/><Relationship Id="rId92" Type="http://schemas.openxmlformats.org/officeDocument/2006/relationships/header" Target="header7.xml"/><Relationship Id="rId2" Type="http://schemas.openxmlformats.org/officeDocument/2006/relationships/numbering" Target="numbering.xml"/><Relationship Id="rId29" Type="http://schemas.openxmlformats.org/officeDocument/2006/relationships/image" Target="media/image9.emf"/></Relationships>
</file>

<file path=word/_rels/footnotes.xml.rels><?xml version="1.0" encoding="UTF-8" standalone="yes"?>
<Relationships xmlns="http://schemas.openxmlformats.org/package/2006/relationships"><Relationship Id="rId8" Type="http://schemas.openxmlformats.org/officeDocument/2006/relationships/hyperlink" Target="http://www.ncbi.nlm.nih.gov/pubmed/?term=Giaquinto%20C%5BAuthor%5D&amp;cauthor=true&amp;cauthor_uid=23740717" TargetMode="External"/><Relationship Id="rId3" Type="http://schemas.openxmlformats.org/officeDocument/2006/relationships/hyperlink" Target="http://www.ncbi.nlm.nih.gov/pubmed/?term=Albert%20J%5BAuthor%5D&amp;cauthor=true&amp;cauthor_uid=23740717" TargetMode="External"/><Relationship Id="rId7" Type="http://schemas.openxmlformats.org/officeDocument/2006/relationships/hyperlink" Target="http://www.ncbi.nlm.nih.gov/pubmed/?term=Clotet%20B%5BAuthor%5D&amp;cauthor=true&amp;cauthor_uid=23740717" TargetMode="External"/><Relationship Id="rId2" Type="http://schemas.openxmlformats.org/officeDocument/2006/relationships/hyperlink" Target="http://www.ncbi.nlm.nih.gov/pubmed/?term=Pillay%20D%5BAuthor%5D&amp;cauthor=true&amp;cauthor_uid=23740717" TargetMode="External"/><Relationship Id="rId1" Type="http://schemas.openxmlformats.org/officeDocument/2006/relationships/hyperlink" Target="http://www.ncbi.nlm.nih.gov/pubmed/23740717" TargetMode="External"/><Relationship Id="rId6" Type="http://schemas.openxmlformats.org/officeDocument/2006/relationships/hyperlink" Target="http://www.ncbi.nlm.nih.gov/pubmed/?term=Brun-Vezinet%20F%5BAuthor%5D&amp;cauthor=true&amp;cauthor_uid=23740717" TargetMode="External"/><Relationship Id="rId5" Type="http://schemas.openxmlformats.org/officeDocument/2006/relationships/hyperlink" Target="http://www.ncbi.nlm.nih.gov/pubmed/?term=Boucher%20C%5BAuthor%5D&amp;cauthor=true&amp;cauthor_uid=23740717" TargetMode="External"/><Relationship Id="rId4" Type="http://schemas.openxmlformats.org/officeDocument/2006/relationships/hyperlink" Target="http://www.ncbi.nlm.nih.gov/pubmed/?term=Bertagnolio%20S%5BAuthor%5D&amp;cauthor=true&amp;cauthor_uid=23740717" TargetMode="External"/><Relationship Id="rId9" Type="http://schemas.openxmlformats.org/officeDocument/2006/relationships/hyperlink" Target="http://www.ncbi.nlm.nih.gov/pubmed/?term=Perno%20CF%5BAuthor%5D&amp;cauthor=true&amp;cauthor_uid=23740717"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EDDA25-FA6E-458E-B817-66855E8987D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A7C65B6A-6AC9-440A-A606-C81BD80BDF2D}">
      <dgm:prSet phldrT="[Texte]" custT="1"/>
      <dgm:spPr>
        <a:noFill/>
        <a:ln w="12700">
          <a:solidFill>
            <a:srgbClr val="7030A0"/>
          </a:solidFill>
        </a:ln>
      </dgm:spPr>
      <dgm:t>
        <a:bodyPr/>
        <a:lstStyle/>
        <a:p>
          <a:pPr algn="ctr"/>
          <a:r>
            <a:rPr lang="fr-FR" sz="900" b="1" dirty="0">
              <a:solidFill>
                <a:schemeClr val="tx1"/>
              </a:solidFill>
              <a:latin typeface="Calibri "/>
            </a:rPr>
            <a:t>PR. HARTMUT EHRLICH</a:t>
          </a:r>
        </a:p>
        <a:p>
          <a:pPr algn="ctr"/>
          <a:r>
            <a:rPr lang="fr-FR" sz="900" dirty="0">
              <a:solidFill>
                <a:schemeClr val="tx1"/>
              </a:solidFill>
              <a:latin typeface="Calibri "/>
            </a:rPr>
            <a:t>Directeur Général</a:t>
          </a:r>
          <a:endParaRPr lang="fr-FR" sz="900" dirty="0"/>
        </a:p>
      </dgm:t>
    </dgm:pt>
    <dgm:pt modelId="{39768BEC-2959-4A24-88EB-CF178F4A602D}" type="parTrans" cxnId="{F2A0DD98-FCA0-4095-8441-4EEEB64074BF}">
      <dgm:prSet/>
      <dgm:spPr/>
      <dgm:t>
        <a:bodyPr/>
        <a:lstStyle/>
        <a:p>
          <a:pPr algn="ctr"/>
          <a:endParaRPr lang="fr-FR" sz="1600"/>
        </a:p>
      </dgm:t>
    </dgm:pt>
    <dgm:pt modelId="{7EBD7509-C4D4-4F3F-AFD0-27967F0F2A68}" type="sibTrans" cxnId="{F2A0DD98-FCA0-4095-8441-4EEEB64074BF}">
      <dgm:prSet/>
      <dgm:spPr/>
      <dgm:t>
        <a:bodyPr/>
        <a:lstStyle/>
        <a:p>
          <a:pPr algn="ctr"/>
          <a:endParaRPr lang="fr-FR" sz="1600"/>
        </a:p>
      </dgm:t>
    </dgm:pt>
    <dgm:pt modelId="{25CD0DEF-3D36-4589-A84A-B0ECFF9C7C6E}">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JEAN-MARC STEENS</a:t>
          </a:r>
        </a:p>
        <a:p>
          <a:pPr algn="ctr"/>
          <a:r>
            <a:rPr lang="fr-FR" sz="900" dirty="0">
              <a:solidFill>
                <a:schemeClr val="tx1"/>
              </a:solidFill>
              <a:latin typeface="Calibri "/>
            </a:rPr>
            <a:t>V.P. Directeur </a:t>
          </a:r>
        </a:p>
        <a:p>
          <a:pPr algn="ctr"/>
          <a:r>
            <a:rPr lang="fr-FR" sz="900" dirty="0">
              <a:solidFill>
                <a:schemeClr val="tx1"/>
              </a:solidFill>
              <a:latin typeface="Calibri "/>
            </a:rPr>
            <a:t>Médical</a:t>
          </a:r>
          <a:endParaRPr lang="fr-FR" sz="900" b="1" dirty="0">
            <a:solidFill>
              <a:sysClr val="windowText" lastClr="000000"/>
            </a:solidFill>
            <a:latin typeface="Calibri "/>
          </a:endParaRPr>
        </a:p>
      </dgm:t>
    </dgm:pt>
    <dgm:pt modelId="{3BA6E236-8BAC-40B9-8C90-F25C8B0F404F}" type="parTrans" cxnId="{382793C6-6243-4EAF-90BD-E9110EE82D89}">
      <dgm:prSet/>
      <dgm:spPr>
        <a:ln>
          <a:solidFill>
            <a:srgbClr val="7030A0"/>
          </a:solidFill>
        </a:ln>
      </dgm:spPr>
      <dgm:t>
        <a:bodyPr/>
        <a:lstStyle/>
        <a:p>
          <a:pPr algn="ctr"/>
          <a:endParaRPr lang="fr-FR" sz="1600"/>
        </a:p>
      </dgm:t>
    </dgm:pt>
    <dgm:pt modelId="{4AF2DA10-EDA5-4D6B-BE33-5F10134B20E5}" type="sibTrans" cxnId="{382793C6-6243-4EAF-90BD-E9110EE82D89}">
      <dgm:prSet/>
      <dgm:spPr/>
      <dgm:t>
        <a:bodyPr/>
        <a:lstStyle/>
        <a:p>
          <a:pPr algn="ctr"/>
          <a:endParaRPr lang="fr-FR" sz="1600"/>
        </a:p>
      </dgm:t>
    </dgm:pt>
    <dgm:pt modelId="{34B5A4A0-F136-442C-852D-CED09B1FEA13}">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DIDIER SCHERRER</a:t>
          </a:r>
        </a:p>
        <a:p>
          <a:pPr algn="ctr"/>
          <a:r>
            <a:rPr lang="fr-FR" sz="900" dirty="0">
              <a:solidFill>
                <a:schemeClr val="tx1"/>
              </a:solidFill>
              <a:latin typeface="Calibri "/>
            </a:rPr>
            <a:t>V.P. Directeur de la Recherche</a:t>
          </a:r>
          <a:endParaRPr lang="fr-FR" sz="800" b="1" dirty="0">
            <a:solidFill>
              <a:schemeClr val="tx1"/>
            </a:solidFill>
            <a:latin typeface="Calibri "/>
          </a:endParaRPr>
        </a:p>
      </dgm:t>
    </dgm:pt>
    <dgm:pt modelId="{16CF680E-1518-4982-95C9-014D72C41C93}" type="parTrans" cxnId="{02254FCD-E664-41AC-8612-C15AF18868A0}">
      <dgm:prSet/>
      <dgm:spPr>
        <a:ln>
          <a:solidFill>
            <a:srgbClr val="7030A0"/>
          </a:solidFill>
        </a:ln>
      </dgm:spPr>
      <dgm:t>
        <a:bodyPr/>
        <a:lstStyle/>
        <a:p>
          <a:pPr algn="ctr"/>
          <a:endParaRPr lang="fr-FR" sz="1600"/>
        </a:p>
      </dgm:t>
    </dgm:pt>
    <dgm:pt modelId="{49D2F7ED-EBBB-478A-A2AB-07A283232563}" type="sibTrans" cxnId="{02254FCD-E664-41AC-8612-C15AF18868A0}">
      <dgm:prSet/>
      <dgm:spPr/>
      <dgm:t>
        <a:bodyPr/>
        <a:lstStyle/>
        <a:p>
          <a:pPr algn="ctr"/>
          <a:endParaRPr lang="fr-FR" sz="1600"/>
        </a:p>
      </dgm:t>
    </dgm:pt>
    <dgm:pt modelId="{CDC82CD7-1E53-4189-A7B4-E6654F01562F}">
      <dgm:prSet custT="1"/>
      <dgm:spPr>
        <a:noFill/>
        <a:ln w="12700">
          <a:solidFill>
            <a:srgbClr val="7030A0"/>
          </a:solidFill>
        </a:ln>
      </dgm:spPr>
      <dgm:t>
        <a:bodyPr/>
        <a:lstStyle/>
        <a:p>
          <a:pPr algn="ctr"/>
          <a:r>
            <a:rPr lang="fr-FR" sz="900" b="1" dirty="0">
              <a:solidFill>
                <a:sysClr val="windowText" lastClr="000000"/>
              </a:solidFill>
              <a:latin typeface="Calibri "/>
            </a:rPr>
            <a:t>JEROME DENIS </a:t>
          </a:r>
        </a:p>
        <a:p>
          <a:pPr algn="ctr"/>
          <a:r>
            <a:rPr lang="fr-FR" sz="900" dirty="0">
              <a:solidFill>
                <a:sysClr val="windowText" lastClr="000000"/>
              </a:solidFill>
              <a:latin typeface="Calibri "/>
            </a:rPr>
            <a:t>V.P. Directeur de la Production et du Développement des Procédés </a:t>
          </a:r>
          <a:endParaRPr lang="fr-FR" sz="900" b="1" dirty="0">
            <a:solidFill>
              <a:schemeClr val="tx1"/>
            </a:solidFill>
            <a:latin typeface="Calibri "/>
          </a:endParaRPr>
        </a:p>
      </dgm:t>
    </dgm:pt>
    <dgm:pt modelId="{F3938036-EB65-488D-A505-8AA0F88CD3F4}" type="parTrans" cxnId="{85DB731C-8C28-41E6-A63F-68DD0ECFAFA9}">
      <dgm:prSet/>
      <dgm:spPr>
        <a:ln>
          <a:solidFill>
            <a:srgbClr val="7030A0"/>
          </a:solidFill>
        </a:ln>
      </dgm:spPr>
      <dgm:t>
        <a:bodyPr/>
        <a:lstStyle/>
        <a:p>
          <a:pPr algn="ctr"/>
          <a:endParaRPr lang="fr-FR" sz="1600"/>
        </a:p>
      </dgm:t>
    </dgm:pt>
    <dgm:pt modelId="{C175B4D3-6882-45D2-BDB5-8F23025F5F57}" type="sibTrans" cxnId="{85DB731C-8C28-41E6-A63F-68DD0ECFAFA9}">
      <dgm:prSet/>
      <dgm:spPr/>
      <dgm:t>
        <a:bodyPr/>
        <a:lstStyle/>
        <a:p>
          <a:pPr algn="ctr"/>
          <a:endParaRPr lang="fr-FR" sz="1600"/>
        </a:p>
      </dgm:t>
    </dgm:pt>
    <dgm:pt modelId="{DCB0481C-B45B-43D1-83B9-D8D144155D95}">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DIDIER BLONDEL</a:t>
          </a:r>
        </a:p>
        <a:p>
          <a:pPr algn="ctr"/>
          <a:r>
            <a:rPr lang="fr-FR" sz="900" dirty="0">
              <a:solidFill>
                <a:schemeClr val="tx1"/>
              </a:solidFill>
              <a:latin typeface="Calibri "/>
            </a:rPr>
            <a:t>V.P. Directeur Administratif &amp; Financier et </a:t>
          </a:r>
        </a:p>
        <a:p>
          <a:pPr algn="ctr"/>
          <a:r>
            <a:rPr lang="fr-FR" sz="900" dirty="0">
              <a:solidFill>
                <a:schemeClr val="tx1"/>
              </a:solidFill>
              <a:latin typeface="Calibri "/>
            </a:rPr>
            <a:t>Secrétaire du Conseil d'Administration</a:t>
          </a:r>
          <a:endParaRPr lang="fr-FR" sz="900" b="1" dirty="0">
            <a:solidFill>
              <a:schemeClr val="tx1"/>
            </a:solidFill>
            <a:latin typeface="Calibri "/>
          </a:endParaRPr>
        </a:p>
      </dgm:t>
    </dgm:pt>
    <dgm:pt modelId="{F11E5023-A25C-42EC-B10D-5401D5B4F9F3}" type="parTrans" cxnId="{9176618C-78E3-4EEE-BFA5-FE26B48EED72}">
      <dgm:prSet/>
      <dgm:spPr>
        <a:ln>
          <a:solidFill>
            <a:srgbClr val="7030A0"/>
          </a:solidFill>
        </a:ln>
      </dgm:spPr>
      <dgm:t>
        <a:bodyPr/>
        <a:lstStyle/>
        <a:p>
          <a:pPr algn="ctr"/>
          <a:endParaRPr lang="fr-FR" sz="1600"/>
        </a:p>
      </dgm:t>
    </dgm:pt>
    <dgm:pt modelId="{8D7E1589-486F-49A0-8F65-DD3E52CA9C91}" type="sibTrans" cxnId="{9176618C-78E3-4EEE-BFA5-FE26B48EED72}">
      <dgm:prSet/>
      <dgm:spPr/>
      <dgm:t>
        <a:bodyPr/>
        <a:lstStyle/>
        <a:p>
          <a:pPr algn="ctr"/>
          <a:endParaRPr lang="fr-FR" sz="1600"/>
        </a:p>
      </dgm:t>
    </dgm:pt>
    <dgm:pt modelId="{00661EC0-12FA-47A9-865E-0FAF13E582AB}">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PIERRE COURTEILLE</a:t>
          </a:r>
        </a:p>
        <a:p>
          <a:pPr algn="ctr"/>
          <a:r>
            <a:rPr lang="fr-FR" sz="900" dirty="0">
              <a:solidFill>
                <a:schemeClr val="tx1"/>
              </a:solidFill>
              <a:latin typeface="Calibri "/>
            </a:rPr>
            <a:t>V.P. Directeur Commercial et du Business </a:t>
          </a:r>
          <a:r>
            <a:rPr lang="fr-FR" sz="900" dirty="0" err="1">
              <a:solidFill>
                <a:schemeClr val="tx1"/>
              </a:solidFill>
              <a:latin typeface="Calibri "/>
            </a:rPr>
            <a:t>Development</a:t>
          </a:r>
          <a:r>
            <a:rPr lang="fr-FR" sz="900" dirty="0">
              <a:solidFill>
                <a:schemeClr val="tx1"/>
              </a:solidFill>
              <a:latin typeface="Calibri "/>
            </a:rPr>
            <a:t> </a:t>
          </a:r>
          <a:endParaRPr lang="fr-FR" sz="900" b="1" dirty="0">
            <a:solidFill>
              <a:schemeClr val="tx1"/>
            </a:solidFill>
            <a:latin typeface="Calibri "/>
          </a:endParaRPr>
        </a:p>
      </dgm:t>
    </dgm:pt>
    <dgm:pt modelId="{1F92ABFC-3E3D-49FC-BF0B-E24C27A21829}" type="parTrans" cxnId="{29F61593-C3A3-4EC3-BD7F-DB506D964BED}">
      <dgm:prSet/>
      <dgm:spPr>
        <a:ln>
          <a:solidFill>
            <a:srgbClr val="7030A0"/>
          </a:solidFill>
        </a:ln>
      </dgm:spPr>
      <dgm:t>
        <a:bodyPr/>
        <a:lstStyle/>
        <a:p>
          <a:pPr algn="ctr"/>
          <a:endParaRPr lang="fr-FR" sz="1600"/>
        </a:p>
      </dgm:t>
    </dgm:pt>
    <dgm:pt modelId="{98BC2A65-2B0B-482A-A103-53A7872B6EF4}" type="sibTrans" cxnId="{29F61593-C3A3-4EC3-BD7F-DB506D964BED}">
      <dgm:prSet/>
      <dgm:spPr/>
      <dgm:t>
        <a:bodyPr/>
        <a:lstStyle/>
        <a:p>
          <a:pPr algn="ctr"/>
          <a:endParaRPr lang="fr-FR" sz="1600"/>
        </a:p>
      </dgm:t>
    </dgm:pt>
    <dgm:pt modelId="{EE62B8F1-F4E6-48A2-960A-48CDD1FA55B0}">
      <dgm:prSet custT="1"/>
      <dgm:spPr>
        <a:noFill/>
        <a:ln>
          <a:solidFill>
            <a:srgbClr val="7030A0"/>
          </a:solidFill>
        </a:ln>
      </dgm:spPr>
      <dgm:t>
        <a:bodyPr/>
        <a:lstStyle/>
        <a:p>
          <a:pPr algn="ctr">
            <a:spcAft>
              <a:spcPct val="35000"/>
            </a:spcAft>
          </a:pPr>
          <a:r>
            <a:rPr lang="fr-FR" sz="900" b="1" dirty="0">
              <a:solidFill>
                <a:sysClr val="windowText" lastClr="000000"/>
              </a:solidFill>
              <a:latin typeface="Calibri "/>
            </a:rPr>
            <a:t>PAUL GINESTE</a:t>
          </a:r>
        </a:p>
        <a:p>
          <a:pPr algn="ctr">
            <a:spcAft>
              <a:spcPts val="0"/>
            </a:spcAft>
          </a:pPr>
          <a:r>
            <a:rPr lang="fr-FR" sz="900" dirty="0" err="1">
              <a:solidFill>
                <a:schemeClr val="tx1"/>
              </a:solidFill>
              <a:latin typeface="Calibri "/>
            </a:rPr>
            <a:t>V.P. Opérations Cliniques</a:t>
          </a:r>
        </a:p>
        <a:p>
          <a:pPr algn="ctr">
            <a:spcAft>
              <a:spcPts val="0"/>
            </a:spcAft>
          </a:pPr>
          <a:r>
            <a:rPr lang="fr-FR" sz="900" dirty="0">
              <a:solidFill>
                <a:schemeClr val="tx1"/>
              </a:solidFill>
              <a:latin typeface="Calibri "/>
            </a:rPr>
            <a:t> </a:t>
          </a:r>
          <a:endParaRPr lang="en-US" sz="600" dirty="0">
            <a:solidFill>
              <a:sysClr val="windowText" lastClr="000000"/>
            </a:solidFill>
          </a:endParaRPr>
        </a:p>
        <a:p>
          <a:pPr algn="ctr">
            <a:spcAft>
              <a:spcPct val="35000"/>
            </a:spcAft>
          </a:pPr>
          <a:endParaRPr lang="en-US" sz="600" dirty="0">
            <a:solidFill>
              <a:sysClr val="windowText" lastClr="000000"/>
            </a:solidFill>
          </a:endParaRPr>
        </a:p>
      </dgm:t>
    </dgm:pt>
    <dgm:pt modelId="{EAC9F0F0-04CA-4A22-834B-6E78B2B6E0F7}" type="parTrans" cxnId="{F2F9C6AC-96D5-4FE8-86D2-66DCE502C612}">
      <dgm:prSet/>
      <dgm:spPr>
        <a:ln>
          <a:solidFill>
            <a:srgbClr val="7030A0"/>
          </a:solidFill>
        </a:ln>
      </dgm:spPr>
      <dgm:t>
        <a:bodyPr/>
        <a:lstStyle/>
        <a:p>
          <a:endParaRPr lang="en-US">
            <a:solidFill>
              <a:srgbClr val="7030A0"/>
            </a:solidFill>
          </a:endParaRPr>
        </a:p>
      </dgm:t>
    </dgm:pt>
    <dgm:pt modelId="{11644282-1359-41CE-81FB-4C544509C3AA}" type="sibTrans" cxnId="{F2F9C6AC-96D5-4FE8-86D2-66DCE502C612}">
      <dgm:prSet/>
      <dgm:spPr/>
      <dgm:t>
        <a:bodyPr/>
        <a:lstStyle/>
        <a:p>
          <a:endParaRPr lang="en-US"/>
        </a:p>
      </dgm:t>
    </dgm:pt>
    <dgm:pt modelId="{01CE80BC-6053-449A-A489-32215BBB068C}">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BERNARD FANGET</a:t>
          </a:r>
        </a:p>
        <a:p>
          <a:pPr algn="ctr"/>
          <a:r>
            <a:rPr lang="fr-FR" sz="900" b="0" dirty="0">
              <a:solidFill>
                <a:schemeClr val="tx1"/>
              </a:solidFill>
              <a:latin typeface="Calibri "/>
            </a:rPr>
            <a:t>V.P. Affaires réglementaires</a:t>
          </a:r>
        </a:p>
      </dgm:t>
    </dgm:pt>
    <dgm:pt modelId="{7F90440C-5F41-4008-9FEA-2DC8E6B30C53}" type="parTrans" cxnId="{9B4F8EC6-EA5E-4C92-B802-832022540C14}">
      <dgm:prSet/>
      <dgm:spPr/>
      <dgm:t>
        <a:bodyPr/>
        <a:lstStyle/>
        <a:p>
          <a:endParaRPr lang="fr-FR"/>
        </a:p>
      </dgm:t>
    </dgm:pt>
    <dgm:pt modelId="{162C5EF0-CC3D-4534-A3FA-2EAAB35C26B5}" type="sibTrans" cxnId="{9B4F8EC6-EA5E-4C92-B802-832022540C14}">
      <dgm:prSet/>
      <dgm:spPr/>
      <dgm:t>
        <a:bodyPr/>
        <a:lstStyle/>
        <a:p>
          <a:endParaRPr lang="fr-FR"/>
        </a:p>
      </dgm:t>
    </dgm:pt>
    <dgm:pt modelId="{34F47BE1-8FF8-43A4-B183-7B27DE0785B5}" type="pres">
      <dgm:prSet presAssocID="{2BEDDA25-FA6E-458E-B817-66855E8987DF}" presName="hierChild1" presStyleCnt="0">
        <dgm:presLayoutVars>
          <dgm:orgChart val="1"/>
          <dgm:chPref val="1"/>
          <dgm:dir/>
          <dgm:animOne val="branch"/>
          <dgm:animLvl val="lvl"/>
          <dgm:resizeHandles/>
        </dgm:presLayoutVars>
      </dgm:prSet>
      <dgm:spPr/>
    </dgm:pt>
    <dgm:pt modelId="{6A572C49-881A-4ED4-8FB6-A933C9B48317}" type="pres">
      <dgm:prSet presAssocID="{A7C65B6A-6AC9-440A-A606-C81BD80BDF2D}" presName="hierRoot1" presStyleCnt="0">
        <dgm:presLayoutVars>
          <dgm:hierBranch val="init"/>
        </dgm:presLayoutVars>
      </dgm:prSet>
      <dgm:spPr/>
    </dgm:pt>
    <dgm:pt modelId="{3AA2D5A4-6D7D-4A3F-B157-5773AD3E8B86}" type="pres">
      <dgm:prSet presAssocID="{A7C65B6A-6AC9-440A-A606-C81BD80BDF2D}" presName="rootComposite1" presStyleCnt="0"/>
      <dgm:spPr/>
    </dgm:pt>
    <dgm:pt modelId="{91ABCFC2-F188-4BFE-9C9E-4D4CA72E670F}" type="pres">
      <dgm:prSet presAssocID="{A7C65B6A-6AC9-440A-A606-C81BD80BDF2D}" presName="rootText1" presStyleLbl="node0" presStyleIdx="0" presStyleCnt="1" custScaleX="525477" custScaleY="268166" custLinFactNeighborX="0" custLinFactNeighborY="30462">
        <dgm:presLayoutVars>
          <dgm:chPref val="3"/>
        </dgm:presLayoutVars>
      </dgm:prSet>
      <dgm:spPr/>
    </dgm:pt>
    <dgm:pt modelId="{6A691DD9-2801-45B5-9E37-BEF856B93447}" type="pres">
      <dgm:prSet presAssocID="{A7C65B6A-6AC9-440A-A606-C81BD80BDF2D}" presName="rootConnector1" presStyleLbl="node1" presStyleIdx="0" presStyleCnt="0"/>
      <dgm:spPr/>
    </dgm:pt>
    <dgm:pt modelId="{F0A1E5E6-5609-4D80-B6C7-A8F16C478FB7}" type="pres">
      <dgm:prSet presAssocID="{A7C65B6A-6AC9-440A-A606-C81BD80BDF2D}" presName="hierChild2" presStyleCnt="0"/>
      <dgm:spPr/>
    </dgm:pt>
    <dgm:pt modelId="{A746AE96-6E98-4104-9082-B7EAEE45EE0D}" type="pres">
      <dgm:prSet presAssocID="{F11E5023-A25C-42EC-B10D-5401D5B4F9F3}" presName="Name37" presStyleLbl="parChTrans1D2" presStyleIdx="0" presStyleCnt="7"/>
      <dgm:spPr/>
    </dgm:pt>
    <dgm:pt modelId="{77F662FB-AADF-485F-A8EF-EDEDC462F55B}" type="pres">
      <dgm:prSet presAssocID="{DCB0481C-B45B-43D1-83B9-D8D144155D95}" presName="hierRoot2" presStyleCnt="0">
        <dgm:presLayoutVars>
          <dgm:hierBranch val="init"/>
        </dgm:presLayoutVars>
      </dgm:prSet>
      <dgm:spPr/>
    </dgm:pt>
    <dgm:pt modelId="{D5212000-3645-461C-B96E-7AEABC998D0C}" type="pres">
      <dgm:prSet presAssocID="{DCB0481C-B45B-43D1-83B9-D8D144155D95}" presName="rootComposite" presStyleCnt="0"/>
      <dgm:spPr/>
    </dgm:pt>
    <dgm:pt modelId="{7ABFFCC2-6BF7-458B-99F6-F9709A72616B}" type="pres">
      <dgm:prSet presAssocID="{DCB0481C-B45B-43D1-83B9-D8D144155D95}" presName="rootText" presStyleLbl="node2" presStyleIdx="0" presStyleCnt="7" custScaleX="262785" custScaleY="804497" custLinFactY="100000" custLinFactNeighborY="142530">
        <dgm:presLayoutVars>
          <dgm:chPref val="3"/>
        </dgm:presLayoutVars>
      </dgm:prSet>
      <dgm:spPr/>
    </dgm:pt>
    <dgm:pt modelId="{2895AA30-B5D2-4761-9015-2BA01A1AA0D1}" type="pres">
      <dgm:prSet presAssocID="{DCB0481C-B45B-43D1-83B9-D8D144155D95}" presName="rootConnector" presStyleLbl="node2" presStyleIdx="0" presStyleCnt="7"/>
      <dgm:spPr/>
    </dgm:pt>
    <dgm:pt modelId="{02FC1AAC-3416-4D3D-BB9A-AE27660D7C4A}" type="pres">
      <dgm:prSet presAssocID="{DCB0481C-B45B-43D1-83B9-D8D144155D95}" presName="hierChild4" presStyleCnt="0"/>
      <dgm:spPr/>
    </dgm:pt>
    <dgm:pt modelId="{C6DF9A68-3064-421A-9195-C89D5D37A8E4}" type="pres">
      <dgm:prSet presAssocID="{DCB0481C-B45B-43D1-83B9-D8D144155D95}" presName="hierChild5" presStyleCnt="0"/>
      <dgm:spPr/>
    </dgm:pt>
    <dgm:pt modelId="{5204631E-74EB-40E8-A900-343E0649A8B2}" type="pres">
      <dgm:prSet presAssocID="{1F92ABFC-3E3D-49FC-BF0B-E24C27A21829}" presName="Name37" presStyleLbl="parChTrans1D2" presStyleIdx="1" presStyleCnt="7"/>
      <dgm:spPr/>
    </dgm:pt>
    <dgm:pt modelId="{B7328F7B-6ECD-4ABF-8304-3754F18C7233}" type="pres">
      <dgm:prSet presAssocID="{00661EC0-12FA-47A9-865E-0FAF13E582AB}" presName="hierRoot2" presStyleCnt="0">
        <dgm:presLayoutVars>
          <dgm:hierBranch val="init"/>
        </dgm:presLayoutVars>
      </dgm:prSet>
      <dgm:spPr/>
    </dgm:pt>
    <dgm:pt modelId="{187EF40A-C644-4282-8B27-179B4E347095}" type="pres">
      <dgm:prSet presAssocID="{00661EC0-12FA-47A9-865E-0FAF13E582AB}" presName="rootComposite" presStyleCnt="0"/>
      <dgm:spPr/>
    </dgm:pt>
    <dgm:pt modelId="{1B8FD9C0-D24A-44AB-AD2E-8AAA492BAA32}" type="pres">
      <dgm:prSet presAssocID="{00661EC0-12FA-47A9-865E-0FAF13E582AB}" presName="rootText" presStyleLbl="node2" presStyleIdx="1" presStyleCnt="7" custScaleX="262785" custScaleY="804497" custLinFactY="100000" custLinFactNeighborY="142530">
        <dgm:presLayoutVars>
          <dgm:chPref val="3"/>
        </dgm:presLayoutVars>
      </dgm:prSet>
      <dgm:spPr/>
    </dgm:pt>
    <dgm:pt modelId="{99159C85-1D58-4C87-849B-395E800C3809}" type="pres">
      <dgm:prSet presAssocID="{00661EC0-12FA-47A9-865E-0FAF13E582AB}" presName="rootConnector" presStyleLbl="node2" presStyleIdx="1" presStyleCnt="7"/>
      <dgm:spPr/>
    </dgm:pt>
    <dgm:pt modelId="{DB81C859-6EAD-4BAA-82E7-D7F7A2577C41}" type="pres">
      <dgm:prSet presAssocID="{00661EC0-12FA-47A9-865E-0FAF13E582AB}" presName="hierChild4" presStyleCnt="0"/>
      <dgm:spPr/>
    </dgm:pt>
    <dgm:pt modelId="{065F31F9-E2B5-4852-B16E-A07A0FD0AE98}" type="pres">
      <dgm:prSet presAssocID="{00661EC0-12FA-47A9-865E-0FAF13E582AB}" presName="hierChild5" presStyleCnt="0"/>
      <dgm:spPr/>
    </dgm:pt>
    <dgm:pt modelId="{5074BED5-7F8D-4722-8C22-FCAF11748259}" type="pres">
      <dgm:prSet presAssocID="{3BA6E236-8BAC-40B9-8C90-F25C8B0F404F}" presName="Name37" presStyleLbl="parChTrans1D2" presStyleIdx="2" presStyleCnt="7"/>
      <dgm:spPr/>
    </dgm:pt>
    <dgm:pt modelId="{F5E5FD7E-8469-4761-B823-B187F70113DC}" type="pres">
      <dgm:prSet presAssocID="{25CD0DEF-3D36-4589-A84A-B0ECFF9C7C6E}" presName="hierRoot2" presStyleCnt="0">
        <dgm:presLayoutVars>
          <dgm:hierBranch val="init"/>
        </dgm:presLayoutVars>
      </dgm:prSet>
      <dgm:spPr/>
    </dgm:pt>
    <dgm:pt modelId="{8C58DA5E-278D-40BA-8AAE-BA1E40F793A2}" type="pres">
      <dgm:prSet presAssocID="{25CD0DEF-3D36-4589-A84A-B0ECFF9C7C6E}" presName="rootComposite" presStyleCnt="0"/>
      <dgm:spPr/>
    </dgm:pt>
    <dgm:pt modelId="{9229AD25-3DCD-4AFF-AAAC-FC0ADB8C2EB6}" type="pres">
      <dgm:prSet presAssocID="{25CD0DEF-3D36-4589-A84A-B0ECFF9C7C6E}" presName="rootText" presStyleLbl="node2" presStyleIdx="2" presStyleCnt="7" custScaleX="262785" custScaleY="804497" custLinFactY="100000" custLinFactNeighborY="142530">
        <dgm:presLayoutVars>
          <dgm:chPref val="3"/>
        </dgm:presLayoutVars>
      </dgm:prSet>
      <dgm:spPr/>
    </dgm:pt>
    <dgm:pt modelId="{4D526FDE-5182-4828-970F-1320AD803384}" type="pres">
      <dgm:prSet presAssocID="{25CD0DEF-3D36-4589-A84A-B0ECFF9C7C6E}" presName="rootConnector" presStyleLbl="node2" presStyleIdx="2" presStyleCnt="7"/>
      <dgm:spPr/>
    </dgm:pt>
    <dgm:pt modelId="{1617BDCC-C65E-4674-BFBD-5F68C8FC0415}" type="pres">
      <dgm:prSet presAssocID="{25CD0DEF-3D36-4589-A84A-B0ECFF9C7C6E}" presName="hierChild4" presStyleCnt="0"/>
      <dgm:spPr/>
    </dgm:pt>
    <dgm:pt modelId="{4298C4FA-300B-4CE5-8F84-382D9AAF2FC0}" type="pres">
      <dgm:prSet presAssocID="{25CD0DEF-3D36-4589-A84A-B0ECFF9C7C6E}" presName="hierChild5" presStyleCnt="0"/>
      <dgm:spPr/>
    </dgm:pt>
    <dgm:pt modelId="{4B3E5FFA-091C-4112-8497-AB0D174270C1}" type="pres">
      <dgm:prSet presAssocID="{EAC9F0F0-04CA-4A22-834B-6E78B2B6E0F7}" presName="Name37" presStyleLbl="parChTrans1D2" presStyleIdx="3" presStyleCnt="7"/>
      <dgm:spPr/>
    </dgm:pt>
    <dgm:pt modelId="{7D8A3C03-92BB-418D-B8DE-30B003C4700C}" type="pres">
      <dgm:prSet presAssocID="{EE62B8F1-F4E6-48A2-960A-48CDD1FA55B0}" presName="hierRoot2" presStyleCnt="0">
        <dgm:presLayoutVars>
          <dgm:hierBranch val="init"/>
        </dgm:presLayoutVars>
      </dgm:prSet>
      <dgm:spPr/>
    </dgm:pt>
    <dgm:pt modelId="{18A51363-A1C1-4589-8E89-3FD72BDD974A}" type="pres">
      <dgm:prSet presAssocID="{EE62B8F1-F4E6-48A2-960A-48CDD1FA55B0}" presName="rootComposite" presStyleCnt="0"/>
      <dgm:spPr/>
    </dgm:pt>
    <dgm:pt modelId="{85D85A1D-CA75-4725-B5D2-F2054AE4E7F1}" type="pres">
      <dgm:prSet presAssocID="{EE62B8F1-F4E6-48A2-960A-48CDD1FA55B0}" presName="rootText" presStyleLbl="node2" presStyleIdx="3" presStyleCnt="7" custScaleX="262785" custScaleY="804497" custLinFactY="100000" custLinFactNeighborX="203" custLinFactNeighborY="142530">
        <dgm:presLayoutVars>
          <dgm:chPref val="3"/>
        </dgm:presLayoutVars>
      </dgm:prSet>
      <dgm:spPr/>
    </dgm:pt>
    <dgm:pt modelId="{1848395B-F1C4-44D6-A5DE-13DBEB8396D0}" type="pres">
      <dgm:prSet presAssocID="{EE62B8F1-F4E6-48A2-960A-48CDD1FA55B0}" presName="rootConnector" presStyleLbl="node2" presStyleIdx="3" presStyleCnt="7"/>
      <dgm:spPr/>
    </dgm:pt>
    <dgm:pt modelId="{8DB60611-1719-4D08-9214-0A7C6FF7D01B}" type="pres">
      <dgm:prSet presAssocID="{EE62B8F1-F4E6-48A2-960A-48CDD1FA55B0}" presName="hierChild4" presStyleCnt="0"/>
      <dgm:spPr/>
    </dgm:pt>
    <dgm:pt modelId="{8C3AFFDF-EDF2-41EC-8276-FE403D5984AD}" type="pres">
      <dgm:prSet presAssocID="{EE62B8F1-F4E6-48A2-960A-48CDD1FA55B0}" presName="hierChild5" presStyleCnt="0"/>
      <dgm:spPr/>
    </dgm:pt>
    <dgm:pt modelId="{24DE52B5-08FF-42A1-B0B6-64D2A6D8B77F}" type="pres">
      <dgm:prSet presAssocID="{7F90440C-5F41-4008-9FEA-2DC8E6B30C53}" presName="Name37" presStyleLbl="parChTrans1D2" presStyleIdx="4" presStyleCnt="7"/>
      <dgm:spPr/>
    </dgm:pt>
    <dgm:pt modelId="{E26EF428-DB88-418C-AAC6-3345127A7F55}" type="pres">
      <dgm:prSet presAssocID="{01CE80BC-6053-449A-A489-32215BBB068C}" presName="hierRoot2" presStyleCnt="0">
        <dgm:presLayoutVars>
          <dgm:hierBranch val="init"/>
        </dgm:presLayoutVars>
      </dgm:prSet>
      <dgm:spPr/>
    </dgm:pt>
    <dgm:pt modelId="{59A0A982-0106-44CE-8116-66358951EF1C}" type="pres">
      <dgm:prSet presAssocID="{01CE80BC-6053-449A-A489-32215BBB068C}" presName="rootComposite" presStyleCnt="0"/>
      <dgm:spPr/>
    </dgm:pt>
    <dgm:pt modelId="{81816765-FEF0-474E-B50B-DE7FEA99B3E4}" type="pres">
      <dgm:prSet presAssocID="{01CE80BC-6053-449A-A489-32215BBB068C}" presName="rootText" presStyleLbl="node2" presStyleIdx="4" presStyleCnt="7" custScaleX="262785" custScaleY="804497" custLinFactY="100000" custLinFactNeighborY="142530">
        <dgm:presLayoutVars>
          <dgm:chPref val="3"/>
        </dgm:presLayoutVars>
      </dgm:prSet>
      <dgm:spPr/>
    </dgm:pt>
    <dgm:pt modelId="{E9197DA7-443C-42E1-96E4-D029344C00AC}" type="pres">
      <dgm:prSet presAssocID="{01CE80BC-6053-449A-A489-32215BBB068C}" presName="rootConnector" presStyleLbl="node2" presStyleIdx="4" presStyleCnt="7"/>
      <dgm:spPr/>
    </dgm:pt>
    <dgm:pt modelId="{895CB422-B8F9-448C-B935-3A66BDCC9AAA}" type="pres">
      <dgm:prSet presAssocID="{01CE80BC-6053-449A-A489-32215BBB068C}" presName="hierChild4" presStyleCnt="0"/>
      <dgm:spPr/>
    </dgm:pt>
    <dgm:pt modelId="{B65B04CA-2118-4B11-AF37-E92DB1AE1D63}" type="pres">
      <dgm:prSet presAssocID="{01CE80BC-6053-449A-A489-32215BBB068C}" presName="hierChild5" presStyleCnt="0"/>
      <dgm:spPr/>
    </dgm:pt>
    <dgm:pt modelId="{2A77F0C3-C19E-44E8-A8DF-C264B0D9C2A0}" type="pres">
      <dgm:prSet presAssocID="{F3938036-EB65-488D-A505-8AA0F88CD3F4}" presName="Name37" presStyleLbl="parChTrans1D2" presStyleIdx="5" presStyleCnt="7"/>
      <dgm:spPr/>
    </dgm:pt>
    <dgm:pt modelId="{E5A5FD55-4499-46D3-84C6-35FA067F8EB0}" type="pres">
      <dgm:prSet presAssocID="{CDC82CD7-1E53-4189-A7B4-E6654F01562F}" presName="hierRoot2" presStyleCnt="0">
        <dgm:presLayoutVars>
          <dgm:hierBranch val="init"/>
        </dgm:presLayoutVars>
      </dgm:prSet>
      <dgm:spPr/>
    </dgm:pt>
    <dgm:pt modelId="{B30B4F4C-2EAC-40F8-8BD7-7B944E24408C}" type="pres">
      <dgm:prSet presAssocID="{CDC82CD7-1E53-4189-A7B4-E6654F01562F}" presName="rootComposite" presStyleCnt="0"/>
      <dgm:spPr/>
    </dgm:pt>
    <dgm:pt modelId="{DE422567-7DEF-4AFE-AC19-972DDD6A252E}" type="pres">
      <dgm:prSet presAssocID="{CDC82CD7-1E53-4189-A7B4-E6654F01562F}" presName="rootText" presStyleLbl="node2" presStyleIdx="5" presStyleCnt="7" custScaleX="262785" custScaleY="804497" custLinFactY="100000" custLinFactNeighborY="142530">
        <dgm:presLayoutVars>
          <dgm:chPref val="3"/>
        </dgm:presLayoutVars>
      </dgm:prSet>
      <dgm:spPr/>
    </dgm:pt>
    <dgm:pt modelId="{60BD4F75-FB79-49E8-B7F0-687FDDC28EA8}" type="pres">
      <dgm:prSet presAssocID="{CDC82CD7-1E53-4189-A7B4-E6654F01562F}" presName="rootConnector" presStyleLbl="node2" presStyleIdx="5" presStyleCnt="7"/>
      <dgm:spPr/>
    </dgm:pt>
    <dgm:pt modelId="{64A01F4E-09D3-4979-8710-696C5B5C1D1C}" type="pres">
      <dgm:prSet presAssocID="{CDC82CD7-1E53-4189-A7B4-E6654F01562F}" presName="hierChild4" presStyleCnt="0"/>
      <dgm:spPr/>
    </dgm:pt>
    <dgm:pt modelId="{058FC968-E2F8-4A6D-9106-DA43A437FBF7}" type="pres">
      <dgm:prSet presAssocID="{CDC82CD7-1E53-4189-A7B4-E6654F01562F}" presName="hierChild5" presStyleCnt="0"/>
      <dgm:spPr/>
    </dgm:pt>
    <dgm:pt modelId="{8F8705B7-7D19-4332-A3B2-B86BF850401A}" type="pres">
      <dgm:prSet presAssocID="{16CF680E-1518-4982-95C9-014D72C41C93}" presName="Name37" presStyleLbl="parChTrans1D2" presStyleIdx="6" presStyleCnt="7"/>
      <dgm:spPr/>
    </dgm:pt>
    <dgm:pt modelId="{15060B4D-85B6-4EF7-95BE-26D56592C825}" type="pres">
      <dgm:prSet presAssocID="{34B5A4A0-F136-442C-852D-CED09B1FEA13}" presName="hierRoot2" presStyleCnt="0">
        <dgm:presLayoutVars>
          <dgm:hierBranch val="init"/>
        </dgm:presLayoutVars>
      </dgm:prSet>
      <dgm:spPr/>
    </dgm:pt>
    <dgm:pt modelId="{3B456822-06DD-42E0-9CEA-6ED84BF3C3BE}" type="pres">
      <dgm:prSet presAssocID="{34B5A4A0-F136-442C-852D-CED09B1FEA13}" presName="rootComposite" presStyleCnt="0"/>
      <dgm:spPr/>
    </dgm:pt>
    <dgm:pt modelId="{347F4702-19A9-40DB-AEA5-BDB4E88B0A23}" type="pres">
      <dgm:prSet presAssocID="{34B5A4A0-F136-442C-852D-CED09B1FEA13}" presName="rootText" presStyleLbl="node2" presStyleIdx="6" presStyleCnt="7" custScaleX="262785" custScaleY="804497" custLinFactY="100000" custLinFactNeighborY="142530">
        <dgm:presLayoutVars>
          <dgm:chPref val="3"/>
        </dgm:presLayoutVars>
      </dgm:prSet>
      <dgm:spPr/>
    </dgm:pt>
    <dgm:pt modelId="{270C1831-95CA-44BB-B007-AE5387A850BD}" type="pres">
      <dgm:prSet presAssocID="{34B5A4A0-F136-442C-852D-CED09B1FEA13}" presName="rootConnector" presStyleLbl="node2" presStyleIdx="6" presStyleCnt="7"/>
      <dgm:spPr/>
    </dgm:pt>
    <dgm:pt modelId="{12BD1150-24D9-4C6B-8683-5389AED7A20C}" type="pres">
      <dgm:prSet presAssocID="{34B5A4A0-F136-442C-852D-CED09B1FEA13}" presName="hierChild4" presStyleCnt="0"/>
      <dgm:spPr/>
    </dgm:pt>
    <dgm:pt modelId="{67247ED6-8D66-49B9-9238-1BA3076BBE8B}" type="pres">
      <dgm:prSet presAssocID="{34B5A4A0-F136-442C-852D-CED09B1FEA13}" presName="hierChild5" presStyleCnt="0"/>
      <dgm:spPr/>
    </dgm:pt>
    <dgm:pt modelId="{63A957EA-4B29-4CA3-BE22-78BD3C4165C4}" type="pres">
      <dgm:prSet presAssocID="{A7C65B6A-6AC9-440A-A606-C81BD80BDF2D}" presName="hierChild3" presStyleCnt="0"/>
      <dgm:spPr/>
    </dgm:pt>
  </dgm:ptLst>
  <dgm:cxnLst>
    <dgm:cxn modelId="{90B10B00-9C5C-4CB2-8AD7-FFD2387CDABB}" type="presOf" srcId="{2BEDDA25-FA6E-458E-B817-66855E8987DF}" destId="{34F47BE1-8FF8-43A4-B183-7B27DE0785B5}" srcOrd="0" destOrd="0" presId="urn:microsoft.com/office/officeart/2005/8/layout/orgChart1"/>
    <dgm:cxn modelId="{A8174B02-B7EF-401B-876A-979EF1E5E3DA}" type="presOf" srcId="{F3938036-EB65-488D-A505-8AA0F88CD3F4}" destId="{2A77F0C3-C19E-44E8-A8DF-C264B0D9C2A0}" srcOrd="0" destOrd="0" presId="urn:microsoft.com/office/officeart/2005/8/layout/orgChart1"/>
    <dgm:cxn modelId="{8CA56E03-218D-4EFF-8E37-595A5EF312CE}" type="presOf" srcId="{01CE80BC-6053-449A-A489-32215BBB068C}" destId="{E9197DA7-443C-42E1-96E4-D029344C00AC}" srcOrd="1" destOrd="0" presId="urn:microsoft.com/office/officeart/2005/8/layout/orgChart1"/>
    <dgm:cxn modelId="{92511509-9579-4A9D-941C-A06CE7741251}" type="presOf" srcId="{00661EC0-12FA-47A9-865E-0FAF13E582AB}" destId="{99159C85-1D58-4C87-849B-395E800C3809}" srcOrd="1" destOrd="0" presId="urn:microsoft.com/office/officeart/2005/8/layout/orgChart1"/>
    <dgm:cxn modelId="{D521B609-8FB1-47B5-84B6-FC92D38EEF91}" type="presOf" srcId="{F11E5023-A25C-42EC-B10D-5401D5B4F9F3}" destId="{A746AE96-6E98-4104-9082-B7EAEE45EE0D}" srcOrd="0" destOrd="0" presId="urn:microsoft.com/office/officeart/2005/8/layout/orgChart1"/>
    <dgm:cxn modelId="{22C1FF09-3C28-4E5A-9457-28F49B262556}" type="presOf" srcId="{01CE80BC-6053-449A-A489-32215BBB068C}" destId="{81816765-FEF0-474E-B50B-DE7FEA99B3E4}" srcOrd="0" destOrd="0" presId="urn:microsoft.com/office/officeart/2005/8/layout/orgChart1"/>
    <dgm:cxn modelId="{0D9AC40A-F4D7-4841-8DDB-21CB118B6CF2}" type="presOf" srcId="{A7C65B6A-6AC9-440A-A606-C81BD80BDF2D}" destId="{6A691DD9-2801-45B5-9E37-BEF856B93447}" srcOrd="1" destOrd="0" presId="urn:microsoft.com/office/officeart/2005/8/layout/orgChart1"/>
    <dgm:cxn modelId="{85DB731C-8C28-41E6-A63F-68DD0ECFAFA9}" srcId="{A7C65B6A-6AC9-440A-A606-C81BD80BDF2D}" destId="{CDC82CD7-1E53-4189-A7B4-E6654F01562F}" srcOrd="5" destOrd="0" parTransId="{F3938036-EB65-488D-A505-8AA0F88CD3F4}" sibTransId="{C175B4D3-6882-45D2-BDB5-8F23025F5F57}"/>
    <dgm:cxn modelId="{865DF126-0986-47D3-98AB-2F1D02E385F5}" type="presOf" srcId="{A7C65B6A-6AC9-440A-A606-C81BD80BDF2D}" destId="{91ABCFC2-F188-4BFE-9C9E-4D4CA72E670F}" srcOrd="0" destOrd="0" presId="urn:microsoft.com/office/officeart/2005/8/layout/orgChart1"/>
    <dgm:cxn modelId="{2E30D02A-7468-4AB9-B265-DC36882AFE84}" type="presOf" srcId="{EE62B8F1-F4E6-48A2-960A-48CDD1FA55B0}" destId="{1848395B-F1C4-44D6-A5DE-13DBEB8396D0}" srcOrd="1" destOrd="0" presId="urn:microsoft.com/office/officeart/2005/8/layout/orgChart1"/>
    <dgm:cxn modelId="{32899A32-8B5A-4276-9049-213FF0CFAC5E}" type="presOf" srcId="{00661EC0-12FA-47A9-865E-0FAF13E582AB}" destId="{1B8FD9C0-D24A-44AB-AD2E-8AAA492BAA32}" srcOrd="0" destOrd="0" presId="urn:microsoft.com/office/officeart/2005/8/layout/orgChart1"/>
    <dgm:cxn modelId="{3CCE3636-8593-4305-946C-CDD49A126A10}" type="presOf" srcId="{16CF680E-1518-4982-95C9-014D72C41C93}" destId="{8F8705B7-7D19-4332-A3B2-B86BF850401A}" srcOrd="0" destOrd="0" presId="urn:microsoft.com/office/officeart/2005/8/layout/orgChart1"/>
    <dgm:cxn modelId="{35CC1438-D1AC-4F8E-8E37-A2D5FD542C91}" type="presOf" srcId="{EE62B8F1-F4E6-48A2-960A-48CDD1FA55B0}" destId="{85D85A1D-CA75-4725-B5D2-F2054AE4E7F1}" srcOrd="0" destOrd="0" presId="urn:microsoft.com/office/officeart/2005/8/layout/orgChart1"/>
    <dgm:cxn modelId="{87866F39-931F-4AC8-9D0C-933A3136B115}" type="presOf" srcId="{34B5A4A0-F136-442C-852D-CED09B1FEA13}" destId="{347F4702-19A9-40DB-AEA5-BDB4E88B0A23}" srcOrd="0" destOrd="0" presId="urn:microsoft.com/office/officeart/2005/8/layout/orgChart1"/>
    <dgm:cxn modelId="{002FBD4D-18AE-42FD-B921-BC960F471021}" type="presOf" srcId="{DCB0481C-B45B-43D1-83B9-D8D144155D95}" destId="{2895AA30-B5D2-4761-9015-2BA01A1AA0D1}" srcOrd="1" destOrd="0" presId="urn:microsoft.com/office/officeart/2005/8/layout/orgChart1"/>
    <dgm:cxn modelId="{06540655-8BE3-4135-BFAC-48EAF4F20935}" type="presOf" srcId="{CDC82CD7-1E53-4189-A7B4-E6654F01562F}" destId="{DE422567-7DEF-4AFE-AC19-972DDD6A252E}" srcOrd="0" destOrd="0" presId="urn:microsoft.com/office/officeart/2005/8/layout/orgChart1"/>
    <dgm:cxn modelId="{32178659-D028-472C-BDB5-D1712D05C2D1}" type="presOf" srcId="{DCB0481C-B45B-43D1-83B9-D8D144155D95}" destId="{7ABFFCC2-6BF7-458B-99F6-F9709A72616B}" srcOrd="0" destOrd="0" presId="urn:microsoft.com/office/officeart/2005/8/layout/orgChart1"/>
    <dgm:cxn modelId="{2E303687-3BB1-4FFF-8F0A-E3110E10AA7D}" type="presOf" srcId="{34B5A4A0-F136-442C-852D-CED09B1FEA13}" destId="{270C1831-95CA-44BB-B007-AE5387A850BD}" srcOrd="1" destOrd="0" presId="urn:microsoft.com/office/officeart/2005/8/layout/orgChart1"/>
    <dgm:cxn modelId="{9176618C-78E3-4EEE-BFA5-FE26B48EED72}" srcId="{A7C65B6A-6AC9-440A-A606-C81BD80BDF2D}" destId="{DCB0481C-B45B-43D1-83B9-D8D144155D95}" srcOrd="0" destOrd="0" parTransId="{F11E5023-A25C-42EC-B10D-5401D5B4F9F3}" sibTransId="{8D7E1589-486F-49A0-8F65-DD3E52CA9C91}"/>
    <dgm:cxn modelId="{29F61593-C3A3-4EC3-BD7F-DB506D964BED}" srcId="{A7C65B6A-6AC9-440A-A606-C81BD80BDF2D}" destId="{00661EC0-12FA-47A9-865E-0FAF13E582AB}" srcOrd="1" destOrd="0" parTransId="{1F92ABFC-3E3D-49FC-BF0B-E24C27A21829}" sibTransId="{98BC2A65-2B0B-482A-A103-53A7872B6EF4}"/>
    <dgm:cxn modelId="{F2A0DD98-FCA0-4095-8441-4EEEB64074BF}" srcId="{2BEDDA25-FA6E-458E-B817-66855E8987DF}" destId="{A7C65B6A-6AC9-440A-A606-C81BD80BDF2D}" srcOrd="0" destOrd="0" parTransId="{39768BEC-2959-4A24-88EB-CF178F4A602D}" sibTransId="{7EBD7509-C4D4-4F3F-AFD0-27967F0F2A68}"/>
    <dgm:cxn modelId="{20F00C9D-1977-4F52-8F74-0449E007B093}" type="presOf" srcId="{1F92ABFC-3E3D-49FC-BF0B-E24C27A21829}" destId="{5204631E-74EB-40E8-A900-343E0649A8B2}" srcOrd="0" destOrd="0" presId="urn:microsoft.com/office/officeart/2005/8/layout/orgChart1"/>
    <dgm:cxn modelId="{56D491AC-5ABD-435A-A236-64CEDD49CA4D}" type="presOf" srcId="{25CD0DEF-3D36-4589-A84A-B0ECFF9C7C6E}" destId="{9229AD25-3DCD-4AFF-AAAC-FC0ADB8C2EB6}" srcOrd="0" destOrd="0" presId="urn:microsoft.com/office/officeart/2005/8/layout/orgChart1"/>
    <dgm:cxn modelId="{853EC6AC-F2EB-44EC-94D8-82777B2F3379}" type="presOf" srcId="{CDC82CD7-1E53-4189-A7B4-E6654F01562F}" destId="{60BD4F75-FB79-49E8-B7F0-687FDDC28EA8}" srcOrd="1" destOrd="0" presId="urn:microsoft.com/office/officeart/2005/8/layout/orgChart1"/>
    <dgm:cxn modelId="{F2F9C6AC-96D5-4FE8-86D2-66DCE502C612}" srcId="{A7C65B6A-6AC9-440A-A606-C81BD80BDF2D}" destId="{EE62B8F1-F4E6-48A2-960A-48CDD1FA55B0}" srcOrd="3" destOrd="0" parTransId="{EAC9F0F0-04CA-4A22-834B-6E78B2B6E0F7}" sibTransId="{11644282-1359-41CE-81FB-4C544509C3AA}"/>
    <dgm:cxn modelId="{497F0AAF-24BF-48C4-85BC-1FFF41AB7E01}" type="presOf" srcId="{7F90440C-5F41-4008-9FEA-2DC8E6B30C53}" destId="{24DE52B5-08FF-42A1-B0B6-64D2A6D8B77F}" srcOrd="0" destOrd="0" presId="urn:microsoft.com/office/officeart/2005/8/layout/orgChart1"/>
    <dgm:cxn modelId="{9B4F8EC6-EA5E-4C92-B802-832022540C14}" srcId="{A7C65B6A-6AC9-440A-A606-C81BD80BDF2D}" destId="{01CE80BC-6053-449A-A489-32215BBB068C}" srcOrd="4" destOrd="0" parTransId="{7F90440C-5F41-4008-9FEA-2DC8E6B30C53}" sibTransId="{162C5EF0-CC3D-4534-A3FA-2EAAB35C26B5}"/>
    <dgm:cxn modelId="{382793C6-6243-4EAF-90BD-E9110EE82D89}" srcId="{A7C65B6A-6AC9-440A-A606-C81BD80BDF2D}" destId="{25CD0DEF-3D36-4589-A84A-B0ECFF9C7C6E}" srcOrd="2" destOrd="0" parTransId="{3BA6E236-8BAC-40B9-8C90-F25C8B0F404F}" sibTransId="{4AF2DA10-EDA5-4D6B-BE33-5F10134B20E5}"/>
    <dgm:cxn modelId="{5A251ECA-82F4-46CB-A673-0638C970FEFD}" type="presOf" srcId="{3BA6E236-8BAC-40B9-8C90-F25C8B0F404F}" destId="{5074BED5-7F8D-4722-8C22-FCAF11748259}" srcOrd="0" destOrd="0" presId="urn:microsoft.com/office/officeart/2005/8/layout/orgChart1"/>
    <dgm:cxn modelId="{02254FCD-E664-41AC-8612-C15AF18868A0}" srcId="{A7C65B6A-6AC9-440A-A606-C81BD80BDF2D}" destId="{34B5A4A0-F136-442C-852D-CED09B1FEA13}" srcOrd="6" destOrd="0" parTransId="{16CF680E-1518-4982-95C9-014D72C41C93}" sibTransId="{49D2F7ED-EBBB-478A-A2AB-07A283232563}"/>
    <dgm:cxn modelId="{3AB0AAF7-9BEC-43B6-B226-BFD427D64F5E}" type="presOf" srcId="{EAC9F0F0-04CA-4A22-834B-6E78B2B6E0F7}" destId="{4B3E5FFA-091C-4112-8497-AB0D174270C1}" srcOrd="0" destOrd="0" presId="urn:microsoft.com/office/officeart/2005/8/layout/orgChart1"/>
    <dgm:cxn modelId="{01736AFA-84F6-492A-85BE-EE0EB1AF091B}" type="presOf" srcId="{25CD0DEF-3D36-4589-A84A-B0ECFF9C7C6E}" destId="{4D526FDE-5182-4828-970F-1320AD803384}" srcOrd="1" destOrd="0" presId="urn:microsoft.com/office/officeart/2005/8/layout/orgChart1"/>
    <dgm:cxn modelId="{4EE0F3F2-2454-45E9-ACCF-98BBCA39A12D}" type="presParOf" srcId="{34F47BE1-8FF8-43A4-B183-7B27DE0785B5}" destId="{6A572C49-881A-4ED4-8FB6-A933C9B48317}" srcOrd="0" destOrd="0" presId="urn:microsoft.com/office/officeart/2005/8/layout/orgChart1"/>
    <dgm:cxn modelId="{82154702-C03D-4562-A423-6D37D9427BC6}" type="presParOf" srcId="{6A572C49-881A-4ED4-8FB6-A933C9B48317}" destId="{3AA2D5A4-6D7D-4A3F-B157-5773AD3E8B86}" srcOrd="0" destOrd="0" presId="urn:microsoft.com/office/officeart/2005/8/layout/orgChart1"/>
    <dgm:cxn modelId="{6E821733-93F0-40EA-98C3-618714665318}" type="presParOf" srcId="{3AA2D5A4-6D7D-4A3F-B157-5773AD3E8B86}" destId="{91ABCFC2-F188-4BFE-9C9E-4D4CA72E670F}" srcOrd="0" destOrd="0" presId="urn:microsoft.com/office/officeart/2005/8/layout/orgChart1"/>
    <dgm:cxn modelId="{215D3DB5-55B4-455B-B3F1-732A0F8D699A}" type="presParOf" srcId="{3AA2D5A4-6D7D-4A3F-B157-5773AD3E8B86}" destId="{6A691DD9-2801-45B5-9E37-BEF856B93447}" srcOrd="1" destOrd="0" presId="urn:microsoft.com/office/officeart/2005/8/layout/orgChart1"/>
    <dgm:cxn modelId="{7231D68A-2B83-4D95-B7C1-1A426B868019}" type="presParOf" srcId="{6A572C49-881A-4ED4-8FB6-A933C9B48317}" destId="{F0A1E5E6-5609-4D80-B6C7-A8F16C478FB7}" srcOrd="1" destOrd="0" presId="urn:microsoft.com/office/officeart/2005/8/layout/orgChart1"/>
    <dgm:cxn modelId="{C570F9D5-8BEF-4705-A16A-614A5CB60D5E}" type="presParOf" srcId="{F0A1E5E6-5609-4D80-B6C7-A8F16C478FB7}" destId="{A746AE96-6E98-4104-9082-B7EAEE45EE0D}" srcOrd="0" destOrd="0" presId="urn:microsoft.com/office/officeart/2005/8/layout/orgChart1"/>
    <dgm:cxn modelId="{68620D1F-BBB1-4BD4-A4D8-B17212DB7D03}" type="presParOf" srcId="{F0A1E5E6-5609-4D80-B6C7-A8F16C478FB7}" destId="{77F662FB-AADF-485F-A8EF-EDEDC462F55B}" srcOrd="1" destOrd="0" presId="urn:microsoft.com/office/officeart/2005/8/layout/orgChart1"/>
    <dgm:cxn modelId="{71EB3BFB-61E4-4FE9-A82A-374B3CF8EADD}" type="presParOf" srcId="{77F662FB-AADF-485F-A8EF-EDEDC462F55B}" destId="{D5212000-3645-461C-B96E-7AEABC998D0C}" srcOrd="0" destOrd="0" presId="urn:microsoft.com/office/officeart/2005/8/layout/orgChart1"/>
    <dgm:cxn modelId="{5F09FBB2-7D1E-47E5-964C-4A37830FBBA4}" type="presParOf" srcId="{D5212000-3645-461C-B96E-7AEABC998D0C}" destId="{7ABFFCC2-6BF7-458B-99F6-F9709A72616B}" srcOrd="0" destOrd="0" presId="urn:microsoft.com/office/officeart/2005/8/layout/orgChart1"/>
    <dgm:cxn modelId="{75380ABD-34D6-479F-8CFE-36F20F4F46DE}" type="presParOf" srcId="{D5212000-3645-461C-B96E-7AEABC998D0C}" destId="{2895AA30-B5D2-4761-9015-2BA01A1AA0D1}" srcOrd="1" destOrd="0" presId="urn:microsoft.com/office/officeart/2005/8/layout/orgChart1"/>
    <dgm:cxn modelId="{DC3B9EB3-0910-4AC2-8ADE-CF4F9510D9BF}" type="presParOf" srcId="{77F662FB-AADF-485F-A8EF-EDEDC462F55B}" destId="{02FC1AAC-3416-4D3D-BB9A-AE27660D7C4A}" srcOrd="1" destOrd="0" presId="urn:microsoft.com/office/officeart/2005/8/layout/orgChart1"/>
    <dgm:cxn modelId="{D6412050-0FA2-49EA-AFF3-F17AA7B58DA4}" type="presParOf" srcId="{77F662FB-AADF-485F-A8EF-EDEDC462F55B}" destId="{C6DF9A68-3064-421A-9195-C89D5D37A8E4}" srcOrd="2" destOrd="0" presId="urn:microsoft.com/office/officeart/2005/8/layout/orgChart1"/>
    <dgm:cxn modelId="{D20090B3-9C58-4FA7-85E6-5721CA9D2488}" type="presParOf" srcId="{F0A1E5E6-5609-4D80-B6C7-A8F16C478FB7}" destId="{5204631E-74EB-40E8-A900-343E0649A8B2}" srcOrd="2" destOrd="0" presId="urn:microsoft.com/office/officeart/2005/8/layout/orgChart1"/>
    <dgm:cxn modelId="{D8A9FDCD-6151-4BBE-8D33-83EFF7937F5D}" type="presParOf" srcId="{F0A1E5E6-5609-4D80-B6C7-A8F16C478FB7}" destId="{B7328F7B-6ECD-4ABF-8304-3754F18C7233}" srcOrd="3" destOrd="0" presId="urn:microsoft.com/office/officeart/2005/8/layout/orgChart1"/>
    <dgm:cxn modelId="{57D4DF9F-729A-414D-BD15-C267FFE2C52E}" type="presParOf" srcId="{B7328F7B-6ECD-4ABF-8304-3754F18C7233}" destId="{187EF40A-C644-4282-8B27-179B4E347095}" srcOrd="0" destOrd="0" presId="urn:microsoft.com/office/officeart/2005/8/layout/orgChart1"/>
    <dgm:cxn modelId="{D69297F8-16F7-4166-B14A-7DA8C0BCEC87}" type="presParOf" srcId="{187EF40A-C644-4282-8B27-179B4E347095}" destId="{1B8FD9C0-D24A-44AB-AD2E-8AAA492BAA32}" srcOrd="0" destOrd="0" presId="urn:microsoft.com/office/officeart/2005/8/layout/orgChart1"/>
    <dgm:cxn modelId="{88E75AE3-9372-47E2-983E-A4839E2842B9}" type="presParOf" srcId="{187EF40A-C644-4282-8B27-179B4E347095}" destId="{99159C85-1D58-4C87-849B-395E800C3809}" srcOrd="1" destOrd="0" presId="urn:microsoft.com/office/officeart/2005/8/layout/orgChart1"/>
    <dgm:cxn modelId="{48EFEBFB-6A00-41F7-B51F-0A5380C7D98E}" type="presParOf" srcId="{B7328F7B-6ECD-4ABF-8304-3754F18C7233}" destId="{DB81C859-6EAD-4BAA-82E7-D7F7A2577C41}" srcOrd="1" destOrd="0" presId="urn:microsoft.com/office/officeart/2005/8/layout/orgChart1"/>
    <dgm:cxn modelId="{9B716519-C400-479D-B675-6FE4C965D21F}" type="presParOf" srcId="{B7328F7B-6ECD-4ABF-8304-3754F18C7233}" destId="{065F31F9-E2B5-4852-B16E-A07A0FD0AE98}" srcOrd="2" destOrd="0" presId="urn:microsoft.com/office/officeart/2005/8/layout/orgChart1"/>
    <dgm:cxn modelId="{8F8E2C08-98BB-45F2-9A02-16B83A9F74D8}" type="presParOf" srcId="{F0A1E5E6-5609-4D80-B6C7-A8F16C478FB7}" destId="{5074BED5-7F8D-4722-8C22-FCAF11748259}" srcOrd="4" destOrd="0" presId="urn:microsoft.com/office/officeart/2005/8/layout/orgChart1"/>
    <dgm:cxn modelId="{6B3BA07F-00B3-4962-850D-6915D1D36FFF}" type="presParOf" srcId="{F0A1E5E6-5609-4D80-B6C7-A8F16C478FB7}" destId="{F5E5FD7E-8469-4761-B823-B187F70113DC}" srcOrd="5" destOrd="0" presId="urn:microsoft.com/office/officeart/2005/8/layout/orgChart1"/>
    <dgm:cxn modelId="{799EEBB2-A71C-4C5B-A8E3-FD2DCED53A6B}" type="presParOf" srcId="{F5E5FD7E-8469-4761-B823-B187F70113DC}" destId="{8C58DA5E-278D-40BA-8AAE-BA1E40F793A2}" srcOrd="0" destOrd="0" presId="urn:microsoft.com/office/officeart/2005/8/layout/orgChart1"/>
    <dgm:cxn modelId="{84E845B4-DD3C-421D-898E-8EEDE3FD9F2D}" type="presParOf" srcId="{8C58DA5E-278D-40BA-8AAE-BA1E40F793A2}" destId="{9229AD25-3DCD-4AFF-AAAC-FC0ADB8C2EB6}" srcOrd="0" destOrd="0" presId="urn:microsoft.com/office/officeart/2005/8/layout/orgChart1"/>
    <dgm:cxn modelId="{147F9112-999F-45ED-808B-35E92BBD934D}" type="presParOf" srcId="{8C58DA5E-278D-40BA-8AAE-BA1E40F793A2}" destId="{4D526FDE-5182-4828-970F-1320AD803384}" srcOrd="1" destOrd="0" presId="urn:microsoft.com/office/officeart/2005/8/layout/orgChart1"/>
    <dgm:cxn modelId="{4C955F62-2428-418D-8576-ACB1E52E158B}" type="presParOf" srcId="{F5E5FD7E-8469-4761-B823-B187F70113DC}" destId="{1617BDCC-C65E-4674-BFBD-5F68C8FC0415}" srcOrd="1" destOrd="0" presId="urn:microsoft.com/office/officeart/2005/8/layout/orgChart1"/>
    <dgm:cxn modelId="{10E01A6B-6492-4B7C-A517-C79DA5291418}" type="presParOf" srcId="{F5E5FD7E-8469-4761-B823-B187F70113DC}" destId="{4298C4FA-300B-4CE5-8F84-382D9AAF2FC0}" srcOrd="2" destOrd="0" presId="urn:microsoft.com/office/officeart/2005/8/layout/orgChart1"/>
    <dgm:cxn modelId="{8FC3912E-DE58-4185-B41F-D7A434296A8B}" type="presParOf" srcId="{F0A1E5E6-5609-4D80-B6C7-A8F16C478FB7}" destId="{4B3E5FFA-091C-4112-8497-AB0D174270C1}" srcOrd="6" destOrd="0" presId="urn:microsoft.com/office/officeart/2005/8/layout/orgChart1"/>
    <dgm:cxn modelId="{E5283856-1560-4391-88FE-44FD0CE0E270}" type="presParOf" srcId="{F0A1E5E6-5609-4D80-B6C7-A8F16C478FB7}" destId="{7D8A3C03-92BB-418D-B8DE-30B003C4700C}" srcOrd="7" destOrd="0" presId="urn:microsoft.com/office/officeart/2005/8/layout/orgChart1"/>
    <dgm:cxn modelId="{74440A11-1EE7-44A6-AF35-E4EC763EE707}" type="presParOf" srcId="{7D8A3C03-92BB-418D-B8DE-30B003C4700C}" destId="{18A51363-A1C1-4589-8E89-3FD72BDD974A}" srcOrd="0" destOrd="0" presId="urn:microsoft.com/office/officeart/2005/8/layout/orgChart1"/>
    <dgm:cxn modelId="{C998BCBE-38EF-40F3-82B1-BF50C1380C4F}" type="presParOf" srcId="{18A51363-A1C1-4589-8E89-3FD72BDD974A}" destId="{85D85A1D-CA75-4725-B5D2-F2054AE4E7F1}" srcOrd="0" destOrd="0" presId="urn:microsoft.com/office/officeart/2005/8/layout/orgChart1"/>
    <dgm:cxn modelId="{0C0B2EFB-5BBE-4403-95F8-11735916FB95}" type="presParOf" srcId="{18A51363-A1C1-4589-8E89-3FD72BDD974A}" destId="{1848395B-F1C4-44D6-A5DE-13DBEB8396D0}" srcOrd="1" destOrd="0" presId="urn:microsoft.com/office/officeart/2005/8/layout/orgChart1"/>
    <dgm:cxn modelId="{A2FE84E4-0684-45F1-8688-69D6F450D6B1}" type="presParOf" srcId="{7D8A3C03-92BB-418D-B8DE-30B003C4700C}" destId="{8DB60611-1719-4D08-9214-0A7C6FF7D01B}" srcOrd="1" destOrd="0" presId="urn:microsoft.com/office/officeart/2005/8/layout/orgChart1"/>
    <dgm:cxn modelId="{B0EC8986-6D2A-49F0-9153-BB67C23C2804}" type="presParOf" srcId="{7D8A3C03-92BB-418D-B8DE-30B003C4700C}" destId="{8C3AFFDF-EDF2-41EC-8276-FE403D5984AD}" srcOrd="2" destOrd="0" presId="urn:microsoft.com/office/officeart/2005/8/layout/orgChart1"/>
    <dgm:cxn modelId="{257FEF6F-71FD-49F6-B3C5-E6D40E6D353E}" type="presParOf" srcId="{F0A1E5E6-5609-4D80-B6C7-A8F16C478FB7}" destId="{24DE52B5-08FF-42A1-B0B6-64D2A6D8B77F}" srcOrd="8" destOrd="0" presId="urn:microsoft.com/office/officeart/2005/8/layout/orgChart1"/>
    <dgm:cxn modelId="{CA81AE25-DCC4-484C-B4C8-60CE184F1246}" type="presParOf" srcId="{F0A1E5E6-5609-4D80-B6C7-A8F16C478FB7}" destId="{E26EF428-DB88-418C-AAC6-3345127A7F55}" srcOrd="9" destOrd="0" presId="urn:microsoft.com/office/officeart/2005/8/layout/orgChart1"/>
    <dgm:cxn modelId="{F33F5448-A5C4-4BB5-8EBA-7F217AAECC7B}" type="presParOf" srcId="{E26EF428-DB88-418C-AAC6-3345127A7F55}" destId="{59A0A982-0106-44CE-8116-66358951EF1C}" srcOrd="0" destOrd="0" presId="urn:microsoft.com/office/officeart/2005/8/layout/orgChart1"/>
    <dgm:cxn modelId="{EF396689-E221-4499-B860-914E7AF4711B}" type="presParOf" srcId="{59A0A982-0106-44CE-8116-66358951EF1C}" destId="{81816765-FEF0-474E-B50B-DE7FEA99B3E4}" srcOrd="0" destOrd="0" presId="urn:microsoft.com/office/officeart/2005/8/layout/orgChart1"/>
    <dgm:cxn modelId="{C8A25D22-2266-4186-A46D-BA58180F7483}" type="presParOf" srcId="{59A0A982-0106-44CE-8116-66358951EF1C}" destId="{E9197DA7-443C-42E1-96E4-D029344C00AC}" srcOrd="1" destOrd="0" presId="urn:microsoft.com/office/officeart/2005/8/layout/orgChart1"/>
    <dgm:cxn modelId="{8C9D9E99-C3FD-46E1-846A-F8B8847895C0}" type="presParOf" srcId="{E26EF428-DB88-418C-AAC6-3345127A7F55}" destId="{895CB422-B8F9-448C-B935-3A66BDCC9AAA}" srcOrd="1" destOrd="0" presId="urn:microsoft.com/office/officeart/2005/8/layout/orgChart1"/>
    <dgm:cxn modelId="{B00A8DE4-21B1-4CE1-9452-C85E313B687D}" type="presParOf" srcId="{E26EF428-DB88-418C-AAC6-3345127A7F55}" destId="{B65B04CA-2118-4B11-AF37-E92DB1AE1D63}" srcOrd="2" destOrd="0" presId="urn:microsoft.com/office/officeart/2005/8/layout/orgChart1"/>
    <dgm:cxn modelId="{519FBAA0-3BC9-4391-A37B-600A781CEF26}" type="presParOf" srcId="{F0A1E5E6-5609-4D80-B6C7-A8F16C478FB7}" destId="{2A77F0C3-C19E-44E8-A8DF-C264B0D9C2A0}" srcOrd="10" destOrd="0" presId="urn:microsoft.com/office/officeart/2005/8/layout/orgChart1"/>
    <dgm:cxn modelId="{4B08EB2D-B1F6-4DC8-8784-555C5E9EA784}" type="presParOf" srcId="{F0A1E5E6-5609-4D80-B6C7-A8F16C478FB7}" destId="{E5A5FD55-4499-46D3-84C6-35FA067F8EB0}" srcOrd="11" destOrd="0" presId="urn:microsoft.com/office/officeart/2005/8/layout/orgChart1"/>
    <dgm:cxn modelId="{1C1BF714-AD1D-4EBD-B3D4-79D6EC9D496B}" type="presParOf" srcId="{E5A5FD55-4499-46D3-84C6-35FA067F8EB0}" destId="{B30B4F4C-2EAC-40F8-8BD7-7B944E24408C}" srcOrd="0" destOrd="0" presId="urn:microsoft.com/office/officeart/2005/8/layout/orgChart1"/>
    <dgm:cxn modelId="{3AC39D46-8AC5-4528-97E1-90541EA3FF43}" type="presParOf" srcId="{B30B4F4C-2EAC-40F8-8BD7-7B944E24408C}" destId="{DE422567-7DEF-4AFE-AC19-972DDD6A252E}" srcOrd="0" destOrd="0" presId="urn:microsoft.com/office/officeart/2005/8/layout/orgChart1"/>
    <dgm:cxn modelId="{1C6A559C-C04A-4B7A-B282-EE927F387A21}" type="presParOf" srcId="{B30B4F4C-2EAC-40F8-8BD7-7B944E24408C}" destId="{60BD4F75-FB79-49E8-B7F0-687FDDC28EA8}" srcOrd="1" destOrd="0" presId="urn:microsoft.com/office/officeart/2005/8/layout/orgChart1"/>
    <dgm:cxn modelId="{C8D65F67-850B-4ABB-8C32-8A4935282D22}" type="presParOf" srcId="{E5A5FD55-4499-46D3-84C6-35FA067F8EB0}" destId="{64A01F4E-09D3-4979-8710-696C5B5C1D1C}" srcOrd="1" destOrd="0" presId="urn:microsoft.com/office/officeart/2005/8/layout/orgChart1"/>
    <dgm:cxn modelId="{9A45FC46-4650-456B-A454-5B73B5F82F16}" type="presParOf" srcId="{E5A5FD55-4499-46D3-84C6-35FA067F8EB0}" destId="{058FC968-E2F8-4A6D-9106-DA43A437FBF7}" srcOrd="2" destOrd="0" presId="urn:microsoft.com/office/officeart/2005/8/layout/orgChart1"/>
    <dgm:cxn modelId="{5178F3FD-F1BB-4B02-A2D3-666933C078C1}" type="presParOf" srcId="{F0A1E5E6-5609-4D80-B6C7-A8F16C478FB7}" destId="{8F8705B7-7D19-4332-A3B2-B86BF850401A}" srcOrd="12" destOrd="0" presId="urn:microsoft.com/office/officeart/2005/8/layout/orgChart1"/>
    <dgm:cxn modelId="{6659281D-15F6-41FF-A32C-7118A7BB0407}" type="presParOf" srcId="{F0A1E5E6-5609-4D80-B6C7-A8F16C478FB7}" destId="{15060B4D-85B6-4EF7-95BE-26D56592C825}" srcOrd="13" destOrd="0" presId="urn:microsoft.com/office/officeart/2005/8/layout/orgChart1"/>
    <dgm:cxn modelId="{DF4FB96F-6C9E-4A61-A6C1-8F85799EA429}" type="presParOf" srcId="{15060B4D-85B6-4EF7-95BE-26D56592C825}" destId="{3B456822-06DD-42E0-9CEA-6ED84BF3C3BE}" srcOrd="0" destOrd="0" presId="urn:microsoft.com/office/officeart/2005/8/layout/orgChart1"/>
    <dgm:cxn modelId="{BD747803-4E2B-4FEF-8317-796064FD02D0}" type="presParOf" srcId="{3B456822-06DD-42E0-9CEA-6ED84BF3C3BE}" destId="{347F4702-19A9-40DB-AEA5-BDB4E88B0A23}" srcOrd="0" destOrd="0" presId="urn:microsoft.com/office/officeart/2005/8/layout/orgChart1"/>
    <dgm:cxn modelId="{F1072FD3-BF1B-4386-B800-57B9C6E61D61}" type="presParOf" srcId="{3B456822-06DD-42E0-9CEA-6ED84BF3C3BE}" destId="{270C1831-95CA-44BB-B007-AE5387A850BD}" srcOrd="1" destOrd="0" presId="urn:microsoft.com/office/officeart/2005/8/layout/orgChart1"/>
    <dgm:cxn modelId="{64D2B5C9-1524-4700-8B8C-FE7805B3A855}" type="presParOf" srcId="{15060B4D-85B6-4EF7-95BE-26D56592C825}" destId="{12BD1150-24D9-4C6B-8683-5389AED7A20C}" srcOrd="1" destOrd="0" presId="urn:microsoft.com/office/officeart/2005/8/layout/orgChart1"/>
    <dgm:cxn modelId="{00118963-4A8F-4AC2-BF9E-2713E6AFC6D8}" type="presParOf" srcId="{15060B4D-85B6-4EF7-95BE-26D56592C825}" destId="{67247ED6-8D66-49B9-9238-1BA3076BBE8B}" srcOrd="2" destOrd="0" presId="urn:microsoft.com/office/officeart/2005/8/layout/orgChart1"/>
    <dgm:cxn modelId="{9AB0C01A-6736-4457-BCD4-250927B66AB9}" type="presParOf" srcId="{6A572C49-881A-4ED4-8FB6-A933C9B48317}" destId="{63A957EA-4B29-4CA3-BE22-78BD3C4165C4}" srcOrd="2" destOrd="0" presId="urn:microsoft.com/office/officeart/2005/8/layout/orgChart1"/>
  </dgm:cxnLst>
  <dgm:bg/>
  <dgm:whole>
    <a:ln w="12700"/>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BEDDA25-FA6E-458E-B817-66855E8987D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A7C65B6A-6AC9-440A-A606-C81BD80BDF2D}">
      <dgm:prSet phldrT="[Texte]" custT="1"/>
      <dgm:spPr>
        <a:noFill/>
        <a:ln w="12700">
          <a:solidFill>
            <a:srgbClr val="7030A0"/>
          </a:solidFill>
        </a:ln>
      </dgm:spPr>
      <dgm:t>
        <a:bodyPr/>
        <a:lstStyle/>
        <a:p>
          <a:pPr algn="ctr"/>
          <a:r>
            <a:rPr lang="fr-FR" sz="900" b="1" dirty="0">
              <a:solidFill>
                <a:schemeClr val="tx1"/>
              </a:solidFill>
              <a:latin typeface="Calibri "/>
            </a:rPr>
            <a:t>PR. HARTMUT EHRLICH</a:t>
          </a:r>
        </a:p>
        <a:p>
          <a:pPr algn="ctr"/>
          <a:r>
            <a:rPr lang="fr-FR" sz="900" dirty="0">
              <a:solidFill>
                <a:schemeClr val="tx1"/>
              </a:solidFill>
              <a:latin typeface="Calibri "/>
            </a:rPr>
            <a:t>Directeur Général</a:t>
          </a:r>
          <a:endParaRPr lang="fr-FR" sz="900" dirty="0"/>
        </a:p>
      </dgm:t>
    </dgm:pt>
    <dgm:pt modelId="{39768BEC-2959-4A24-88EB-CF178F4A602D}" type="parTrans" cxnId="{F2A0DD98-FCA0-4095-8441-4EEEB64074BF}">
      <dgm:prSet/>
      <dgm:spPr/>
      <dgm:t>
        <a:bodyPr/>
        <a:lstStyle/>
        <a:p>
          <a:pPr algn="ctr"/>
          <a:endParaRPr lang="fr-FR" sz="1600"/>
        </a:p>
      </dgm:t>
    </dgm:pt>
    <dgm:pt modelId="{7EBD7509-C4D4-4F3F-AFD0-27967F0F2A68}" type="sibTrans" cxnId="{F2A0DD98-FCA0-4095-8441-4EEEB64074BF}">
      <dgm:prSet/>
      <dgm:spPr/>
      <dgm:t>
        <a:bodyPr/>
        <a:lstStyle/>
        <a:p>
          <a:pPr algn="ctr"/>
          <a:endParaRPr lang="fr-FR" sz="1600"/>
        </a:p>
      </dgm:t>
    </dgm:pt>
    <dgm:pt modelId="{25CD0DEF-3D36-4589-A84A-B0ECFF9C7C6E}">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JEAN-MARC STEENS</a:t>
          </a:r>
        </a:p>
        <a:p>
          <a:pPr algn="ctr"/>
          <a:r>
            <a:rPr lang="fr-FR" sz="900" dirty="0">
              <a:solidFill>
                <a:schemeClr val="tx1"/>
              </a:solidFill>
              <a:latin typeface="Calibri "/>
            </a:rPr>
            <a:t>V.P. Directeur </a:t>
          </a:r>
        </a:p>
        <a:p>
          <a:pPr algn="ctr"/>
          <a:r>
            <a:rPr lang="fr-FR" sz="900" dirty="0">
              <a:solidFill>
                <a:schemeClr val="tx1"/>
              </a:solidFill>
              <a:latin typeface="Calibri "/>
            </a:rPr>
            <a:t>Médical</a:t>
          </a:r>
          <a:endParaRPr lang="fr-FR" sz="900" b="1" dirty="0">
            <a:solidFill>
              <a:sysClr val="windowText" lastClr="000000"/>
            </a:solidFill>
            <a:latin typeface="Calibri "/>
          </a:endParaRPr>
        </a:p>
      </dgm:t>
    </dgm:pt>
    <dgm:pt modelId="{3BA6E236-8BAC-40B9-8C90-F25C8B0F404F}" type="parTrans" cxnId="{382793C6-6243-4EAF-90BD-E9110EE82D89}">
      <dgm:prSet/>
      <dgm:spPr>
        <a:ln>
          <a:solidFill>
            <a:srgbClr val="7030A0"/>
          </a:solidFill>
        </a:ln>
      </dgm:spPr>
      <dgm:t>
        <a:bodyPr/>
        <a:lstStyle/>
        <a:p>
          <a:pPr algn="ctr"/>
          <a:endParaRPr lang="fr-FR" sz="1600"/>
        </a:p>
      </dgm:t>
    </dgm:pt>
    <dgm:pt modelId="{4AF2DA10-EDA5-4D6B-BE33-5F10134B20E5}" type="sibTrans" cxnId="{382793C6-6243-4EAF-90BD-E9110EE82D89}">
      <dgm:prSet/>
      <dgm:spPr/>
      <dgm:t>
        <a:bodyPr/>
        <a:lstStyle/>
        <a:p>
          <a:pPr algn="ctr"/>
          <a:endParaRPr lang="fr-FR" sz="1600"/>
        </a:p>
      </dgm:t>
    </dgm:pt>
    <dgm:pt modelId="{34B5A4A0-F136-442C-852D-CED09B1FEA13}">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DIDIER SCHERRER</a:t>
          </a:r>
        </a:p>
        <a:p>
          <a:pPr algn="ctr"/>
          <a:r>
            <a:rPr lang="fr-FR" sz="900" dirty="0">
              <a:solidFill>
                <a:schemeClr val="tx1"/>
              </a:solidFill>
              <a:latin typeface="Calibri "/>
            </a:rPr>
            <a:t>V.P. Directeur de la Recherche</a:t>
          </a:r>
          <a:endParaRPr lang="fr-FR" sz="800" b="1" dirty="0">
            <a:solidFill>
              <a:schemeClr val="tx1"/>
            </a:solidFill>
            <a:latin typeface="Calibri "/>
          </a:endParaRPr>
        </a:p>
      </dgm:t>
    </dgm:pt>
    <dgm:pt modelId="{16CF680E-1518-4982-95C9-014D72C41C93}" type="parTrans" cxnId="{02254FCD-E664-41AC-8612-C15AF18868A0}">
      <dgm:prSet/>
      <dgm:spPr>
        <a:ln>
          <a:solidFill>
            <a:srgbClr val="7030A0"/>
          </a:solidFill>
        </a:ln>
      </dgm:spPr>
      <dgm:t>
        <a:bodyPr/>
        <a:lstStyle/>
        <a:p>
          <a:pPr algn="ctr"/>
          <a:endParaRPr lang="fr-FR" sz="1600"/>
        </a:p>
      </dgm:t>
    </dgm:pt>
    <dgm:pt modelId="{49D2F7ED-EBBB-478A-A2AB-07A283232563}" type="sibTrans" cxnId="{02254FCD-E664-41AC-8612-C15AF18868A0}">
      <dgm:prSet/>
      <dgm:spPr/>
      <dgm:t>
        <a:bodyPr/>
        <a:lstStyle/>
        <a:p>
          <a:pPr algn="ctr"/>
          <a:endParaRPr lang="fr-FR" sz="1600"/>
        </a:p>
      </dgm:t>
    </dgm:pt>
    <dgm:pt modelId="{CDC82CD7-1E53-4189-A7B4-E6654F01562F}">
      <dgm:prSet custT="1"/>
      <dgm:spPr>
        <a:noFill/>
        <a:ln w="12700">
          <a:solidFill>
            <a:srgbClr val="7030A0"/>
          </a:solidFill>
        </a:ln>
      </dgm:spPr>
      <dgm:t>
        <a:bodyPr/>
        <a:lstStyle/>
        <a:p>
          <a:pPr algn="ctr"/>
          <a:r>
            <a:rPr lang="fr-FR" sz="900" b="1" dirty="0">
              <a:solidFill>
                <a:sysClr val="windowText" lastClr="000000"/>
              </a:solidFill>
              <a:latin typeface="Calibri "/>
            </a:rPr>
            <a:t>JEROME DENIS </a:t>
          </a:r>
        </a:p>
        <a:p>
          <a:pPr algn="ctr"/>
          <a:r>
            <a:rPr lang="fr-FR" sz="900" dirty="0">
              <a:solidFill>
                <a:sysClr val="windowText" lastClr="000000"/>
              </a:solidFill>
              <a:latin typeface="Calibri "/>
            </a:rPr>
            <a:t>V.P. Directeur de la Production et du Développement des Procédés </a:t>
          </a:r>
          <a:endParaRPr lang="fr-FR" sz="900" b="1" dirty="0">
            <a:solidFill>
              <a:schemeClr val="tx1"/>
            </a:solidFill>
            <a:latin typeface="Calibri "/>
          </a:endParaRPr>
        </a:p>
      </dgm:t>
    </dgm:pt>
    <dgm:pt modelId="{F3938036-EB65-488D-A505-8AA0F88CD3F4}" type="parTrans" cxnId="{85DB731C-8C28-41E6-A63F-68DD0ECFAFA9}">
      <dgm:prSet/>
      <dgm:spPr>
        <a:ln>
          <a:solidFill>
            <a:srgbClr val="7030A0"/>
          </a:solidFill>
        </a:ln>
      </dgm:spPr>
      <dgm:t>
        <a:bodyPr/>
        <a:lstStyle/>
        <a:p>
          <a:pPr algn="ctr"/>
          <a:endParaRPr lang="fr-FR" sz="1600"/>
        </a:p>
      </dgm:t>
    </dgm:pt>
    <dgm:pt modelId="{C175B4D3-6882-45D2-BDB5-8F23025F5F57}" type="sibTrans" cxnId="{85DB731C-8C28-41E6-A63F-68DD0ECFAFA9}">
      <dgm:prSet/>
      <dgm:spPr/>
      <dgm:t>
        <a:bodyPr/>
        <a:lstStyle/>
        <a:p>
          <a:pPr algn="ctr"/>
          <a:endParaRPr lang="fr-FR" sz="1600"/>
        </a:p>
      </dgm:t>
    </dgm:pt>
    <dgm:pt modelId="{DCB0481C-B45B-43D1-83B9-D8D144155D95}">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DIDIER BLONDEL</a:t>
          </a:r>
        </a:p>
        <a:p>
          <a:pPr algn="ctr"/>
          <a:r>
            <a:rPr lang="fr-FR" sz="900" dirty="0">
              <a:solidFill>
                <a:schemeClr val="tx1"/>
              </a:solidFill>
              <a:latin typeface="Calibri "/>
            </a:rPr>
            <a:t>V.P. Directeur Administratif &amp; Financier et </a:t>
          </a:r>
        </a:p>
        <a:p>
          <a:pPr algn="ctr"/>
          <a:r>
            <a:rPr lang="fr-FR" sz="900" dirty="0">
              <a:solidFill>
                <a:schemeClr val="tx1"/>
              </a:solidFill>
              <a:latin typeface="Calibri "/>
            </a:rPr>
            <a:t>Secrétaire du Conseil d'Administration</a:t>
          </a:r>
          <a:endParaRPr lang="fr-FR" sz="900" b="1" dirty="0">
            <a:solidFill>
              <a:schemeClr val="tx1"/>
            </a:solidFill>
            <a:latin typeface="Calibri "/>
          </a:endParaRPr>
        </a:p>
      </dgm:t>
    </dgm:pt>
    <dgm:pt modelId="{F11E5023-A25C-42EC-B10D-5401D5B4F9F3}" type="parTrans" cxnId="{9176618C-78E3-4EEE-BFA5-FE26B48EED72}">
      <dgm:prSet/>
      <dgm:spPr>
        <a:ln>
          <a:solidFill>
            <a:srgbClr val="7030A0"/>
          </a:solidFill>
        </a:ln>
      </dgm:spPr>
      <dgm:t>
        <a:bodyPr/>
        <a:lstStyle/>
        <a:p>
          <a:pPr algn="ctr"/>
          <a:endParaRPr lang="fr-FR" sz="1600"/>
        </a:p>
      </dgm:t>
    </dgm:pt>
    <dgm:pt modelId="{8D7E1589-486F-49A0-8F65-DD3E52CA9C91}" type="sibTrans" cxnId="{9176618C-78E3-4EEE-BFA5-FE26B48EED72}">
      <dgm:prSet/>
      <dgm:spPr/>
      <dgm:t>
        <a:bodyPr/>
        <a:lstStyle/>
        <a:p>
          <a:pPr algn="ctr"/>
          <a:endParaRPr lang="fr-FR" sz="1600"/>
        </a:p>
      </dgm:t>
    </dgm:pt>
    <dgm:pt modelId="{00661EC0-12FA-47A9-865E-0FAF13E582AB}">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PIERRE COURTEILLE</a:t>
          </a:r>
        </a:p>
        <a:p>
          <a:pPr algn="ctr"/>
          <a:r>
            <a:rPr lang="fr-FR" sz="900" dirty="0">
              <a:solidFill>
                <a:schemeClr val="tx1"/>
              </a:solidFill>
              <a:latin typeface="Calibri "/>
            </a:rPr>
            <a:t>V.P. Directeur Commercial et du Business </a:t>
          </a:r>
          <a:r>
            <a:rPr lang="fr-FR" sz="900" dirty="0" err="1">
              <a:solidFill>
                <a:schemeClr val="tx1"/>
              </a:solidFill>
              <a:latin typeface="Calibri "/>
            </a:rPr>
            <a:t>Development</a:t>
          </a:r>
          <a:r>
            <a:rPr lang="fr-FR" sz="900" dirty="0">
              <a:solidFill>
                <a:schemeClr val="tx1"/>
              </a:solidFill>
              <a:latin typeface="Calibri "/>
            </a:rPr>
            <a:t> </a:t>
          </a:r>
          <a:endParaRPr lang="fr-FR" sz="900" b="1" dirty="0">
            <a:solidFill>
              <a:schemeClr val="tx1"/>
            </a:solidFill>
            <a:latin typeface="Calibri "/>
          </a:endParaRPr>
        </a:p>
      </dgm:t>
    </dgm:pt>
    <dgm:pt modelId="{1F92ABFC-3E3D-49FC-BF0B-E24C27A21829}" type="parTrans" cxnId="{29F61593-C3A3-4EC3-BD7F-DB506D964BED}">
      <dgm:prSet/>
      <dgm:spPr>
        <a:ln>
          <a:solidFill>
            <a:srgbClr val="7030A0"/>
          </a:solidFill>
        </a:ln>
      </dgm:spPr>
      <dgm:t>
        <a:bodyPr/>
        <a:lstStyle/>
        <a:p>
          <a:pPr algn="ctr"/>
          <a:endParaRPr lang="fr-FR" sz="1600"/>
        </a:p>
      </dgm:t>
    </dgm:pt>
    <dgm:pt modelId="{98BC2A65-2B0B-482A-A103-53A7872B6EF4}" type="sibTrans" cxnId="{29F61593-C3A3-4EC3-BD7F-DB506D964BED}">
      <dgm:prSet/>
      <dgm:spPr/>
      <dgm:t>
        <a:bodyPr/>
        <a:lstStyle/>
        <a:p>
          <a:pPr algn="ctr"/>
          <a:endParaRPr lang="fr-FR" sz="1600"/>
        </a:p>
      </dgm:t>
    </dgm:pt>
    <dgm:pt modelId="{EE62B8F1-F4E6-48A2-960A-48CDD1FA55B0}">
      <dgm:prSet custT="1"/>
      <dgm:spPr>
        <a:noFill/>
        <a:ln>
          <a:solidFill>
            <a:srgbClr val="7030A0"/>
          </a:solidFill>
        </a:ln>
      </dgm:spPr>
      <dgm:t>
        <a:bodyPr/>
        <a:lstStyle/>
        <a:p>
          <a:pPr algn="ctr">
            <a:spcAft>
              <a:spcPct val="35000"/>
            </a:spcAft>
          </a:pPr>
          <a:r>
            <a:rPr lang="fr-FR" sz="900" b="1" dirty="0">
              <a:solidFill>
                <a:sysClr val="windowText" lastClr="000000"/>
              </a:solidFill>
              <a:latin typeface="Calibri "/>
            </a:rPr>
            <a:t>PAUL GINESTE</a:t>
          </a:r>
        </a:p>
        <a:p>
          <a:pPr algn="ctr">
            <a:spcAft>
              <a:spcPts val="0"/>
            </a:spcAft>
          </a:pPr>
          <a:r>
            <a:rPr lang="fr-FR" sz="900" dirty="0" err="1">
              <a:solidFill>
                <a:schemeClr val="tx1"/>
              </a:solidFill>
              <a:latin typeface="Calibri "/>
            </a:rPr>
            <a:t>V.P. Opérations Cliniques</a:t>
          </a:r>
        </a:p>
        <a:p>
          <a:pPr algn="ctr">
            <a:spcAft>
              <a:spcPts val="0"/>
            </a:spcAft>
          </a:pPr>
          <a:r>
            <a:rPr lang="fr-FR" sz="900" dirty="0">
              <a:solidFill>
                <a:schemeClr val="tx1"/>
              </a:solidFill>
              <a:latin typeface="Calibri "/>
            </a:rPr>
            <a:t> </a:t>
          </a:r>
          <a:endParaRPr lang="en-US" sz="600" dirty="0">
            <a:solidFill>
              <a:sysClr val="windowText" lastClr="000000"/>
            </a:solidFill>
          </a:endParaRPr>
        </a:p>
        <a:p>
          <a:pPr algn="ctr">
            <a:spcAft>
              <a:spcPct val="35000"/>
            </a:spcAft>
          </a:pPr>
          <a:endParaRPr lang="en-US" sz="600" dirty="0">
            <a:solidFill>
              <a:sysClr val="windowText" lastClr="000000"/>
            </a:solidFill>
          </a:endParaRPr>
        </a:p>
      </dgm:t>
    </dgm:pt>
    <dgm:pt modelId="{EAC9F0F0-04CA-4A22-834B-6E78B2B6E0F7}" type="parTrans" cxnId="{F2F9C6AC-96D5-4FE8-86D2-66DCE502C612}">
      <dgm:prSet/>
      <dgm:spPr>
        <a:ln>
          <a:solidFill>
            <a:srgbClr val="7030A0"/>
          </a:solidFill>
        </a:ln>
      </dgm:spPr>
      <dgm:t>
        <a:bodyPr/>
        <a:lstStyle/>
        <a:p>
          <a:endParaRPr lang="en-US">
            <a:solidFill>
              <a:srgbClr val="7030A0"/>
            </a:solidFill>
          </a:endParaRPr>
        </a:p>
      </dgm:t>
    </dgm:pt>
    <dgm:pt modelId="{11644282-1359-41CE-81FB-4C544509C3AA}" type="sibTrans" cxnId="{F2F9C6AC-96D5-4FE8-86D2-66DCE502C612}">
      <dgm:prSet/>
      <dgm:spPr/>
      <dgm:t>
        <a:bodyPr/>
        <a:lstStyle/>
        <a:p>
          <a:endParaRPr lang="en-US"/>
        </a:p>
      </dgm:t>
    </dgm:pt>
    <dgm:pt modelId="{01CE80BC-6053-449A-A489-32215BBB068C}">
      <dgm:prSet custT="1"/>
      <dgm:spPr>
        <a:noFill/>
        <a:ln w="12700">
          <a:solidFill>
            <a:srgbClr val="7030A0"/>
          </a:solidFill>
        </a:ln>
      </dgm:spPr>
      <dgm:t>
        <a:bodyPr anchor="ctr" anchorCtr="0"/>
        <a:lstStyle/>
        <a:p>
          <a:pPr algn="ctr"/>
          <a:endParaRPr lang="fr-FR" sz="900" b="1" dirty="0">
            <a:solidFill>
              <a:schemeClr val="tx1"/>
            </a:solidFill>
            <a:latin typeface="Calibri "/>
          </a:endParaRPr>
        </a:p>
        <a:p>
          <a:pPr algn="ctr"/>
          <a:r>
            <a:rPr lang="fr-FR" sz="900" b="1" dirty="0">
              <a:solidFill>
                <a:schemeClr val="tx1"/>
              </a:solidFill>
              <a:latin typeface="Calibri "/>
            </a:rPr>
            <a:t>BERNARD FANGET</a:t>
          </a:r>
        </a:p>
        <a:p>
          <a:pPr algn="ctr"/>
          <a:r>
            <a:rPr lang="fr-FR" sz="900" b="0" dirty="0">
              <a:solidFill>
                <a:schemeClr val="tx1"/>
              </a:solidFill>
              <a:latin typeface="Calibri "/>
            </a:rPr>
            <a:t>V.P. Affaires réglementaires</a:t>
          </a:r>
        </a:p>
      </dgm:t>
    </dgm:pt>
    <dgm:pt modelId="{7F90440C-5F41-4008-9FEA-2DC8E6B30C53}" type="parTrans" cxnId="{9B4F8EC6-EA5E-4C92-B802-832022540C14}">
      <dgm:prSet/>
      <dgm:spPr/>
      <dgm:t>
        <a:bodyPr/>
        <a:lstStyle/>
        <a:p>
          <a:endParaRPr lang="fr-FR"/>
        </a:p>
      </dgm:t>
    </dgm:pt>
    <dgm:pt modelId="{162C5EF0-CC3D-4534-A3FA-2EAAB35C26B5}" type="sibTrans" cxnId="{9B4F8EC6-EA5E-4C92-B802-832022540C14}">
      <dgm:prSet/>
      <dgm:spPr/>
      <dgm:t>
        <a:bodyPr/>
        <a:lstStyle/>
        <a:p>
          <a:endParaRPr lang="fr-FR"/>
        </a:p>
      </dgm:t>
    </dgm:pt>
    <dgm:pt modelId="{34F47BE1-8FF8-43A4-B183-7B27DE0785B5}" type="pres">
      <dgm:prSet presAssocID="{2BEDDA25-FA6E-458E-B817-66855E8987DF}" presName="hierChild1" presStyleCnt="0">
        <dgm:presLayoutVars>
          <dgm:orgChart val="1"/>
          <dgm:chPref val="1"/>
          <dgm:dir/>
          <dgm:animOne val="branch"/>
          <dgm:animLvl val="lvl"/>
          <dgm:resizeHandles/>
        </dgm:presLayoutVars>
      </dgm:prSet>
      <dgm:spPr/>
    </dgm:pt>
    <dgm:pt modelId="{6A572C49-881A-4ED4-8FB6-A933C9B48317}" type="pres">
      <dgm:prSet presAssocID="{A7C65B6A-6AC9-440A-A606-C81BD80BDF2D}" presName="hierRoot1" presStyleCnt="0">
        <dgm:presLayoutVars>
          <dgm:hierBranch val="init"/>
        </dgm:presLayoutVars>
      </dgm:prSet>
      <dgm:spPr/>
    </dgm:pt>
    <dgm:pt modelId="{3AA2D5A4-6D7D-4A3F-B157-5773AD3E8B86}" type="pres">
      <dgm:prSet presAssocID="{A7C65B6A-6AC9-440A-A606-C81BD80BDF2D}" presName="rootComposite1" presStyleCnt="0"/>
      <dgm:spPr/>
    </dgm:pt>
    <dgm:pt modelId="{91ABCFC2-F188-4BFE-9C9E-4D4CA72E670F}" type="pres">
      <dgm:prSet presAssocID="{A7C65B6A-6AC9-440A-A606-C81BD80BDF2D}" presName="rootText1" presStyleLbl="node0" presStyleIdx="0" presStyleCnt="1" custScaleX="525477" custScaleY="268166" custLinFactNeighborX="0" custLinFactNeighborY="30462">
        <dgm:presLayoutVars>
          <dgm:chPref val="3"/>
        </dgm:presLayoutVars>
      </dgm:prSet>
      <dgm:spPr/>
    </dgm:pt>
    <dgm:pt modelId="{6A691DD9-2801-45B5-9E37-BEF856B93447}" type="pres">
      <dgm:prSet presAssocID="{A7C65B6A-6AC9-440A-A606-C81BD80BDF2D}" presName="rootConnector1" presStyleLbl="node1" presStyleIdx="0" presStyleCnt="0"/>
      <dgm:spPr/>
    </dgm:pt>
    <dgm:pt modelId="{F0A1E5E6-5609-4D80-B6C7-A8F16C478FB7}" type="pres">
      <dgm:prSet presAssocID="{A7C65B6A-6AC9-440A-A606-C81BD80BDF2D}" presName="hierChild2" presStyleCnt="0"/>
      <dgm:spPr/>
    </dgm:pt>
    <dgm:pt modelId="{A746AE96-6E98-4104-9082-B7EAEE45EE0D}" type="pres">
      <dgm:prSet presAssocID="{F11E5023-A25C-42EC-B10D-5401D5B4F9F3}" presName="Name37" presStyleLbl="parChTrans1D2" presStyleIdx="0" presStyleCnt="7"/>
      <dgm:spPr/>
    </dgm:pt>
    <dgm:pt modelId="{77F662FB-AADF-485F-A8EF-EDEDC462F55B}" type="pres">
      <dgm:prSet presAssocID="{DCB0481C-B45B-43D1-83B9-D8D144155D95}" presName="hierRoot2" presStyleCnt="0">
        <dgm:presLayoutVars>
          <dgm:hierBranch val="init"/>
        </dgm:presLayoutVars>
      </dgm:prSet>
      <dgm:spPr/>
    </dgm:pt>
    <dgm:pt modelId="{D5212000-3645-461C-B96E-7AEABC998D0C}" type="pres">
      <dgm:prSet presAssocID="{DCB0481C-B45B-43D1-83B9-D8D144155D95}" presName="rootComposite" presStyleCnt="0"/>
      <dgm:spPr/>
    </dgm:pt>
    <dgm:pt modelId="{7ABFFCC2-6BF7-458B-99F6-F9709A72616B}" type="pres">
      <dgm:prSet presAssocID="{DCB0481C-B45B-43D1-83B9-D8D144155D95}" presName="rootText" presStyleLbl="node2" presStyleIdx="0" presStyleCnt="7" custScaleX="262785" custScaleY="804497" custLinFactY="100000" custLinFactNeighborY="142530">
        <dgm:presLayoutVars>
          <dgm:chPref val="3"/>
        </dgm:presLayoutVars>
      </dgm:prSet>
      <dgm:spPr/>
    </dgm:pt>
    <dgm:pt modelId="{2895AA30-B5D2-4761-9015-2BA01A1AA0D1}" type="pres">
      <dgm:prSet presAssocID="{DCB0481C-B45B-43D1-83B9-D8D144155D95}" presName="rootConnector" presStyleLbl="node2" presStyleIdx="0" presStyleCnt="7"/>
      <dgm:spPr/>
    </dgm:pt>
    <dgm:pt modelId="{02FC1AAC-3416-4D3D-BB9A-AE27660D7C4A}" type="pres">
      <dgm:prSet presAssocID="{DCB0481C-B45B-43D1-83B9-D8D144155D95}" presName="hierChild4" presStyleCnt="0"/>
      <dgm:spPr/>
    </dgm:pt>
    <dgm:pt modelId="{C6DF9A68-3064-421A-9195-C89D5D37A8E4}" type="pres">
      <dgm:prSet presAssocID="{DCB0481C-B45B-43D1-83B9-D8D144155D95}" presName="hierChild5" presStyleCnt="0"/>
      <dgm:spPr/>
    </dgm:pt>
    <dgm:pt modelId="{5204631E-74EB-40E8-A900-343E0649A8B2}" type="pres">
      <dgm:prSet presAssocID="{1F92ABFC-3E3D-49FC-BF0B-E24C27A21829}" presName="Name37" presStyleLbl="parChTrans1D2" presStyleIdx="1" presStyleCnt="7"/>
      <dgm:spPr/>
    </dgm:pt>
    <dgm:pt modelId="{B7328F7B-6ECD-4ABF-8304-3754F18C7233}" type="pres">
      <dgm:prSet presAssocID="{00661EC0-12FA-47A9-865E-0FAF13E582AB}" presName="hierRoot2" presStyleCnt="0">
        <dgm:presLayoutVars>
          <dgm:hierBranch val="init"/>
        </dgm:presLayoutVars>
      </dgm:prSet>
      <dgm:spPr/>
    </dgm:pt>
    <dgm:pt modelId="{187EF40A-C644-4282-8B27-179B4E347095}" type="pres">
      <dgm:prSet presAssocID="{00661EC0-12FA-47A9-865E-0FAF13E582AB}" presName="rootComposite" presStyleCnt="0"/>
      <dgm:spPr/>
    </dgm:pt>
    <dgm:pt modelId="{1B8FD9C0-D24A-44AB-AD2E-8AAA492BAA32}" type="pres">
      <dgm:prSet presAssocID="{00661EC0-12FA-47A9-865E-0FAF13E582AB}" presName="rootText" presStyleLbl="node2" presStyleIdx="1" presStyleCnt="7" custScaleX="262785" custScaleY="804497" custLinFactY="100000" custLinFactNeighborY="142530">
        <dgm:presLayoutVars>
          <dgm:chPref val="3"/>
        </dgm:presLayoutVars>
      </dgm:prSet>
      <dgm:spPr/>
    </dgm:pt>
    <dgm:pt modelId="{99159C85-1D58-4C87-849B-395E800C3809}" type="pres">
      <dgm:prSet presAssocID="{00661EC0-12FA-47A9-865E-0FAF13E582AB}" presName="rootConnector" presStyleLbl="node2" presStyleIdx="1" presStyleCnt="7"/>
      <dgm:spPr/>
    </dgm:pt>
    <dgm:pt modelId="{DB81C859-6EAD-4BAA-82E7-D7F7A2577C41}" type="pres">
      <dgm:prSet presAssocID="{00661EC0-12FA-47A9-865E-0FAF13E582AB}" presName="hierChild4" presStyleCnt="0"/>
      <dgm:spPr/>
    </dgm:pt>
    <dgm:pt modelId="{065F31F9-E2B5-4852-B16E-A07A0FD0AE98}" type="pres">
      <dgm:prSet presAssocID="{00661EC0-12FA-47A9-865E-0FAF13E582AB}" presName="hierChild5" presStyleCnt="0"/>
      <dgm:spPr/>
    </dgm:pt>
    <dgm:pt modelId="{5074BED5-7F8D-4722-8C22-FCAF11748259}" type="pres">
      <dgm:prSet presAssocID="{3BA6E236-8BAC-40B9-8C90-F25C8B0F404F}" presName="Name37" presStyleLbl="parChTrans1D2" presStyleIdx="2" presStyleCnt="7"/>
      <dgm:spPr/>
    </dgm:pt>
    <dgm:pt modelId="{F5E5FD7E-8469-4761-B823-B187F70113DC}" type="pres">
      <dgm:prSet presAssocID="{25CD0DEF-3D36-4589-A84A-B0ECFF9C7C6E}" presName="hierRoot2" presStyleCnt="0">
        <dgm:presLayoutVars>
          <dgm:hierBranch val="init"/>
        </dgm:presLayoutVars>
      </dgm:prSet>
      <dgm:spPr/>
    </dgm:pt>
    <dgm:pt modelId="{8C58DA5E-278D-40BA-8AAE-BA1E40F793A2}" type="pres">
      <dgm:prSet presAssocID="{25CD0DEF-3D36-4589-A84A-B0ECFF9C7C6E}" presName="rootComposite" presStyleCnt="0"/>
      <dgm:spPr/>
    </dgm:pt>
    <dgm:pt modelId="{9229AD25-3DCD-4AFF-AAAC-FC0ADB8C2EB6}" type="pres">
      <dgm:prSet presAssocID="{25CD0DEF-3D36-4589-A84A-B0ECFF9C7C6E}" presName="rootText" presStyleLbl="node2" presStyleIdx="2" presStyleCnt="7" custScaleX="262785" custScaleY="804497" custLinFactY="100000" custLinFactNeighborY="142530">
        <dgm:presLayoutVars>
          <dgm:chPref val="3"/>
        </dgm:presLayoutVars>
      </dgm:prSet>
      <dgm:spPr/>
    </dgm:pt>
    <dgm:pt modelId="{4D526FDE-5182-4828-970F-1320AD803384}" type="pres">
      <dgm:prSet presAssocID="{25CD0DEF-3D36-4589-A84A-B0ECFF9C7C6E}" presName="rootConnector" presStyleLbl="node2" presStyleIdx="2" presStyleCnt="7"/>
      <dgm:spPr/>
    </dgm:pt>
    <dgm:pt modelId="{1617BDCC-C65E-4674-BFBD-5F68C8FC0415}" type="pres">
      <dgm:prSet presAssocID="{25CD0DEF-3D36-4589-A84A-B0ECFF9C7C6E}" presName="hierChild4" presStyleCnt="0"/>
      <dgm:spPr/>
    </dgm:pt>
    <dgm:pt modelId="{4298C4FA-300B-4CE5-8F84-382D9AAF2FC0}" type="pres">
      <dgm:prSet presAssocID="{25CD0DEF-3D36-4589-A84A-B0ECFF9C7C6E}" presName="hierChild5" presStyleCnt="0"/>
      <dgm:spPr/>
    </dgm:pt>
    <dgm:pt modelId="{4B3E5FFA-091C-4112-8497-AB0D174270C1}" type="pres">
      <dgm:prSet presAssocID="{EAC9F0F0-04CA-4A22-834B-6E78B2B6E0F7}" presName="Name37" presStyleLbl="parChTrans1D2" presStyleIdx="3" presStyleCnt="7"/>
      <dgm:spPr/>
    </dgm:pt>
    <dgm:pt modelId="{7D8A3C03-92BB-418D-B8DE-30B003C4700C}" type="pres">
      <dgm:prSet presAssocID="{EE62B8F1-F4E6-48A2-960A-48CDD1FA55B0}" presName="hierRoot2" presStyleCnt="0">
        <dgm:presLayoutVars>
          <dgm:hierBranch val="init"/>
        </dgm:presLayoutVars>
      </dgm:prSet>
      <dgm:spPr/>
    </dgm:pt>
    <dgm:pt modelId="{18A51363-A1C1-4589-8E89-3FD72BDD974A}" type="pres">
      <dgm:prSet presAssocID="{EE62B8F1-F4E6-48A2-960A-48CDD1FA55B0}" presName="rootComposite" presStyleCnt="0"/>
      <dgm:spPr/>
    </dgm:pt>
    <dgm:pt modelId="{85D85A1D-CA75-4725-B5D2-F2054AE4E7F1}" type="pres">
      <dgm:prSet presAssocID="{EE62B8F1-F4E6-48A2-960A-48CDD1FA55B0}" presName="rootText" presStyleLbl="node2" presStyleIdx="3" presStyleCnt="7" custScaleX="262785" custScaleY="804497" custLinFactY="100000" custLinFactNeighborX="203" custLinFactNeighborY="142530">
        <dgm:presLayoutVars>
          <dgm:chPref val="3"/>
        </dgm:presLayoutVars>
      </dgm:prSet>
      <dgm:spPr/>
    </dgm:pt>
    <dgm:pt modelId="{1848395B-F1C4-44D6-A5DE-13DBEB8396D0}" type="pres">
      <dgm:prSet presAssocID="{EE62B8F1-F4E6-48A2-960A-48CDD1FA55B0}" presName="rootConnector" presStyleLbl="node2" presStyleIdx="3" presStyleCnt="7"/>
      <dgm:spPr/>
    </dgm:pt>
    <dgm:pt modelId="{8DB60611-1719-4D08-9214-0A7C6FF7D01B}" type="pres">
      <dgm:prSet presAssocID="{EE62B8F1-F4E6-48A2-960A-48CDD1FA55B0}" presName="hierChild4" presStyleCnt="0"/>
      <dgm:spPr/>
    </dgm:pt>
    <dgm:pt modelId="{8C3AFFDF-EDF2-41EC-8276-FE403D5984AD}" type="pres">
      <dgm:prSet presAssocID="{EE62B8F1-F4E6-48A2-960A-48CDD1FA55B0}" presName="hierChild5" presStyleCnt="0"/>
      <dgm:spPr/>
    </dgm:pt>
    <dgm:pt modelId="{24DE52B5-08FF-42A1-B0B6-64D2A6D8B77F}" type="pres">
      <dgm:prSet presAssocID="{7F90440C-5F41-4008-9FEA-2DC8E6B30C53}" presName="Name37" presStyleLbl="parChTrans1D2" presStyleIdx="4" presStyleCnt="7"/>
      <dgm:spPr/>
    </dgm:pt>
    <dgm:pt modelId="{E26EF428-DB88-418C-AAC6-3345127A7F55}" type="pres">
      <dgm:prSet presAssocID="{01CE80BC-6053-449A-A489-32215BBB068C}" presName="hierRoot2" presStyleCnt="0">
        <dgm:presLayoutVars>
          <dgm:hierBranch val="init"/>
        </dgm:presLayoutVars>
      </dgm:prSet>
      <dgm:spPr/>
    </dgm:pt>
    <dgm:pt modelId="{59A0A982-0106-44CE-8116-66358951EF1C}" type="pres">
      <dgm:prSet presAssocID="{01CE80BC-6053-449A-A489-32215BBB068C}" presName="rootComposite" presStyleCnt="0"/>
      <dgm:spPr/>
    </dgm:pt>
    <dgm:pt modelId="{81816765-FEF0-474E-B50B-DE7FEA99B3E4}" type="pres">
      <dgm:prSet presAssocID="{01CE80BC-6053-449A-A489-32215BBB068C}" presName="rootText" presStyleLbl="node2" presStyleIdx="4" presStyleCnt="7" custScaleX="262785" custScaleY="804497" custLinFactY="100000" custLinFactNeighborY="142530">
        <dgm:presLayoutVars>
          <dgm:chPref val="3"/>
        </dgm:presLayoutVars>
      </dgm:prSet>
      <dgm:spPr/>
    </dgm:pt>
    <dgm:pt modelId="{E9197DA7-443C-42E1-96E4-D029344C00AC}" type="pres">
      <dgm:prSet presAssocID="{01CE80BC-6053-449A-A489-32215BBB068C}" presName="rootConnector" presStyleLbl="node2" presStyleIdx="4" presStyleCnt="7"/>
      <dgm:spPr/>
    </dgm:pt>
    <dgm:pt modelId="{895CB422-B8F9-448C-B935-3A66BDCC9AAA}" type="pres">
      <dgm:prSet presAssocID="{01CE80BC-6053-449A-A489-32215BBB068C}" presName="hierChild4" presStyleCnt="0"/>
      <dgm:spPr/>
    </dgm:pt>
    <dgm:pt modelId="{B65B04CA-2118-4B11-AF37-E92DB1AE1D63}" type="pres">
      <dgm:prSet presAssocID="{01CE80BC-6053-449A-A489-32215BBB068C}" presName="hierChild5" presStyleCnt="0"/>
      <dgm:spPr/>
    </dgm:pt>
    <dgm:pt modelId="{2A77F0C3-C19E-44E8-A8DF-C264B0D9C2A0}" type="pres">
      <dgm:prSet presAssocID="{F3938036-EB65-488D-A505-8AA0F88CD3F4}" presName="Name37" presStyleLbl="parChTrans1D2" presStyleIdx="5" presStyleCnt="7"/>
      <dgm:spPr/>
    </dgm:pt>
    <dgm:pt modelId="{E5A5FD55-4499-46D3-84C6-35FA067F8EB0}" type="pres">
      <dgm:prSet presAssocID="{CDC82CD7-1E53-4189-A7B4-E6654F01562F}" presName="hierRoot2" presStyleCnt="0">
        <dgm:presLayoutVars>
          <dgm:hierBranch val="init"/>
        </dgm:presLayoutVars>
      </dgm:prSet>
      <dgm:spPr/>
    </dgm:pt>
    <dgm:pt modelId="{B30B4F4C-2EAC-40F8-8BD7-7B944E24408C}" type="pres">
      <dgm:prSet presAssocID="{CDC82CD7-1E53-4189-A7B4-E6654F01562F}" presName="rootComposite" presStyleCnt="0"/>
      <dgm:spPr/>
    </dgm:pt>
    <dgm:pt modelId="{DE422567-7DEF-4AFE-AC19-972DDD6A252E}" type="pres">
      <dgm:prSet presAssocID="{CDC82CD7-1E53-4189-A7B4-E6654F01562F}" presName="rootText" presStyleLbl="node2" presStyleIdx="5" presStyleCnt="7" custScaleX="262785" custScaleY="804497" custLinFactY="100000" custLinFactNeighborY="142530">
        <dgm:presLayoutVars>
          <dgm:chPref val="3"/>
        </dgm:presLayoutVars>
      </dgm:prSet>
      <dgm:spPr/>
    </dgm:pt>
    <dgm:pt modelId="{60BD4F75-FB79-49E8-B7F0-687FDDC28EA8}" type="pres">
      <dgm:prSet presAssocID="{CDC82CD7-1E53-4189-A7B4-E6654F01562F}" presName="rootConnector" presStyleLbl="node2" presStyleIdx="5" presStyleCnt="7"/>
      <dgm:spPr/>
    </dgm:pt>
    <dgm:pt modelId="{64A01F4E-09D3-4979-8710-696C5B5C1D1C}" type="pres">
      <dgm:prSet presAssocID="{CDC82CD7-1E53-4189-A7B4-E6654F01562F}" presName="hierChild4" presStyleCnt="0"/>
      <dgm:spPr/>
    </dgm:pt>
    <dgm:pt modelId="{058FC968-E2F8-4A6D-9106-DA43A437FBF7}" type="pres">
      <dgm:prSet presAssocID="{CDC82CD7-1E53-4189-A7B4-E6654F01562F}" presName="hierChild5" presStyleCnt="0"/>
      <dgm:spPr/>
    </dgm:pt>
    <dgm:pt modelId="{8F8705B7-7D19-4332-A3B2-B86BF850401A}" type="pres">
      <dgm:prSet presAssocID="{16CF680E-1518-4982-95C9-014D72C41C93}" presName="Name37" presStyleLbl="parChTrans1D2" presStyleIdx="6" presStyleCnt="7"/>
      <dgm:spPr/>
    </dgm:pt>
    <dgm:pt modelId="{15060B4D-85B6-4EF7-95BE-26D56592C825}" type="pres">
      <dgm:prSet presAssocID="{34B5A4A0-F136-442C-852D-CED09B1FEA13}" presName="hierRoot2" presStyleCnt="0">
        <dgm:presLayoutVars>
          <dgm:hierBranch val="init"/>
        </dgm:presLayoutVars>
      </dgm:prSet>
      <dgm:spPr/>
    </dgm:pt>
    <dgm:pt modelId="{3B456822-06DD-42E0-9CEA-6ED84BF3C3BE}" type="pres">
      <dgm:prSet presAssocID="{34B5A4A0-F136-442C-852D-CED09B1FEA13}" presName="rootComposite" presStyleCnt="0"/>
      <dgm:spPr/>
    </dgm:pt>
    <dgm:pt modelId="{347F4702-19A9-40DB-AEA5-BDB4E88B0A23}" type="pres">
      <dgm:prSet presAssocID="{34B5A4A0-F136-442C-852D-CED09B1FEA13}" presName="rootText" presStyleLbl="node2" presStyleIdx="6" presStyleCnt="7" custScaleX="262785" custScaleY="804497" custLinFactY="100000" custLinFactNeighborY="142530">
        <dgm:presLayoutVars>
          <dgm:chPref val="3"/>
        </dgm:presLayoutVars>
      </dgm:prSet>
      <dgm:spPr/>
    </dgm:pt>
    <dgm:pt modelId="{270C1831-95CA-44BB-B007-AE5387A850BD}" type="pres">
      <dgm:prSet presAssocID="{34B5A4A0-F136-442C-852D-CED09B1FEA13}" presName="rootConnector" presStyleLbl="node2" presStyleIdx="6" presStyleCnt="7"/>
      <dgm:spPr/>
    </dgm:pt>
    <dgm:pt modelId="{12BD1150-24D9-4C6B-8683-5389AED7A20C}" type="pres">
      <dgm:prSet presAssocID="{34B5A4A0-F136-442C-852D-CED09B1FEA13}" presName="hierChild4" presStyleCnt="0"/>
      <dgm:spPr/>
    </dgm:pt>
    <dgm:pt modelId="{67247ED6-8D66-49B9-9238-1BA3076BBE8B}" type="pres">
      <dgm:prSet presAssocID="{34B5A4A0-F136-442C-852D-CED09B1FEA13}" presName="hierChild5" presStyleCnt="0"/>
      <dgm:spPr/>
    </dgm:pt>
    <dgm:pt modelId="{63A957EA-4B29-4CA3-BE22-78BD3C4165C4}" type="pres">
      <dgm:prSet presAssocID="{A7C65B6A-6AC9-440A-A606-C81BD80BDF2D}" presName="hierChild3" presStyleCnt="0"/>
      <dgm:spPr/>
    </dgm:pt>
  </dgm:ptLst>
  <dgm:cxnLst>
    <dgm:cxn modelId="{90B10B00-9C5C-4CB2-8AD7-FFD2387CDABB}" type="presOf" srcId="{2BEDDA25-FA6E-458E-B817-66855E8987DF}" destId="{34F47BE1-8FF8-43A4-B183-7B27DE0785B5}" srcOrd="0" destOrd="0" presId="urn:microsoft.com/office/officeart/2005/8/layout/orgChart1"/>
    <dgm:cxn modelId="{A8174B02-B7EF-401B-876A-979EF1E5E3DA}" type="presOf" srcId="{F3938036-EB65-488D-A505-8AA0F88CD3F4}" destId="{2A77F0C3-C19E-44E8-A8DF-C264B0D9C2A0}" srcOrd="0" destOrd="0" presId="urn:microsoft.com/office/officeart/2005/8/layout/orgChart1"/>
    <dgm:cxn modelId="{8CA56E03-218D-4EFF-8E37-595A5EF312CE}" type="presOf" srcId="{01CE80BC-6053-449A-A489-32215BBB068C}" destId="{E9197DA7-443C-42E1-96E4-D029344C00AC}" srcOrd="1" destOrd="0" presId="urn:microsoft.com/office/officeart/2005/8/layout/orgChart1"/>
    <dgm:cxn modelId="{92511509-9579-4A9D-941C-A06CE7741251}" type="presOf" srcId="{00661EC0-12FA-47A9-865E-0FAF13E582AB}" destId="{99159C85-1D58-4C87-849B-395E800C3809}" srcOrd="1" destOrd="0" presId="urn:microsoft.com/office/officeart/2005/8/layout/orgChart1"/>
    <dgm:cxn modelId="{D521B609-8FB1-47B5-84B6-FC92D38EEF91}" type="presOf" srcId="{F11E5023-A25C-42EC-B10D-5401D5B4F9F3}" destId="{A746AE96-6E98-4104-9082-B7EAEE45EE0D}" srcOrd="0" destOrd="0" presId="urn:microsoft.com/office/officeart/2005/8/layout/orgChart1"/>
    <dgm:cxn modelId="{22C1FF09-3C28-4E5A-9457-28F49B262556}" type="presOf" srcId="{01CE80BC-6053-449A-A489-32215BBB068C}" destId="{81816765-FEF0-474E-B50B-DE7FEA99B3E4}" srcOrd="0" destOrd="0" presId="urn:microsoft.com/office/officeart/2005/8/layout/orgChart1"/>
    <dgm:cxn modelId="{0D9AC40A-F4D7-4841-8DDB-21CB118B6CF2}" type="presOf" srcId="{A7C65B6A-6AC9-440A-A606-C81BD80BDF2D}" destId="{6A691DD9-2801-45B5-9E37-BEF856B93447}" srcOrd="1" destOrd="0" presId="urn:microsoft.com/office/officeart/2005/8/layout/orgChart1"/>
    <dgm:cxn modelId="{85DB731C-8C28-41E6-A63F-68DD0ECFAFA9}" srcId="{A7C65B6A-6AC9-440A-A606-C81BD80BDF2D}" destId="{CDC82CD7-1E53-4189-A7B4-E6654F01562F}" srcOrd="5" destOrd="0" parTransId="{F3938036-EB65-488D-A505-8AA0F88CD3F4}" sibTransId="{C175B4D3-6882-45D2-BDB5-8F23025F5F57}"/>
    <dgm:cxn modelId="{865DF126-0986-47D3-98AB-2F1D02E385F5}" type="presOf" srcId="{A7C65B6A-6AC9-440A-A606-C81BD80BDF2D}" destId="{91ABCFC2-F188-4BFE-9C9E-4D4CA72E670F}" srcOrd="0" destOrd="0" presId="urn:microsoft.com/office/officeart/2005/8/layout/orgChart1"/>
    <dgm:cxn modelId="{2E30D02A-7468-4AB9-B265-DC36882AFE84}" type="presOf" srcId="{EE62B8F1-F4E6-48A2-960A-48CDD1FA55B0}" destId="{1848395B-F1C4-44D6-A5DE-13DBEB8396D0}" srcOrd="1" destOrd="0" presId="urn:microsoft.com/office/officeart/2005/8/layout/orgChart1"/>
    <dgm:cxn modelId="{32899A32-8B5A-4276-9049-213FF0CFAC5E}" type="presOf" srcId="{00661EC0-12FA-47A9-865E-0FAF13E582AB}" destId="{1B8FD9C0-D24A-44AB-AD2E-8AAA492BAA32}" srcOrd="0" destOrd="0" presId="urn:microsoft.com/office/officeart/2005/8/layout/orgChart1"/>
    <dgm:cxn modelId="{3CCE3636-8593-4305-946C-CDD49A126A10}" type="presOf" srcId="{16CF680E-1518-4982-95C9-014D72C41C93}" destId="{8F8705B7-7D19-4332-A3B2-B86BF850401A}" srcOrd="0" destOrd="0" presId="urn:microsoft.com/office/officeart/2005/8/layout/orgChart1"/>
    <dgm:cxn modelId="{35CC1438-D1AC-4F8E-8E37-A2D5FD542C91}" type="presOf" srcId="{EE62B8F1-F4E6-48A2-960A-48CDD1FA55B0}" destId="{85D85A1D-CA75-4725-B5D2-F2054AE4E7F1}" srcOrd="0" destOrd="0" presId="urn:microsoft.com/office/officeart/2005/8/layout/orgChart1"/>
    <dgm:cxn modelId="{87866F39-931F-4AC8-9D0C-933A3136B115}" type="presOf" srcId="{34B5A4A0-F136-442C-852D-CED09B1FEA13}" destId="{347F4702-19A9-40DB-AEA5-BDB4E88B0A23}" srcOrd="0" destOrd="0" presId="urn:microsoft.com/office/officeart/2005/8/layout/orgChart1"/>
    <dgm:cxn modelId="{002FBD4D-18AE-42FD-B921-BC960F471021}" type="presOf" srcId="{DCB0481C-B45B-43D1-83B9-D8D144155D95}" destId="{2895AA30-B5D2-4761-9015-2BA01A1AA0D1}" srcOrd="1" destOrd="0" presId="urn:microsoft.com/office/officeart/2005/8/layout/orgChart1"/>
    <dgm:cxn modelId="{06540655-8BE3-4135-BFAC-48EAF4F20935}" type="presOf" srcId="{CDC82CD7-1E53-4189-A7B4-E6654F01562F}" destId="{DE422567-7DEF-4AFE-AC19-972DDD6A252E}" srcOrd="0" destOrd="0" presId="urn:microsoft.com/office/officeart/2005/8/layout/orgChart1"/>
    <dgm:cxn modelId="{32178659-D028-472C-BDB5-D1712D05C2D1}" type="presOf" srcId="{DCB0481C-B45B-43D1-83B9-D8D144155D95}" destId="{7ABFFCC2-6BF7-458B-99F6-F9709A72616B}" srcOrd="0" destOrd="0" presId="urn:microsoft.com/office/officeart/2005/8/layout/orgChart1"/>
    <dgm:cxn modelId="{2E303687-3BB1-4FFF-8F0A-E3110E10AA7D}" type="presOf" srcId="{34B5A4A0-F136-442C-852D-CED09B1FEA13}" destId="{270C1831-95CA-44BB-B007-AE5387A850BD}" srcOrd="1" destOrd="0" presId="urn:microsoft.com/office/officeart/2005/8/layout/orgChart1"/>
    <dgm:cxn modelId="{9176618C-78E3-4EEE-BFA5-FE26B48EED72}" srcId="{A7C65B6A-6AC9-440A-A606-C81BD80BDF2D}" destId="{DCB0481C-B45B-43D1-83B9-D8D144155D95}" srcOrd="0" destOrd="0" parTransId="{F11E5023-A25C-42EC-B10D-5401D5B4F9F3}" sibTransId="{8D7E1589-486F-49A0-8F65-DD3E52CA9C91}"/>
    <dgm:cxn modelId="{29F61593-C3A3-4EC3-BD7F-DB506D964BED}" srcId="{A7C65B6A-6AC9-440A-A606-C81BD80BDF2D}" destId="{00661EC0-12FA-47A9-865E-0FAF13E582AB}" srcOrd="1" destOrd="0" parTransId="{1F92ABFC-3E3D-49FC-BF0B-E24C27A21829}" sibTransId="{98BC2A65-2B0B-482A-A103-53A7872B6EF4}"/>
    <dgm:cxn modelId="{F2A0DD98-FCA0-4095-8441-4EEEB64074BF}" srcId="{2BEDDA25-FA6E-458E-B817-66855E8987DF}" destId="{A7C65B6A-6AC9-440A-A606-C81BD80BDF2D}" srcOrd="0" destOrd="0" parTransId="{39768BEC-2959-4A24-88EB-CF178F4A602D}" sibTransId="{7EBD7509-C4D4-4F3F-AFD0-27967F0F2A68}"/>
    <dgm:cxn modelId="{20F00C9D-1977-4F52-8F74-0449E007B093}" type="presOf" srcId="{1F92ABFC-3E3D-49FC-BF0B-E24C27A21829}" destId="{5204631E-74EB-40E8-A900-343E0649A8B2}" srcOrd="0" destOrd="0" presId="urn:microsoft.com/office/officeart/2005/8/layout/orgChart1"/>
    <dgm:cxn modelId="{56D491AC-5ABD-435A-A236-64CEDD49CA4D}" type="presOf" srcId="{25CD0DEF-3D36-4589-A84A-B0ECFF9C7C6E}" destId="{9229AD25-3DCD-4AFF-AAAC-FC0ADB8C2EB6}" srcOrd="0" destOrd="0" presId="urn:microsoft.com/office/officeart/2005/8/layout/orgChart1"/>
    <dgm:cxn modelId="{853EC6AC-F2EB-44EC-94D8-82777B2F3379}" type="presOf" srcId="{CDC82CD7-1E53-4189-A7B4-E6654F01562F}" destId="{60BD4F75-FB79-49E8-B7F0-687FDDC28EA8}" srcOrd="1" destOrd="0" presId="urn:microsoft.com/office/officeart/2005/8/layout/orgChart1"/>
    <dgm:cxn modelId="{F2F9C6AC-96D5-4FE8-86D2-66DCE502C612}" srcId="{A7C65B6A-6AC9-440A-A606-C81BD80BDF2D}" destId="{EE62B8F1-F4E6-48A2-960A-48CDD1FA55B0}" srcOrd="3" destOrd="0" parTransId="{EAC9F0F0-04CA-4A22-834B-6E78B2B6E0F7}" sibTransId="{11644282-1359-41CE-81FB-4C544509C3AA}"/>
    <dgm:cxn modelId="{497F0AAF-24BF-48C4-85BC-1FFF41AB7E01}" type="presOf" srcId="{7F90440C-5F41-4008-9FEA-2DC8E6B30C53}" destId="{24DE52B5-08FF-42A1-B0B6-64D2A6D8B77F}" srcOrd="0" destOrd="0" presId="urn:microsoft.com/office/officeart/2005/8/layout/orgChart1"/>
    <dgm:cxn modelId="{9B4F8EC6-EA5E-4C92-B802-832022540C14}" srcId="{A7C65B6A-6AC9-440A-A606-C81BD80BDF2D}" destId="{01CE80BC-6053-449A-A489-32215BBB068C}" srcOrd="4" destOrd="0" parTransId="{7F90440C-5F41-4008-9FEA-2DC8E6B30C53}" sibTransId="{162C5EF0-CC3D-4534-A3FA-2EAAB35C26B5}"/>
    <dgm:cxn modelId="{382793C6-6243-4EAF-90BD-E9110EE82D89}" srcId="{A7C65B6A-6AC9-440A-A606-C81BD80BDF2D}" destId="{25CD0DEF-3D36-4589-A84A-B0ECFF9C7C6E}" srcOrd="2" destOrd="0" parTransId="{3BA6E236-8BAC-40B9-8C90-F25C8B0F404F}" sibTransId="{4AF2DA10-EDA5-4D6B-BE33-5F10134B20E5}"/>
    <dgm:cxn modelId="{5A251ECA-82F4-46CB-A673-0638C970FEFD}" type="presOf" srcId="{3BA6E236-8BAC-40B9-8C90-F25C8B0F404F}" destId="{5074BED5-7F8D-4722-8C22-FCAF11748259}" srcOrd="0" destOrd="0" presId="urn:microsoft.com/office/officeart/2005/8/layout/orgChart1"/>
    <dgm:cxn modelId="{02254FCD-E664-41AC-8612-C15AF18868A0}" srcId="{A7C65B6A-6AC9-440A-A606-C81BD80BDF2D}" destId="{34B5A4A0-F136-442C-852D-CED09B1FEA13}" srcOrd="6" destOrd="0" parTransId="{16CF680E-1518-4982-95C9-014D72C41C93}" sibTransId="{49D2F7ED-EBBB-478A-A2AB-07A283232563}"/>
    <dgm:cxn modelId="{3AB0AAF7-9BEC-43B6-B226-BFD427D64F5E}" type="presOf" srcId="{EAC9F0F0-04CA-4A22-834B-6E78B2B6E0F7}" destId="{4B3E5FFA-091C-4112-8497-AB0D174270C1}" srcOrd="0" destOrd="0" presId="urn:microsoft.com/office/officeart/2005/8/layout/orgChart1"/>
    <dgm:cxn modelId="{01736AFA-84F6-492A-85BE-EE0EB1AF091B}" type="presOf" srcId="{25CD0DEF-3D36-4589-A84A-B0ECFF9C7C6E}" destId="{4D526FDE-5182-4828-970F-1320AD803384}" srcOrd="1" destOrd="0" presId="urn:microsoft.com/office/officeart/2005/8/layout/orgChart1"/>
    <dgm:cxn modelId="{4EE0F3F2-2454-45E9-ACCF-98BBCA39A12D}" type="presParOf" srcId="{34F47BE1-8FF8-43A4-B183-7B27DE0785B5}" destId="{6A572C49-881A-4ED4-8FB6-A933C9B48317}" srcOrd="0" destOrd="0" presId="urn:microsoft.com/office/officeart/2005/8/layout/orgChart1"/>
    <dgm:cxn modelId="{82154702-C03D-4562-A423-6D37D9427BC6}" type="presParOf" srcId="{6A572C49-881A-4ED4-8FB6-A933C9B48317}" destId="{3AA2D5A4-6D7D-4A3F-B157-5773AD3E8B86}" srcOrd="0" destOrd="0" presId="urn:microsoft.com/office/officeart/2005/8/layout/orgChart1"/>
    <dgm:cxn modelId="{6E821733-93F0-40EA-98C3-618714665318}" type="presParOf" srcId="{3AA2D5A4-6D7D-4A3F-B157-5773AD3E8B86}" destId="{91ABCFC2-F188-4BFE-9C9E-4D4CA72E670F}" srcOrd="0" destOrd="0" presId="urn:microsoft.com/office/officeart/2005/8/layout/orgChart1"/>
    <dgm:cxn modelId="{215D3DB5-55B4-455B-B3F1-732A0F8D699A}" type="presParOf" srcId="{3AA2D5A4-6D7D-4A3F-B157-5773AD3E8B86}" destId="{6A691DD9-2801-45B5-9E37-BEF856B93447}" srcOrd="1" destOrd="0" presId="urn:microsoft.com/office/officeart/2005/8/layout/orgChart1"/>
    <dgm:cxn modelId="{7231D68A-2B83-4D95-B7C1-1A426B868019}" type="presParOf" srcId="{6A572C49-881A-4ED4-8FB6-A933C9B48317}" destId="{F0A1E5E6-5609-4D80-B6C7-A8F16C478FB7}" srcOrd="1" destOrd="0" presId="urn:microsoft.com/office/officeart/2005/8/layout/orgChart1"/>
    <dgm:cxn modelId="{C570F9D5-8BEF-4705-A16A-614A5CB60D5E}" type="presParOf" srcId="{F0A1E5E6-5609-4D80-B6C7-A8F16C478FB7}" destId="{A746AE96-6E98-4104-9082-B7EAEE45EE0D}" srcOrd="0" destOrd="0" presId="urn:microsoft.com/office/officeart/2005/8/layout/orgChart1"/>
    <dgm:cxn modelId="{68620D1F-BBB1-4BD4-A4D8-B17212DB7D03}" type="presParOf" srcId="{F0A1E5E6-5609-4D80-B6C7-A8F16C478FB7}" destId="{77F662FB-AADF-485F-A8EF-EDEDC462F55B}" srcOrd="1" destOrd="0" presId="urn:microsoft.com/office/officeart/2005/8/layout/orgChart1"/>
    <dgm:cxn modelId="{71EB3BFB-61E4-4FE9-A82A-374B3CF8EADD}" type="presParOf" srcId="{77F662FB-AADF-485F-A8EF-EDEDC462F55B}" destId="{D5212000-3645-461C-B96E-7AEABC998D0C}" srcOrd="0" destOrd="0" presId="urn:microsoft.com/office/officeart/2005/8/layout/orgChart1"/>
    <dgm:cxn modelId="{5F09FBB2-7D1E-47E5-964C-4A37830FBBA4}" type="presParOf" srcId="{D5212000-3645-461C-B96E-7AEABC998D0C}" destId="{7ABFFCC2-6BF7-458B-99F6-F9709A72616B}" srcOrd="0" destOrd="0" presId="urn:microsoft.com/office/officeart/2005/8/layout/orgChart1"/>
    <dgm:cxn modelId="{75380ABD-34D6-479F-8CFE-36F20F4F46DE}" type="presParOf" srcId="{D5212000-3645-461C-B96E-7AEABC998D0C}" destId="{2895AA30-B5D2-4761-9015-2BA01A1AA0D1}" srcOrd="1" destOrd="0" presId="urn:microsoft.com/office/officeart/2005/8/layout/orgChart1"/>
    <dgm:cxn modelId="{DC3B9EB3-0910-4AC2-8ADE-CF4F9510D9BF}" type="presParOf" srcId="{77F662FB-AADF-485F-A8EF-EDEDC462F55B}" destId="{02FC1AAC-3416-4D3D-BB9A-AE27660D7C4A}" srcOrd="1" destOrd="0" presId="urn:microsoft.com/office/officeart/2005/8/layout/orgChart1"/>
    <dgm:cxn modelId="{D6412050-0FA2-49EA-AFF3-F17AA7B58DA4}" type="presParOf" srcId="{77F662FB-AADF-485F-A8EF-EDEDC462F55B}" destId="{C6DF9A68-3064-421A-9195-C89D5D37A8E4}" srcOrd="2" destOrd="0" presId="urn:microsoft.com/office/officeart/2005/8/layout/orgChart1"/>
    <dgm:cxn modelId="{D20090B3-9C58-4FA7-85E6-5721CA9D2488}" type="presParOf" srcId="{F0A1E5E6-5609-4D80-B6C7-A8F16C478FB7}" destId="{5204631E-74EB-40E8-A900-343E0649A8B2}" srcOrd="2" destOrd="0" presId="urn:microsoft.com/office/officeart/2005/8/layout/orgChart1"/>
    <dgm:cxn modelId="{D8A9FDCD-6151-4BBE-8D33-83EFF7937F5D}" type="presParOf" srcId="{F0A1E5E6-5609-4D80-B6C7-A8F16C478FB7}" destId="{B7328F7B-6ECD-4ABF-8304-3754F18C7233}" srcOrd="3" destOrd="0" presId="urn:microsoft.com/office/officeart/2005/8/layout/orgChart1"/>
    <dgm:cxn modelId="{57D4DF9F-729A-414D-BD15-C267FFE2C52E}" type="presParOf" srcId="{B7328F7B-6ECD-4ABF-8304-3754F18C7233}" destId="{187EF40A-C644-4282-8B27-179B4E347095}" srcOrd="0" destOrd="0" presId="urn:microsoft.com/office/officeart/2005/8/layout/orgChart1"/>
    <dgm:cxn modelId="{D69297F8-16F7-4166-B14A-7DA8C0BCEC87}" type="presParOf" srcId="{187EF40A-C644-4282-8B27-179B4E347095}" destId="{1B8FD9C0-D24A-44AB-AD2E-8AAA492BAA32}" srcOrd="0" destOrd="0" presId="urn:microsoft.com/office/officeart/2005/8/layout/orgChart1"/>
    <dgm:cxn modelId="{88E75AE3-9372-47E2-983E-A4839E2842B9}" type="presParOf" srcId="{187EF40A-C644-4282-8B27-179B4E347095}" destId="{99159C85-1D58-4C87-849B-395E800C3809}" srcOrd="1" destOrd="0" presId="urn:microsoft.com/office/officeart/2005/8/layout/orgChart1"/>
    <dgm:cxn modelId="{48EFEBFB-6A00-41F7-B51F-0A5380C7D98E}" type="presParOf" srcId="{B7328F7B-6ECD-4ABF-8304-3754F18C7233}" destId="{DB81C859-6EAD-4BAA-82E7-D7F7A2577C41}" srcOrd="1" destOrd="0" presId="urn:microsoft.com/office/officeart/2005/8/layout/orgChart1"/>
    <dgm:cxn modelId="{9B716519-C400-479D-B675-6FE4C965D21F}" type="presParOf" srcId="{B7328F7B-6ECD-4ABF-8304-3754F18C7233}" destId="{065F31F9-E2B5-4852-B16E-A07A0FD0AE98}" srcOrd="2" destOrd="0" presId="urn:microsoft.com/office/officeart/2005/8/layout/orgChart1"/>
    <dgm:cxn modelId="{8F8E2C08-98BB-45F2-9A02-16B83A9F74D8}" type="presParOf" srcId="{F0A1E5E6-5609-4D80-B6C7-A8F16C478FB7}" destId="{5074BED5-7F8D-4722-8C22-FCAF11748259}" srcOrd="4" destOrd="0" presId="urn:microsoft.com/office/officeart/2005/8/layout/orgChart1"/>
    <dgm:cxn modelId="{6B3BA07F-00B3-4962-850D-6915D1D36FFF}" type="presParOf" srcId="{F0A1E5E6-5609-4D80-B6C7-A8F16C478FB7}" destId="{F5E5FD7E-8469-4761-B823-B187F70113DC}" srcOrd="5" destOrd="0" presId="urn:microsoft.com/office/officeart/2005/8/layout/orgChart1"/>
    <dgm:cxn modelId="{799EEBB2-A71C-4C5B-A8E3-FD2DCED53A6B}" type="presParOf" srcId="{F5E5FD7E-8469-4761-B823-B187F70113DC}" destId="{8C58DA5E-278D-40BA-8AAE-BA1E40F793A2}" srcOrd="0" destOrd="0" presId="urn:microsoft.com/office/officeart/2005/8/layout/orgChart1"/>
    <dgm:cxn modelId="{84E845B4-DD3C-421D-898E-8EEDE3FD9F2D}" type="presParOf" srcId="{8C58DA5E-278D-40BA-8AAE-BA1E40F793A2}" destId="{9229AD25-3DCD-4AFF-AAAC-FC0ADB8C2EB6}" srcOrd="0" destOrd="0" presId="urn:microsoft.com/office/officeart/2005/8/layout/orgChart1"/>
    <dgm:cxn modelId="{147F9112-999F-45ED-808B-35E92BBD934D}" type="presParOf" srcId="{8C58DA5E-278D-40BA-8AAE-BA1E40F793A2}" destId="{4D526FDE-5182-4828-970F-1320AD803384}" srcOrd="1" destOrd="0" presId="urn:microsoft.com/office/officeart/2005/8/layout/orgChart1"/>
    <dgm:cxn modelId="{4C955F62-2428-418D-8576-ACB1E52E158B}" type="presParOf" srcId="{F5E5FD7E-8469-4761-B823-B187F70113DC}" destId="{1617BDCC-C65E-4674-BFBD-5F68C8FC0415}" srcOrd="1" destOrd="0" presId="urn:microsoft.com/office/officeart/2005/8/layout/orgChart1"/>
    <dgm:cxn modelId="{10E01A6B-6492-4B7C-A517-C79DA5291418}" type="presParOf" srcId="{F5E5FD7E-8469-4761-B823-B187F70113DC}" destId="{4298C4FA-300B-4CE5-8F84-382D9AAF2FC0}" srcOrd="2" destOrd="0" presId="urn:microsoft.com/office/officeart/2005/8/layout/orgChart1"/>
    <dgm:cxn modelId="{8FC3912E-DE58-4185-B41F-D7A434296A8B}" type="presParOf" srcId="{F0A1E5E6-5609-4D80-B6C7-A8F16C478FB7}" destId="{4B3E5FFA-091C-4112-8497-AB0D174270C1}" srcOrd="6" destOrd="0" presId="urn:microsoft.com/office/officeart/2005/8/layout/orgChart1"/>
    <dgm:cxn modelId="{E5283856-1560-4391-88FE-44FD0CE0E270}" type="presParOf" srcId="{F0A1E5E6-5609-4D80-B6C7-A8F16C478FB7}" destId="{7D8A3C03-92BB-418D-B8DE-30B003C4700C}" srcOrd="7" destOrd="0" presId="urn:microsoft.com/office/officeart/2005/8/layout/orgChart1"/>
    <dgm:cxn modelId="{74440A11-1EE7-44A6-AF35-E4EC763EE707}" type="presParOf" srcId="{7D8A3C03-92BB-418D-B8DE-30B003C4700C}" destId="{18A51363-A1C1-4589-8E89-3FD72BDD974A}" srcOrd="0" destOrd="0" presId="urn:microsoft.com/office/officeart/2005/8/layout/orgChart1"/>
    <dgm:cxn modelId="{C998BCBE-38EF-40F3-82B1-BF50C1380C4F}" type="presParOf" srcId="{18A51363-A1C1-4589-8E89-3FD72BDD974A}" destId="{85D85A1D-CA75-4725-B5D2-F2054AE4E7F1}" srcOrd="0" destOrd="0" presId="urn:microsoft.com/office/officeart/2005/8/layout/orgChart1"/>
    <dgm:cxn modelId="{0C0B2EFB-5BBE-4403-95F8-11735916FB95}" type="presParOf" srcId="{18A51363-A1C1-4589-8E89-3FD72BDD974A}" destId="{1848395B-F1C4-44D6-A5DE-13DBEB8396D0}" srcOrd="1" destOrd="0" presId="urn:microsoft.com/office/officeart/2005/8/layout/orgChart1"/>
    <dgm:cxn modelId="{A2FE84E4-0684-45F1-8688-69D6F450D6B1}" type="presParOf" srcId="{7D8A3C03-92BB-418D-B8DE-30B003C4700C}" destId="{8DB60611-1719-4D08-9214-0A7C6FF7D01B}" srcOrd="1" destOrd="0" presId="urn:microsoft.com/office/officeart/2005/8/layout/orgChart1"/>
    <dgm:cxn modelId="{B0EC8986-6D2A-49F0-9153-BB67C23C2804}" type="presParOf" srcId="{7D8A3C03-92BB-418D-B8DE-30B003C4700C}" destId="{8C3AFFDF-EDF2-41EC-8276-FE403D5984AD}" srcOrd="2" destOrd="0" presId="urn:microsoft.com/office/officeart/2005/8/layout/orgChart1"/>
    <dgm:cxn modelId="{257FEF6F-71FD-49F6-B3C5-E6D40E6D353E}" type="presParOf" srcId="{F0A1E5E6-5609-4D80-B6C7-A8F16C478FB7}" destId="{24DE52B5-08FF-42A1-B0B6-64D2A6D8B77F}" srcOrd="8" destOrd="0" presId="urn:microsoft.com/office/officeart/2005/8/layout/orgChart1"/>
    <dgm:cxn modelId="{CA81AE25-DCC4-484C-B4C8-60CE184F1246}" type="presParOf" srcId="{F0A1E5E6-5609-4D80-B6C7-A8F16C478FB7}" destId="{E26EF428-DB88-418C-AAC6-3345127A7F55}" srcOrd="9" destOrd="0" presId="urn:microsoft.com/office/officeart/2005/8/layout/orgChart1"/>
    <dgm:cxn modelId="{F33F5448-A5C4-4BB5-8EBA-7F217AAECC7B}" type="presParOf" srcId="{E26EF428-DB88-418C-AAC6-3345127A7F55}" destId="{59A0A982-0106-44CE-8116-66358951EF1C}" srcOrd="0" destOrd="0" presId="urn:microsoft.com/office/officeart/2005/8/layout/orgChart1"/>
    <dgm:cxn modelId="{EF396689-E221-4499-B860-914E7AF4711B}" type="presParOf" srcId="{59A0A982-0106-44CE-8116-66358951EF1C}" destId="{81816765-FEF0-474E-B50B-DE7FEA99B3E4}" srcOrd="0" destOrd="0" presId="urn:microsoft.com/office/officeart/2005/8/layout/orgChart1"/>
    <dgm:cxn modelId="{C8A25D22-2266-4186-A46D-BA58180F7483}" type="presParOf" srcId="{59A0A982-0106-44CE-8116-66358951EF1C}" destId="{E9197DA7-443C-42E1-96E4-D029344C00AC}" srcOrd="1" destOrd="0" presId="urn:microsoft.com/office/officeart/2005/8/layout/orgChart1"/>
    <dgm:cxn modelId="{8C9D9E99-C3FD-46E1-846A-F8B8847895C0}" type="presParOf" srcId="{E26EF428-DB88-418C-AAC6-3345127A7F55}" destId="{895CB422-B8F9-448C-B935-3A66BDCC9AAA}" srcOrd="1" destOrd="0" presId="urn:microsoft.com/office/officeart/2005/8/layout/orgChart1"/>
    <dgm:cxn modelId="{B00A8DE4-21B1-4CE1-9452-C85E313B687D}" type="presParOf" srcId="{E26EF428-DB88-418C-AAC6-3345127A7F55}" destId="{B65B04CA-2118-4B11-AF37-E92DB1AE1D63}" srcOrd="2" destOrd="0" presId="urn:microsoft.com/office/officeart/2005/8/layout/orgChart1"/>
    <dgm:cxn modelId="{519FBAA0-3BC9-4391-A37B-600A781CEF26}" type="presParOf" srcId="{F0A1E5E6-5609-4D80-B6C7-A8F16C478FB7}" destId="{2A77F0C3-C19E-44E8-A8DF-C264B0D9C2A0}" srcOrd="10" destOrd="0" presId="urn:microsoft.com/office/officeart/2005/8/layout/orgChart1"/>
    <dgm:cxn modelId="{4B08EB2D-B1F6-4DC8-8784-555C5E9EA784}" type="presParOf" srcId="{F0A1E5E6-5609-4D80-B6C7-A8F16C478FB7}" destId="{E5A5FD55-4499-46D3-84C6-35FA067F8EB0}" srcOrd="11" destOrd="0" presId="urn:microsoft.com/office/officeart/2005/8/layout/orgChart1"/>
    <dgm:cxn modelId="{1C1BF714-AD1D-4EBD-B3D4-79D6EC9D496B}" type="presParOf" srcId="{E5A5FD55-4499-46D3-84C6-35FA067F8EB0}" destId="{B30B4F4C-2EAC-40F8-8BD7-7B944E24408C}" srcOrd="0" destOrd="0" presId="urn:microsoft.com/office/officeart/2005/8/layout/orgChart1"/>
    <dgm:cxn modelId="{3AC39D46-8AC5-4528-97E1-90541EA3FF43}" type="presParOf" srcId="{B30B4F4C-2EAC-40F8-8BD7-7B944E24408C}" destId="{DE422567-7DEF-4AFE-AC19-972DDD6A252E}" srcOrd="0" destOrd="0" presId="urn:microsoft.com/office/officeart/2005/8/layout/orgChart1"/>
    <dgm:cxn modelId="{1C6A559C-C04A-4B7A-B282-EE927F387A21}" type="presParOf" srcId="{B30B4F4C-2EAC-40F8-8BD7-7B944E24408C}" destId="{60BD4F75-FB79-49E8-B7F0-687FDDC28EA8}" srcOrd="1" destOrd="0" presId="urn:microsoft.com/office/officeart/2005/8/layout/orgChart1"/>
    <dgm:cxn modelId="{C8D65F67-850B-4ABB-8C32-8A4935282D22}" type="presParOf" srcId="{E5A5FD55-4499-46D3-84C6-35FA067F8EB0}" destId="{64A01F4E-09D3-4979-8710-696C5B5C1D1C}" srcOrd="1" destOrd="0" presId="urn:microsoft.com/office/officeart/2005/8/layout/orgChart1"/>
    <dgm:cxn modelId="{9A45FC46-4650-456B-A454-5B73B5F82F16}" type="presParOf" srcId="{E5A5FD55-4499-46D3-84C6-35FA067F8EB0}" destId="{058FC968-E2F8-4A6D-9106-DA43A437FBF7}" srcOrd="2" destOrd="0" presId="urn:microsoft.com/office/officeart/2005/8/layout/orgChart1"/>
    <dgm:cxn modelId="{5178F3FD-F1BB-4B02-A2D3-666933C078C1}" type="presParOf" srcId="{F0A1E5E6-5609-4D80-B6C7-A8F16C478FB7}" destId="{8F8705B7-7D19-4332-A3B2-B86BF850401A}" srcOrd="12" destOrd="0" presId="urn:microsoft.com/office/officeart/2005/8/layout/orgChart1"/>
    <dgm:cxn modelId="{6659281D-15F6-41FF-A32C-7118A7BB0407}" type="presParOf" srcId="{F0A1E5E6-5609-4D80-B6C7-A8F16C478FB7}" destId="{15060B4D-85B6-4EF7-95BE-26D56592C825}" srcOrd="13" destOrd="0" presId="urn:microsoft.com/office/officeart/2005/8/layout/orgChart1"/>
    <dgm:cxn modelId="{DF4FB96F-6C9E-4A61-A6C1-8F85799EA429}" type="presParOf" srcId="{15060B4D-85B6-4EF7-95BE-26D56592C825}" destId="{3B456822-06DD-42E0-9CEA-6ED84BF3C3BE}" srcOrd="0" destOrd="0" presId="urn:microsoft.com/office/officeart/2005/8/layout/orgChart1"/>
    <dgm:cxn modelId="{BD747803-4E2B-4FEF-8317-796064FD02D0}" type="presParOf" srcId="{3B456822-06DD-42E0-9CEA-6ED84BF3C3BE}" destId="{347F4702-19A9-40DB-AEA5-BDB4E88B0A23}" srcOrd="0" destOrd="0" presId="urn:microsoft.com/office/officeart/2005/8/layout/orgChart1"/>
    <dgm:cxn modelId="{F1072FD3-BF1B-4386-B800-57B9C6E61D61}" type="presParOf" srcId="{3B456822-06DD-42E0-9CEA-6ED84BF3C3BE}" destId="{270C1831-95CA-44BB-B007-AE5387A850BD}" srcOrd="1" destOrd="0" presId="urn:microsoft.com/office/officeart/2005/8/layout/orgChart1"/>
    <dgm:cxn modelId="{64D2B5C9-1524-4700-8B8C-FE7805B3A855}" type="presParOf" srcId="{15060B4D-85B6-4EF7-95BE-26D56592C825}" destId="{12BD1150-24D9-4C6B-8683-5389AED7A20C}" srcOrd="1" destOrd="0" presId="urn:microsoft.com/office/officeart/2005/8/layout/orgChart1"/>
    <dgm:cxn modelId="{00118963-4A8F-4AC2-BF9E-2713E6AFC6D8}" type="presParOf" srcId="{15060B4D-85B6-4EF7-95BE-26D56592C825}" destId="{67247ED6-8D66-49B9-9238-1BA3076BBE8B}" srcOrd="2" destOrd="0" presId="urn:microsoft.com/office/officeart/2005/8/layout/orgChart1"/>
    <dgm:cxn modelId="{9AB0C01A-6736-4457-BCD4-250927B66AB9}" type="presParOf" srcId="{6A572C49-881A-4ED4-8FB6-A933C9B48317}" destId="{63A957EA-4B29-4CA3-BE22-78BD3C4165C4}" srcOrd="2" destOrd="0" presId="urn:microsoft.com/office/officeart/2005/8/layout/orgChart1"/>
  </dgm:cxnLst>
  <dgm:bg/>
  <dgm:whole>
    <a:ln w="12700"/>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8705B7-7D19-4332-A3B2-B86BF850401A}">
      <dsp:nvSpPr>
        <dsp:cNvPr id="0" name=""/>
        <dsp:cNvSpPr/>
      </dsp:nvSpPr>
      <dsp:spPr>
        <a:xfrm>
          <a:off x="3060382" y="1074717"/>
          <a:ext cx="2647772" cy="395084"/>
        </a:xfrm>
        <a:custGeom>
          <a:avLst/>
          <a:gdLst/>
          <a:ahLst/>
          <a:cxnLst/>
          <a:rect l="0" t="0" r="0" b="0"/>
          <a:pathLst>
            <a:path>
              <a:moveTo>
                <a:pt x="0" y="0"/>
              </a:moveTo>
              <a:lnTo>
                <a:pt x="0" y="362428"/>
              </a:lnTo>
              <a:lnTo>
                <a:pt x="2647772" y="362428"/>
              </a:lnTo>
              <a:lnTo>
                <a:pt x="2647772"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2A77F0C3-C19E-44E8-A8DF-C264B0D9C2A0}">
      <dsp:nvSpPr>
        <dsp:cNvPr id="0" name=""/>
        <dsp:cNvSpPr/>
      </dsp:nvSpPr>
      <dsp:spPr>
        <a:xfrm>
          <a:off x="3060382" y="1074717"/>
          <a:ext cx="1765181" cy="395084"/>
        </a:xfrm>
        <a:custGeom>
          <a:avLst/>
          <a:gdLst/>
          <a:ahLst/>
          <a:cxnLst/>
          <a:rect l="0" t="0" r="0" b="0"/>
          <a:pathLst>
            <a:path>
              <a:moveTo>
                <a:pt x="0" y="0"/>
              </a:moveTo>
              <a:lnTo>
                <a:pt x="0" y="362428"/>
              </a:lnTo>
              <a:lnTo>
                <a:pt x="1765181" y="362428"/>
              </a:lnTo>
              <a:lnTo>
                <a:pt x="1765181"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24DE52B5-08FF-42A1-B0B6-64D2A6D8B77F}">
      <dsp:nvSpPr>
        <dsp:cNvPr id="0" name=""/>
        <dsp:cNvSpPr/>
      </dsp:nvSpPr>
      <dsp:spPr>
        <a:xfrm>
          <a:off x="3060382" y="1074717"/>
          <a:ext cx="882590" cy="395084"/>
        </a:xfrm>
        <a:custGeom>
          <a:avLst/>
          <a:gdLst/>
          <a:ahLst/>
          <a:cxnLst/>
          <a:rect l="0" t="0" r="0" b="0"/>
          <a:pathLst>
            <a:path>
              <a:moveTo>
                <a:pt x="0" y="0"/>
              </a:moveTo>
              <a:lnTo>
                <a:pt x="0" y="362428"/>
              </a:lnTo>
              <a:lnTo>
                <a:pt x="882590" y="362428"/>
              </a:lnTo>
              <a:lnTo>
                <a:pt x="882590" y="3950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3E5FFA-091C-4112-8497-AB0D174270C1}">
      <dsp:nvSpPr>
        <dsp:cNvPr id="0" name=""/>
        <dsp:cNvSpPr/>
      </dsp:nvSpPr>
      <dsp:spPr>
        <a:xfrm>
          <a:off x="3014662" y="1074717"/>
          <a:ext cx="91440" cy="395084"/>
        </a:xfrm>
        <a:custGeom>
          <a:avLst/>
          <a:gdLst/>
          <a:ahLst/>
          <a:cxnLst/>
          <a:rect l="0" t="0" r="0" b="0"/>
          <a:pathLst>
            <a:path>
              <a:moveTo>
                <a:pt x="45720" y="0"/>
              </a:moveTo>
              <a:lnTo>
                <a:pt x="45720" y="362428"/>
              </a:lnTo>
              <a:lnTo>
                <a:pt x="46351" y="362428"/>
              </a:lnTo>
              <a:lnTo>
                <a:pt x="46351"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5074BED5-7F8D-4722-8C22-FCAF11748259}">
      <dsp:nvSpPr>
        <dsp:cNvPr id="0" name=""/>
        <dsp:cNvSpPr/>
      </dsp:nvSpPr>
      <dsp:spPr>
        <a:xfrm>
          <a:off x="2177791" y="1074717"/>
          <a:ext cx="882590" cy="395084"/>
        </a:xfrm>
        <a:custGeom>
          <a:avLst/>
          <a:gdLst/>
          <a:ahLst/>
          <a:cxnLst/>
          <a:rect l="0" t="0" r="0" b="0"/>
          <a:pathLst>
            <a:path>
              <a:moveTo>
                <a:pt x="882590" y="0"/>
              </a:moveTo>
              <a:lnTo>
                <a:pt x="882590" y="362428"/>
              </a:lnTo>
              <a:lnTo>
                <a:pt x="0" y="362428"/>
              </a:lnTo>
              <a:lnTo>
                <a:pt x="0"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5204631E-74EB-40E8-A900-343E0649A8B2}">
      <dsp:nvSpPr>
        <dsp:cNvPr id="0" name=""/>
        <dsp:cNvSpPr/>
      </dsp:nvSpPr>
      <dsp:spPr>
        <a:xfrm>
          <a:off x="1295200" y="1074717"/>
          <a:ext cx="1765181" cy="395084"/>
        </a:xfrm>
        <a:custGeom>
          <a:avLst/>
          <a:gdLst/>
          <a:ahLst/>
          <a:cxnLst/>
          <a:rect l="0" t="0" r="0" b="0"/>
          <a:pathLst>
            <a:path>
              <a:moveTo>
                <a:pt x="1765181" y="0"/>
              </a:moveTo>
              <a:lnTo>
                <a:pt x="1765181" y="362428"/>
              </a:lnTo>
              <a:lnTo>
                <a:pt x="0" y="362428"/>
              </a:lnTo>
              <a:lnTo>
                <a:pt x="0"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A746AE96-6E98-4104-9082-B7EAEE45EE0D}">
      <dsp:nvSpPr>
        <dsp:cNvPr id="0" name=""/>
        <dsp:cNvSpPr/>
      </dsp:nvSpPr>
      <dsp:spPr>
        <a:xfrm>
          <a:off x="412609" y="1074717"/>
          <a:ext cx="2647772" cy="395084"/>
        </a:xfrm>
        <a:custGeom>
          <a:avLst/>
          <a:gdLst/>
          <a:ahLst/>
          <a:cxnLst/>
          <a:rect l="0" t="0" r="0" b="0"/>
          <a:pathLst>
            <a:path>
              <a:moveTo>
                <a:pt x="2647772" y="0"/>
              </a:moveTo>
              <a:lnTo>
                <a:pt x="2647772" y="362428"/>
              </a:lnTo>
              <a:lnTo>
                <a:pt x="0" y="362428"/>
              </a:lnTo>
              <a:lnTo>
                <a:pt x="0"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91ABCFC2-F188-4BFE-9C9E-4D4CA72E670F}">
      <dsp:nvSpPr>
        <dsp:cNvPr id="0" name=""/>
        <dsp:cNvSpPr/>
      </dsp:nvSpPr>
      <dsp:spPr>
        <a:xfrm>
          <a:off x="2243247" y="657709"/>
          <a:ext cx="1634269" cy="417007"/>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chemeClr val="tx1"/>
              </a:solidFill>
              <a:latin typeface="Calibri "/>
            </a:rPr>
            <a:t>PR. HARTMUT EHRLICH</a:t>
          </a:r>
        </a:p>
        <a:p>
          <a:pPr marL="0" lvl="0" indent="0" algn="ctr" defTabSz="400050">
            <a:lnSpc>
              <a:spcPct val="90000"/>
            </a:lnSpc>
            <a:spcBef>
              <a:spcPct val="0"/>
            </a:spcBef>
            <a:spcAft>
              <a:spcPct val="35000"/>
            </a:spcAft>
            <a:buNone/>
          </a:pPr>
          <a:r>
            <a:rPr lang="fr-FR" sz="900" kern="1200" dirty="0">
              <a:solidFill>
                <a:schemeClr val="tx1"/>
              </a:solidFill>
              <a:latin typeface="Calibri "/>
            </a:rPr>
            <a:t>Directeur Général</a:t>
          </a:r>
          <a:endParaRPr lang="fr-FR" sz="900" kern="1200" dirty="0"/>
        </a:p>
      </dsp:txBody>
      <dsp:txXfrm>
        <a:off x="2243247" y="657709"/>
        <a:ext cx="1634269" cy="417007"/>
      </dsp:txXfrm>
    </dsp:sp>
    <dsp:sp modelId="{7ABFFCC2-6BF7-458B-99F6-F9709A72616B}">
      <dsp:nvSpPr>
        <dsp:cNvPr id="0" name=""/>
        <dsp:cNvSpPr/>
      </dsp:nvSpPr>
      <dsp:spPr>
        <a:xfrm>
          <a:off x="3970"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DIDIER BLONDEL</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Administratif &amp; Financier et </a:t>
          </a:r>
        </a:p>
        <a:p>
          <a:pPr marL="0" lvl="0" indent="0" algn="ctr" defTabSz="400050">
            <a:lnSpc>
              <a:spcPct val="90000"/>
            </a:lnSpc>
            <a:spcBef>
              <a:spcPct val="0"/>
            </a:spcBef>
            <a:spcAft>
              <a:spcPct val="35000"/>
            </a:spcAft>
            <a:buNone/>
          </a:pPr>
          <a:r>
            <a:rPr lang="fr-FR" sz="900" kern="1200" dirty="0">
              <a:solidFill>
                <a:schemeClr val="tx1"/>
              </a:solidFill>
              <a:latin typeface="Calibri "/>
            </a:rPr>
            <a:t>Secrétaire du Conseil d'Administration</a:t>
          </a:r>
          <a:endParaRPr lang="fr-FR" sz="900" b="1" kern="1200" dirty="0">
            <a:solidFill>
              <a:schemeClr val="tx1"/>
            </a:solidFill>
            <a:latin typeface="Calibri "/>
          </a:endParaRPr>
        </a:p>
      </dsp:txBody>
      <dsp:txXfrm>
        <a:off x="3970" y="1469801"/>
        <a:ext cx="817279" cy="1251020"/>
      </dsp:txXfrm>
    </dsp:sp>
    <dsp:sp modelId="{1B8FD9C0-D24A-44AB-AD2E-8AAA492BAA32}">
      <dsp:nvSpPr>
        <dsp:cNvPr id="0" name=""/>
        <dsp:cNvSpPr/>
      </dsp:nvSpPr>
      <dsp:spPr>
        <a:xfrm>
          <a:off x="886560"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PIERRE COURTEILLE</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Commercial et du Business </a:t>
          </a:r>
          <a:r>
            <a:rPr lang="fr-FR" sz="900" kern="1200" dirty="0" err="1">
              <a:solidFill>
                <a:schemeClr val="tx1"/>
              </a:solidFill>
              <a:latin typeface="Calibri "/>
            </a:rPr>
            <a:t>Development</a:t>
          </a:r>
          <a:r>
            <a:rPr lang="fr-FR" sz="900" kern="1200" dirty="0">
              <a:solidFill>
                <a:schemeClr val="tx1"/>
              </a:solidFill>
              <a:latin typeface="Calibri "/>
            </a:rPr>
            <a:t> </a:t>
          </a:r>
          <a:endParaRPr lang="fr-FR" sz="900" b="1" kern="1200" dirty="0">
            <a:solidFill>
              <a:schemeClr val="tx1"/>
            </a:solidFill>
            <a:latin typeface="Calibri "/>
          </a:endParaRPr>
        </a:p>
      </dsp:txBody>
      <dsp:txXfrm>
        <a:off x="886560" y="1469801"/>
        <a:ext cx="817279" cy="1251020"/>
      </dsp:txXfrm>
    </dsp:sp>
    <dsp:sp modelId="{9229AD25-3DCD-4AFF-AAAC-FC0ADB8C2EB6}">
      <dsp:nvSpPr>
        <dsp:cNvPr id="0" name=""/>
        <dsp:cNvSpPr/>
      </dsp:nvSpPr>
      <dsp:spPr>
        <a:xfrm>
          <a:off x="1769151"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JEAN-MARC STEENS</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a:t>
          </a:r>
        </a:p>
        <a:p>
          <a:pPr marL="0" lvl="0" indent="0" algn="ctr" defTabSz="400050">
            <a:lnSpc>
              <a:spcPct val="90000"/>
            </a:lnSpc>
            <a:spcBef>
              <a:spcPct val="0"/>
            </a:spcBef>
            <a:spcAft>
              <a:spcPct val="35000"/>
            </a:spcAft>
            <a:buNone/>
          </a:pPr>
          <a:r>
            <a:rPr lang="fr-FR" sz="900" kern="1200" dirty="0">
              <a:solidFill>
                <a:schemeClr val="tx1"/>
              </a:solidFill>
              <a:latin typeface="Calibri "/>
            </a:rPr>
            <a:t>Médical</a:t>
          </a:r>
          <a:endParaRPr lang="fr-FR" sz="900" b="1" kern="1200" dirty="0">
            <a:solidFill>
              <a:sysClr val="windowText" lastClr="000000"/>
            </a:solidFill>
            <a:latin typeface="Calibri "/>
          </a:endParaRPr>
        </a:p>
      </dsp:txBody>
      <dsp:txXfrm>
        <a:off x="1769151" y="1469801"/>
        <a:ext cx="817279" cy="1251020"/>
      </dsp:txXfrm>
    </dsp:sp>
    <dsp:sp modelId="{85D85A1D-CA75-4725-B5D2-F2054AE4E7F1}">
      <dsp:nvSpPr>
        <dsp:cNvPr id="0" name=""/>
        <dsp:cNvSpPr/>
      </dsp:nvSpPr>
      <dsp:spPr>
        <a:xfrm>
          <a:off x="2652374"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ysClr val="windowText" lastClr="000000"/>
              </a:solidFill>
              <a:latin typeface="Calibri "/>
            </a:rPr>
            <a:t>PAUL GINESTE</a:t>
          </a:r>
        </a:p>
        <a:p>
          <a:pPr marL="0" lvl="0" indent="0" algn="ctr" defTabSz="400050">
            <a:lnSpc>
              <a:spcPct val="90000"/>
            </a:lnSpc>
            <a:spcBef>
              <a:spcPct val="0"/>
            </a:spcBef>
            <a:spcAft>
              <a:spcPts val="0"/>
            </a:spcAft>
            <a:buNone/>
          </a:pPr>
          <a:r>
            <a:rPr lang="fr-FR" sz="900" kern="1200" dirty="0" err="1">
              <a:solidFill>
                <a:schemeClr val="tx1"/>
              </a:solidFill>
              <a:latin typeface="Calibri "/>
            </a:rPr>
            <a:t>V.P. Opérations Cliniques</a:t>
          </a:r>
        </a:p>
        <a:p>
          <a:pPr marL="0" lvl="0" indent="0" algn="ctr" defTabSz="400050">
            <a:lnSpc>
              <a:spcPct val="90000"/>
            </a:lnSpc>
            <a:spcBef>
              <a:spcPct val="0"/>
            </a:spcBef>
            <a:spcAft>
              <a:spcPts val="0"/>
            </a:spcAft>
            <a:buNone/>
          </a:pPr>
          <a:r>
            <a:rPr lang="fr-FR" sz="900" kern="1200" dirty="0">
              <a:solidFill>
                <a:schemeClr val="tx1"/>
              </a:solidFill>
              <a:latin typeface="Calibri "/>
            </a:rPr>
            <a:t> </a:t>
          </a:r>
          <a:endParaRPr lang="en-US" sz="600" kern="1200" dirty="0">
            <a:solidFill>
              <a:sysClr val="windowText" lastClr="000000"/>
            </a:solidFill>
          </a:endParaRPr>
        </a:p>
        <a:p>
          <a:pPr marL="0" lvl="0" indent="0" algn="ctr" defTabSz="400050">
            <a:lnSpc>
              <a:spcPct val="90000"/>
            </a:lnSpc>
            <a:spcBef>
              <a:spcPct val="0"/>
            </a:spcBef>
            <a:spcAft>
              <a:spcPct val="35000"/>
            </a:spcAft>
            <a:buNone/>
          </a:pPr>
          <a:endParaRPr lang="en-US" sz="600" kern="1200" dirty="0">
            <a:solidFill>
              <a:sysClr val="windowText" lastClr="000000"/>
            </a:solidFill>
          </a:endParaRPr>
        </a:p>
      </dsp:txBody>
      <dsp:txXfrm>
        <a:off x="2652374" y="1469801"/>
        <a:ext cx="817279" cy="1251020"/>
      </dsp:txXfrm>
    </dsp:sp>
    <dsp:sp modelId="{81816765-FEF0-474E-B50B-DE7FEA99B3E4}">
      <dsp:nvSpPr>
        <dsp:cNvPr id="0" name=""/>
        <dsp:cNvSpPr/>
      </dsp:nvSpPr>
      <dsp:spPr>
        <a:xfrm>
          <a:off x="3534333"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BERNARD FANGET</a:t>
          </a:r>
        </a:p>
        <a:p>
          <a:pPr marL="0" lvl="0" indent="0" algn="ctr" defTabSz="400050">
            <a:lnSpc>
              <a:spcPct val="90000"/>
            </a:lnSpc>
            <a:spcBef>
              <a:spcPct val="0"/>
            </a:spcBef>
            <a:spcAft>
              <a:spcPct val="35000"/>
            </a:spcAft>
            <a:buNone/>
          </a:pPr>
          <a:r>
            <a:rPr lang="fr-FR" sz="900" b="0" kern="1200" dirty="0">
              <a:solidFill>
                <a:schemeClr val="tx1"/>
              </a:solidFill>
              <a:latin typeface="Calibri "/>
            </a:rPr>
            <a:t>V.P. Affaires réglementaires</a:t>
          </a:r>
        </a:p>
      </dsp:txBody>
      <dsp:txXfrm>
        <a:off x="3534333" y="1469801"/>
        <a:ext cx="817279" cy="1251020"/>
      </dsp:txXfrm>
    </dsp:sp>
    <dsp:sp modelId="{DE422567-7DEF-4AFE-AC19-972DDD6A252E}">
      <dsp:nvSpPr>
        <dsp:cNvPr id="0" name=""/>
        <dsp:cNvSpPr/>
      </dsp:nvSpPr>
      <dsp:spPr>
        <a:xfrm>
          <a:off x="4416924"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ysClr val="windowText" lastClr="000000"/>
              </a:solidFill>
              <a:latin typeface="Calibri "/>
            </a:rPr>
            <a:t>JEROME DENIS </a:t>
          </a:r>
        </a:p>
        <a:p>
          <a:pPr marL="0" lvl="0" indent="0" algn="ctr" defTabSz="400050">
            <a:lnSpc>
              <a:spcPct val="90000"/>
            </a:lnSpc>
            <a:spcBef>
              <a:spcPct val="0"/>
            </a:spcBef>
            <a:spcAft>
              <a:spcPct val="35000"/>
            </a:spcAft>
            <a:buNone/>
          </a:pPr>
          <a:r>
            <a:rPr lang="fr-FR" sz="900" kern="1200" dirty="0">
              <a:solidFill>
                <a:sysClr val="windowText" lastClr="000000"/>
              </a:solidFill>
              <a:latin typeface="Calibri "/>
            </a:rPr>
            <a:t>V.P. Directeur de la Production et du Développement des Procédés </a:t>
          </a:r>
          <a:endParaRPr lang="fr-FR" sz="900" b="1" kern="1200" dirty="0">
            <a:solidFill>
              <a:schemeClr val="tx1"/>
            </a:solidFill>
            <a:latin typeface="Calibri "/>
          </a:endParaRPr>
        </a:p>
      </dsp:txBody>
      <dsp:txXfrm>
        <a:off x="4416924" y="1469801"/>
        <a:ext cx="817279" cy="1251020"/>
      </dsp:txXfrm>
    </dsp:sp>
    <dsp:sp modelId="{347F4702-19A9-40DB-AEA5-BDB4E88B0A23}">
      <dsp:nvSpPr>
        <dsp:cNvPr id="0" name=""/>
        <dsp:cNvSpPr/>
      </dsp:nvSpPr>
      <dsp:spPr>
        <a:xfrm>
          <a:off x="5299515"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DIDIER SCHERRER</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de la Recherche</a:t>
          </a:r>
          <a:endParaRPr lang="fr-FR" sz="800" b="1" kern="1200" dirty="0">
            <a:solidFill>
              <a:schemeClr val="tx1"/>
            </a:solidFill>
            <a:latin typeface="Calibri "/>
          </a:endParaRPr>
        </a:p>
      </dsp:txBody>
      <dsp:txXfrm>
        <a:off x="5299515" y="1469801"/>
        <a:ext cx="817279" cy="12510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8705B7-7D19-4332-A3B2-B86BF850401A}">
      <dsp:nvSpPr>
        <dsp:cNvPr id="0" name=""/>
        <dsp:cNvSpPr/>
      </dsp:nvSpPr>
      <dsp:spPr>
        <a:xfrm>
          <a:off x="3060382" y="1074717"/>
          <a:ext cx="2647772" cy="395084"/>
        </a:xfrm>
        <a:custGeom>
          <a:avLst/>
          <a:gdLst/>
          <a:ahLst/>
          <a:cxnLst/>
          <a:rect l="0" t="0" r="0" b="0"/>
          <a:pathLst>
            <a:path>
              <a:moveTo>
                <a:pt x="0" y="0"/>
              </a:moveTo>
              <a:lnTo>
                <a:pt x="0" y="362428"/>
              </a:lnTo>
              <a:lnTo>
                <a:pt x="2647772" y="362428"/>
              </a:lnTo>
              <a:lnTo>
                <a:pt x="2647772"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2A77F0C3-C19E-44E8-A8DF-C264B0D9C2A0}">
      <dsp:nvSpPr>
        <dsp:cNvPr id="0" name=""/>
        <dsp:cNvSpPr/>
      </dsp:nvSpPr>
      <dsp:spPr>
        <a:xfrm>
          <a:off x="3060382" y="1074717"/>
          <a:ext cx="1765181" cy="395084"/>
        </a:xfrm>
        <a:custGeom>
          <a:avLst/>
          <a:gdLst/>
          <a:ahLst/>
          <a:cxnLst/>
          <a:rect l="0" t="0" r="0" b="0"/>
          <a:pathLst>
            <a:path>
              <a:moveTo>
                <a:pt x="0" y="0"/>
              </a:moveTo>
              <a:lnTo>
                <a:pt x="0" y="362428"/>
              </a:lnTo>
              <a:lnTo>
                <a:pt x="1765181" y="362428"/>
              </a:lnTo>
              <a:lnTo>
                <a:pt x="1765181"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24DE52B5-08FF-42A1-B0B6-64D2A6D8B77F}">
      <dsp:nvSpPr>
        <dsp:cNvPr id="0" name=""/>
        <dsp:cNvSpPr/>
      </dsp:nvSpPr>
      <dsp:spPr>
        <a:xfrm>
          <a:off x="3060382" y="1074717"/>
          <a:ext cx="882590" cy="395084"/>
        </a:xfrm>
        <a:custGeom>
          <a:avLst/>
          <a:gdLst/>
          <a:ahLst/>
          <a:cxnLst/>
          <a:rect l="0" t="0" r="0" b="0"/>
          <a:pathLst>
            <a:path>
              <a:moveTo>
                <a:pt x="0" y="0"/>
              </a:moveTo>
              <a:lnTo>
                <a:pt x="0" y="362428"/>
              </a:lnTo>
              <a:lnTo>
                <a:pt x="882590" y="362428"/>
              </a:lnTo>
              <a:lnTo>
                <a:pt x="882590" y="3950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3E5FFA-091C-4112-8497-AB0D174270C1}">
      <dsp:nvSpPr>
        <dsp:cNvPr id="0" name=""/>
        <dsp:cNvSpPr/>
      </dsp:nvSpPr>
      <dsp:spPr>
        <a:xfrm>
          <a:off x="3014662" y="1074717"/>
          <a:ext cx="91440" cy="395084"/>
        </a:xfrm>
        <a:custGeom>
          <a:avLst/>
          <a:gdLst/>
          <a:ahLst/>
          <a:cxnLst/>
          <a:rect l="0" t="0" r="0" b="0"/>
          <a:pathLst>
            <a:path>
              <a:moveTo>
                <a:pt x="45720" y="0"/>
              </a:moveTo>
              <a:lnTo>
                <a:pt x="45720" y="362428"/>
              </a:lnTo>
              <a:lnTo>
                <a:pt x="46351" y="362428"/>
              </a:lnTo>
              <a:lnTo>
                <a:pt x="46351"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5074BED5-7F8D-4722-8C22-FCAF11748259}">
      <dsp:nvSpPr>
        <dsp:cNvPr id="0" name=""/>
        <dsp:cNvSpPr/>
      </dsp:nvSpPr>
      <dsp:spPr>
        <a:xfrm>
          <a:off x="2177791" y="1074717"/>
          <a:ext cx="882590" cy="395084"/>
        </a:xfrm>
        <a:custGeom>
          <a:avLst/>
          <a:gdLst/>
          <a:ahLst/>
          <a:cxnLst/>
          <a:rect l="0" t="0" r="0" b="0"/>
          <a:pathLst>
            <a:path>
              <a:moveTo>
                <a:pt x="882590" y="0"/>
              </a:moveTo>
              <a:lnTo>
                <a:pt x="882590" y="362428"/>
              </a:lnTo>
              <a:lnTo>
                <a:pt x="0" y="362428"/>
              </a:lnTo>
              <a:lnTo>
                <a:pt x="0"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5204631E-74EB-40E8-A900-343E0649A8B2}">
      <dsp:nvSpPr>
        <dsp:cNvPr id="0" name=""/>
        <dsp:cNvSpPr/>
      </dsp:nvSpPr>
      <dsp:spPr>
        <a:xfrm>
          <a:off x="1295200" y="1074717"/>
          <a:ext cx="1765181" cy="395084"/>
        </a:xfrm>
        <a:custGeom>
          <a:avLst/>
          <a:gdLst/>
          <a:ahLst/>
          <a:cxnLst/>
          <a:rect l="0" t="0" r="0" b="0"/>
          <a:pathLst>
            <a:path>
              <a:moveTo>
                <a:pt x="1765181" y="0"/>
              </a:moveTo>
              <a:lnTo>
                <a:pt x="1765181" y="362428"/>
              </a:lnTo>
              <a:lnTo>
                <a:pt x="0" y="362428"/>
              </a:lnTo>
              <a:lnTo>
                <a:pt x="0"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A746AE96-6E98-4104-9082-B7EAEE45EE0D}">
      <dsp:nvSpPr>
        <dsp:cNvPr id="0" name=""/>
        <dsp:cNvSpPr/>
      </dsp:nvSpPr>
      <dsp:spPr>
        <a:xfrm>
          <a:off x="412609" y="1074717"/>
          <a:ext cx="2647772" cy="395084"/>
        </a:xfrm>
        <a:custGeom>
          <a:avLst/>
          <a:gdLst/>
          <a:ahLst/>
          <a:cxnLst/>
          <a:rect l="0" t="0" r="0" b="0"/>
          <a:pathLst>
            <a:path>
              <a:moveTo>
                <a:pt x="2647772" y="0"/>
              </a:moveTo>
              <a:lnTo>
                <a:pt x="2647772" y="362428"/>
              </a:lnTo>
              <a:lnTo>
                <a:pt x="0" y="362428"/>
              </a:lnTo>
              <a:lnTo>
                <a:pt x="0" y="395084"/>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sp>
    <dsp:sp modelId="{91ABCFC2-F188-4BFE-9C9E-4D4CA72E670F}">
      <dsp:nvSpPr>
        <dsp:cNvPr id="0" name=""/>
        <dsp:cNvSpPr/>
      </dsp:nvSpPr>
      <dsp:spPr>
        <a:xfrm>
          <a:off x="2243247" y="657709"/>
          <a:ext cx="1634269" cy="417007"/>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chemeClr val="tx1"/>
              </a:solidFill>
              <a:latin typeface="Calibri "/>
            </a:rPr>
            <a:t>PR. HARTMUT EHRLICH</a:t>
          </a:r>
        </a:p>
        <a:p>
          <a:pPr marL="0" lvl="0" indent="0" algn="ctr" defTabSz="400050">
            <a:lnSpc>
              <a:spcPct val="90000"/>
            </a:lnSpc>
            <a:spcBef>
              <a:spcPct val="0"/>
            </a:spcBef>
            <a:spcAft>
              <a:spcPct val="35000"/>
            </a:spcAft>
            <a:buNone/>
          </a:pPr>
          <a:r>
            <a:rPr lang="fr-FR" sz="900" kern="1200" dirty="0">
              <a:solidFill>
                <a:schemeClr val="tx1"/>
              </a:solidFill>
              <a:latin typeface="Calibri "/>
            </a:rPr>
            <a:t>Directeur Général</a:t>
          </a:r>
          <a:endParaRPr lang="fr-FR" sz="900" kern="1200" dirty="0"/>
        </a:p>
      </dsp:txBody>
      <dsp:txXfrm>
        <a:off x="2243247" y="657709"/>
        <a:ext cx="1634269" cy="417007"/>
      </dsp:txXfrm>
    </dsp:sp>
    <dsp:sp modelId="{7ABFFCC2-6BF7-458B-99F6-F9709A72616B}">
      <dsp:nvSpPr>
        <dsp:cNvPr id="0" name=""/>
        <dsp:cNvSpPr/>
      </dsp:nvSpPr>
      <dsp:spPr>
        <a:xfrm>
          <a:off x="3970"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DIDIER BLONDEL</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Administratif &amp; Financier et </a:t>
          </a:r>
        </a:p>
        <a:p>
          <a:pPr marL="0" lvl="0" indent="0" algn="ctr" defTabSz="400050">
            <a:lnSpc>
              <a:spcPct val="90000"/>
            </a:lnSpc>
            <a:spcBef>
              <a:spcPct val="0"/>
            </a:spcBef>
            <a:spcAft>
              <a:spcPct val="35000"/>
            </a:spcAft>
            <a:buNone/>
          </a:pPr>
          <a:r>
            <a:rPr lang="fr-FR" sz="900" kern="1200" dirty="0">
              <a:solidFill>
                <a:schemeClr val="tx1"/>
              </a:solidFill>
              <a:latin typeface="Calibri "/>
            </a:rPr>
            <a:t>Secrétaire du Conseil d'Administration</a:t>
          </a:r>
          <a:endParaRPr lang="fr-FR" sz="900" b="1" kern="1200" dirty="0">
            <a:solidFill>
              <a:schemeClr val="tx1"/>
            </a:solidFill>
            <a:latin typeface="Calibri "/>
          </a:endParaRPr>
        </a:p>
      </dsp:txBody>
      <dsp:txXfrm>
        <a:off x="3970" y="1469801"/>
        <a:ext cx="817279" cy="1251020"/>
      </dsp:txXfrm>
    </dsp:sp>
    <dsp:sp modelId="{1B8FD9C0-D24A-44AB-AD2E-8AAA492BAA32}">
      <dsp:nvSpPr>
        <dsp:cNvPr id="0" name=""/>
        <dsp:cNvSpPr/>
      </dsp:nvSpPr>
      <dsp:spPr>
        <a:xfrm>
          <a:off x="886560"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PIERRE COURTEILLE</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Commercial et du Business </a:t>
          </a:r>
          <a:r>
            <a:rPr lang="fr-FR" sz="900" kern="1200" dirty="0" err="1">
              <a:solidFill>
                <a:schemeClr val="tx1"/>
              </a:solidFill>
              <a:latin typeface="Calibri "/>
            </a:rPr>
            <a:t>Development</a:t>
          </a:r>
          <a:r>
            <a:rPr lang="fr-FR" sz="900" kern="1200" dirty="0">
              <a:solidFill>
                <a:schemeClr val="tx1"/>
              </a:solidFill>
              <a:latin typeface="Calibri "/>
            </a:rPr>
            <a:t> </a:t>
          </a:r>
          <a:endParaRPr lang="fr-FR" sz="900" b="1" kern="1200" dirty="0">
            <a:solidFill>
              <a:schemeClr val="tx1"/>
            </a:solidFill>
            <a:latin typeface="Calibri "/>
          </a:endParaRPr>
        </a:p>
      </dsp:txBody>
      <dsp:txXfrm>
        <a:off x="886560" y="1469801"/>
        <a:ext cx="817279" cy="1251020"/>
      </dsp:txXfrm>
    </dsp:sp>
    <dsp:sp modelId="{9229AD25-3DCD-4AFF-AAAC-FC0ADB8C2EB6}">
      <dsp:nvSpPr>
        <dsp:cNvPr id="0" name=""/>
        <dsp:cNvSpPr/>
      </dsp:nvSpPr>
      <dsp:spPr>
        <a:xfrm>
          <a:off x="1769151"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JEAN-MARC STEENS</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a:t>
          </a:r>
        </a:p>
        <a:p>
          <a:pPr marL="0" lvl="0" indent="0" algn="ctr" defTabSz="400050">
            <a:lnSpc>
              <a:spcPct val="90000"/>
            </a:lnSpc>
            <a:spcBef>
              <a:spcPct val="0"/>
            </a:spcBef>
            <a:spcAft>
              <a:spcPct val="35000"/>
            </a:spcAft>
            <a:buNone/>
          </a:pPr>
          <a:r>
            <a:rPr lang="fr-FR" sz="900" kern="1200" dirty="0">
              <a:solidFill>
                <a:schemeClr val="tx1"/>
              </a:solidFill>
              <a:latin typeface="Calibri "/>
            </a:rPr>
            <a:t>Médical</a:t>
          </a:r>
          <a:endParaRPr lang="fr-FR" sz="900" b="1" kern="1200" dirty="0">
            <a:solidFill>
              <a:sysClr val="windowText" lastClr="000000"/>
            </a:solidFill>
            <a:latin typeface="Calibri "/>
          </a:endParaRPr>
        </a:p>
      </dsp:txBody>
      <dsp:txXfrm>
        <a:off x="1769151" y="1469801"/>
        <a:ext cx="817279" cy="1251020"/>
      </dsp:txXfrm>
    </dsp:sp>
    <dsp:sp modelId="{85D85A1D-CA75-4725-B5D2-F2054AE4E7F1}">
      <dsp:nvSpPr>
        <dsp:cNvPr id="0" name=""/>
        <dsp:cNvSpPr/>
      </dsp:nvSpPr>
      <dsp:spPr>
        <a:xfrm>
          <a:off x="2652374"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ysClr val="windowText" lastClr="000000"/>
              </a:solidFill>
              <a:latin typeface="Calibri "/>
            </a:rPr>
            <a:t>PAUL GINESTE</a:t>
          </a:r>
        </a:p>
        <a:p>
          <a:pPr marL="0" lvl="0" indent="0" algn="ctr" defTabSz="400050">
            <a:lnSpc>
              <a:spcPct val="90000"/>
            </a:lnSpc>
            <a:spcBef>
              <a:spcPct val="0"/>
            </a:spcBef>
            <a:spcAft>
              <a:spcPts val="0"/>
            </a:spcAft>
            <a:buNone/>
          </a:pPr>
          <a:r>
            <a:rPr lang="fr-FR" sz="900" kern="1200" dirty="0" err="1">
              <a:solidFill>
                <a:schemeClr val="tx1"/>
              </a:solidFill>
              <a:latin typeface="Calibri "/>
            </a:rPr>
            <a:t>V.P. Opérations Cliniques</a:t>
          </a:r>
        </a:p>
        <a:p>
          <a:pPr marL="0" lvl="0" indent="0" algn="ctr" defTabSz="400050">
            <a:lnSpc>
              <a:spcPct val="90000"/>
            </a:lnSpc>
            <a:spcBef>
              <a:spcPct val="0"/>
            </a:spcBef>
            <a:spcAft>
              <a:spcPts val="0"/>
            </a:spcAft>
            <a:buNone/>
          </a:pPr>
          <a:r>
            <a:rPr lang="fr-FR" sz="900" kern="1200" dirty="0">
              <a:solidFill>
                <a:schemeClr val="tx1"/>
              </a:solidFill>
              <a:latin typeface="Calibri "/>
            </a:rPr>
            <a:t> </a:t>
          </a:r>
          <a:endParaRPr lang="en-US" sz="600" kern="1200" dirty="0">
            <a:solidFill>
              <a:sysClr val="windowText" lastClr="000000"/>
            </a:solidFill>
          </a:endParaRPr>
        </a:p>
        <a:p>
          <a:pPr marL="0" lvl="0" indent="0" algn="ctr" defTabSz="400050">
            <a:lnSpc>
              <a:spcPct val="90000"/>
            </a:lnSpc>
            <a:spcBef>
              <a:spcPct val="0"/>
            </a:spcBef>
            <a:spcAft>
              <a:spcPct val="35000"/>
            </a:spcAft>
            <a:buNone/>
          </a:pPr>
          <a:endParaRPr lang="en-US" sz="600" kern="1200" dirty="0">
            <a:solidFill>
              <a:sysClr val="windowText" lastClr="000000"/>
            </a:solidFill>
          </a:endParaRPr>
        </a:p>
      </dsp:txBody>
      <dsp:txXfrm>
        <a:off x="2652374" y="1469801"/>
        <a:ext cx="817279" cy="1251020"/>
      </dsp:txXfrm>
    </dsp:sp>
    <dsp:sp modelId="{81816765-FEF0-474E-B50B-DE7FEA99B3E4}">
      <dsp:nvSpPr>
        <dsp:cNvPr id="0" name=""/>
        <dsp:cNvSpPr/>
      </dsp:nvSpPr>
      <dsp:spPr>
        <a:xfrm>
          <a:off x="3534333"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BERNARD FANGET</a:t>
          </a:r>
        </a:p>
        <a:p>
          <a:pPr marL="0" lvl="0" indent="0" algn="ctr" defTabSz="400050">
            <a:lnSpc>
              <a:spcPct val="90000"/>
            </a:lnSpc>
            <a:spcBef>
              <a:spcPct val="0"/>
            </a:spcBef>
            <a:spcAft>
              <a:spcPct val="35000"/>
            </a:spcAft>
            <a:buNone/>
          </a:pPr>
          <a:r>
            <a:rPr lang="fr-FR" sz="900" b="0" kern="1200" dirty="0">
              <a:solidFill>
                <a:schemeClr val="tx1"/>
              </a:solidFill>
              <a:latin typeface="Calibri "/>
            </a:rPr>
            <a:t>V.P. Affaires réglementaires</a:t>
          </a:r>
        </a:p>
      </dsp:txBody>
      <dsp:txXfrm>
        <a:off x="3534333" y="1469801"/>
        <a:ext cx="817279" cy="1251020"/>
      </dsp:txXfrm>
    </dsp:sp>
    <dsp:sp modelId="{DE422567-7DEF-4AFE-AC19-972DDD6A252E}">
      <dsp:nvSpPr>
        <dsp:cNvPr id="0" name=""/>
        <dsp:cNvSpPr/>
      </dsp:nvSpPr>
      <dsp:spPr>
        <a:xfrm>
          <a:off x="4416924"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dirty="0">
              <a:solidFill>
                <a:sysClr val="windowText" lastClr="000000"/>
              </a:solidFill>
              <a:latin typeface="Calibri "/>
            </a:rPr>
            <a:t>JEROME DENIS </a:t>
          </a:r>
        </a:p>
        <a:p>
          <a:pPr marL="0" lvl="0" indent="0" algn="ctr" defTabSz="400050">
            <a:lnSpc>
              <a:spcPct val="90000"/>
            </a:lnSpc>
            <a:spcBef>
              <a:spcPct val="0"/>
            </a:spcBef>
            <a:spcAft>
              <a:spcPct val="35000"/>
            </a:spcAft>
            <a:buNone/>
          </a:pPr>
          <a:r>
            <a:rPr lang="fr-FR" sz="900" kern="1200" dirty="0">
              <a:solidFill>
                <a:sysClr val="windowText" lastClr="000000"/>
              </a:solidFill>
              <a:latin typeface="Calibri "/>
            </a:rPr>
            <a:t>V.P. Directeur de la Production et du Développement des Procédés </a:t>
          </a:r>
          <a:endParaRPr lang="fr-FR" sz="900" b="1" kern="1200" dirty="0">
            <a:solidFill>
              <a:schemeClr val="tx1"/>
            </a:solidFill>
            <a:latin typeface="Calibri "/>
          </a:endParaRPr>
        </a:p>
      </dsp:txBody>
      <dsp:txXfrm>
        <a:off x="4416924" y="1469801"/>
        <a:ext cx="817279" cy="1251020"/>
      </dsp:txXfrm>
    </dsp:sp>
    <dsp:sp modelId="{347F4702-19A9-40DB-AEA5-BDB4E88B0A23}">
      <dsp:nvSpPr>
        <dsp:cNvPr id="0" name=""/>
        <dsp:cNvSpPr/>
      </dsp:nvSpPr>
      <dsp:spPr>
        <a:xfrm>
          <a:off x="5299515" y="1469801"/>
          <a:ext cx="817279" cy="1251020"/>
        </a:xfrm>
        <a:prstGeom prst="rect">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fr-FR" sz="900" b="1" kern="1200" dirty="0">
            <a:solidFill>
              <a:schemeClr val="tx1"/>
            </a:solidFill>
            <a:latin typeface="Calibri "/>
          </a:endParaRPr>
        </a:p>
        <a:p>
          <a:pPr marL="0" lvl="0" indent="0" algn="ctr" defTabSz="400050">
            <a:lnSpc>
              <a:spcPct val="90000"/>
            </a:lnSpc>
            <a:spcBef>
              <a:spcPct val="0"/>
            </a:spcBef>
            <a:spcAft>
              <a:spcPct val="35000"/>
            </a:spcAft>
            <a:buNone/>
          </a:pPr>
          <a:r>
            <a:rPr lang="fr-FR" sz="900" b="1" kern="1200" dirty="0">
              <a:solidFill>
                <a:schemeClr val="tx1"/>
              </a:solidFill>
              <a:latin typeface="Calibri "/>
            </a:rPr>
            <a:t>DIDIER SCHERRER</a:t>
          </a:r>
        </a:p>
        <a:p>
          <a:pPr marL="0" lvl="0" indent="0" algn="ctr" defTabSz="400050">
            <a:lnSpc>
              <a:spcPct val="90000"/>
            </a:lnSpc>
            <a:spcBef>
              <a:spcPct val="0"/>
            </a:spcBef>
            <a:spcAft>
              <a:spcPct val="35000"/>
            </a:spcAft>
            <a:buNone/>
          </a:pPr>
          <a:r>
            <a:rPr lang="fr-FR" sz="900" kern="1200" dirty="0">
              <a:solidFill>
                <a:schemeClr val="tx1"/>
              </a:solidFill>
              <a:latin typeface="Calibri "/>
            </a:rPr>
            <a:t>V.P. Directeur de la Recherche</a:t>
          </a:r>
          <a:endParaRPr lang="fr-FR" sz="800" b="1" kern="1200" dirty="0">
            <a:solidFill>
              <a:schemeClr val="tx1"/>
            </a:solidFill>
            <a:latin typeface="Calibri "/>
          </a:endParaRPr>
        </a:p>
      </dsp:txBody>
      <dsp:txXfrm>
        <a:off x="5299515" y="1469801"/>
        <a:ext cx="817279" cy="125102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emier élément et date" Version="1987"/>
</file>

<file path=customXml/itemProps1.xml><?xml version="1.0" encoding="utf-8"?>
<ds:datastoreItem xmlns:ds="http://schemas.openxmlformats.org/officeDocument/2006/customXml" ds:itemID="{86F2B6BA-B670-407C-94DF-3B0710C62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244</Pages>
  <Words>91404</Words>
  <Characters>502722</Characters>
  <Application>Microsoft Office Word</Application>
  <DocSecurity>0</DocSecurity>
  <Lines>4189</Lines>
  <Paragraphs>1185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Taylorwessing</Company>
  <LinksUpToDate>false</LinksUpToDate>
  <CharactersWithSpaces>592941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Lorraine Pin</dc:creator>
  <cp:lastModifiedBy>Roxandra Sturdza</cp:lastModifiedBy>
  <cp:revision>9</cp:revision>
  <cp:lastPrinted>2018-04-26T08:27:00Z</cp:lastPrinted>
  <dcterms:created xsi:type="dcterms:W3CDTF">2018-04-27T16:27:00Z</dcterms:created>
  <dcterms:modified xsi:type="dcterms:W3CDTF">2018-04-30T13:02:00Z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PADOCS01/413113.11</vt:lpwstr>
  </property>
  <property fmtid="{D5CDD505-2E9C-101B-9397-08002B2CF9AE}" pid="3" name="FooterFileName">
    <vt:lpwstr>DDR_Abivax_2017_110517_Markup</vt:lpwstr>
  </property>
  <property fmtid="{D5CDD505-2E9C-101B-9397-08002B2CF9AE}" pid="4" name="NXPowerLiteLastOptimized">
    <vt:lpwstr>12320163</vt:lpwstr>
  </property>
  <property fmtid="{D5CDD505-2E9C-101B-9397-08002B2CF9AE}" pid="5" name="NXPowerLiteSettings">
    <vt:lpwstr>F7200358026400</vt:lpwstr>
  </property>
  <property fmtid="{D5CDD505-2E9C-101B-9397-08002B2CF9AE}" pid="6" name="NXPowerLiteVersion">
    <vt:lpwstr>D5.1.3</vt:lpwstr>
  </property>
  <property fmtid="{D5CDD505-2E9C-101B-9397-08002B2CF9AE}" pid="7" name="TJGMacrosVersion">
    <vt:i4>20031101</vt:i4>
  </property>
</Properties>
</file>