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347C" w14:textId="35735168" w:rsidR="00163F14" w:rsidRDefault="00163F14" w:rsidP="00A72673">
      <w:pPr>
        <w:pStyle w:val="Body"/>
        <w:jc w:val="center"/>
      </w:pPr>
      <w:r>
        <w:t xml:space="preserve">PARTICULARS OF THE RIGHTS ATTACHING TO </w:t>
      </w:r>
      <w:r w:rsidR="004D09A6">
        <w:t xml:space="preserve">ORDINARY </w:t>
      </w:r>
      <w:r w:rsidR="00E23E20">
        <w:t>SHARES</w:t>
      </w:r>
      <w:r>
        <w:t xml:space="preserve"> </w:t>
      </w:r>
      <w:r w:rsidR="00C425D8">
        <w:t>(the “</w:t>
      </w:r>
      <w:r w:rsidR="00E23E20">
        <w:rPr>
          <w:b/>
        </w:rPr>
        <w:t>Shares</w:t>
      </w:r>
      <w:r w:rsidR="00C425D8">
        <w:t xml:space="preserve">”) </w:t>
      </w:r>
      <w:r w:rsidR="007C07F2">
        <w:t>IN THE CAPITAL OF</w:t>
      </w:r>
      <w:r w:rsidR="004D09A6">
        <w:t xml:space="preserve"> GENEL ENERGY</w:t>
      </w:r>
      <w:r w:rsidR="00C425D8">
        <w:t xml:space="preserve"> </w:t>
      </w:r>
      <w:r w:rsidR="007C07F2">
        <w:t>PLC</w:t>
      </w:r>
      <w:r w:rsidR="00E23E20">
        <w:t xml:space="preserve"> (the “</w:t>
      </w:r>
      <w:r w:rsidR="00E23E20" w:rsidRPr="00E23E20">
        <w:rPr>
          <w:b/>
          <w:bCs/>
        </w:rPr>
        <w:t>Company</w:t>
      </w:r>
      <w:r w:rsidR="00E23E20">
        <w:t>”)</w:t>
      </w:r>
    </w:p>
    <w:p w14:paraId="2406D222" w14:textId="77777777" w:rsidR="00DD10A5" w:rsidRDefault="00DD10A5" w:rsidP="00A72673">
      <w:pPr>
        <w:pStyle w:val="Body"/>
        <w:jc w:val="center"/>
      </w:pPr>
    </w:p>
    <w:p w14:paraId="54E74985" w14:textId="77777777" w:rsidR="00014DE4" w:rsidRPr="00FD6EE5" w:rsidRDefault="007C07F2" w:rsidP="00014DE4">
      <w:pPr>
        <w:pStyle w:val="Body"/>
        <w:rPr>
          <w:b/>
        </w:rPr>
      </w:pPr>
      <w:r>
        <w:rPr>
          <w:b/>
        </w:rPr>
        <w:t>V</w:t>
      </w:r>
      <w:r w:rsidR="00014DE4" w:rsidRPr="00FD6EE5">
        <w:rPr>
          <w:b/>
        </w:rPr>
        <w:t xml:space="preserve">oting rights (including any voting rights that only arise </w:t>
      </w:r>
      <w:proofErr w:type="gramStart"/>
      <w:r w:rsidR="00014DE4" w:rsidRPr="00FD6EE5">
        <w:rPr>
          <w:b/>
        </w:rPr>
        <w:t>in particular voting</w:t>
      </w:r>
      <w:proofErr w:type="gramEnd"/>
      <w:r w:rsidR="00014DE4" w:rsidRPr="00FD6EE5">
        <w:rPr>
          <w:b/>
        </w:rPr>
        <w:t xml:space="preserve"> circumstances)</w:t>
      </w:r>
    </w:p>
    <w:p w14:paraId="60C3F2B8" w14:textId="56349C82" w:rsidR="004D09A6" w:rsidRDefault="004D09A6" w:rsidP="004D09A6">
      <w:pPr>
        <w:pStyle w:val="Body"/>
      </w:pPr>
      <w:r>
        <w:t xml:space="preserve">Subject to the </w:t>
      </w:r>
      <w:r w:rsidR="00E23E20">
        <w:t>Articles</w:t>
      </w:r>
      <w:r>
        <w:t xml:space="preserve"> and to any special rights or restrictions as to voting for the time being attached to any class of </w:t>
      </w:r>
      <w:r w:rsidR="00E23E20">
        <w:t>Shares</w:t>
      </w:r>
      <w:r>
        <w:t xml:space="preserve"> in the Company, on a show of hands, every qualifying person present shall have one vote and on a poll, every member who is present in person or by a duly appointed proxy shall have one vote for each </w:t>
      </w:r>
      <w:r w:rsidR="00E23E20">
        <w:t>Share</w:t>
      </w:r>
      <w:r>
        <w:t xml:space="preserve"> of which he is the holder.</w:t>
      </w:r>
    </w:p>
    <w:p w14:paraId="4161F18D" w14:textId="303C7470" w:rsidR="004D09A6" w:rsidRDefault="004D09A6" w:rsidP="004D09A6">
      <w:pPr>
        <w:pStyle w:val="Body"/>
      </w:pPr>
      <w:r>
        <w:t xml:space="preserve">For the purposes of determining which persons are entitled to attend or vote at any general meeting, and how many votes such persons may cast, the Company may specify in the notice of the meeting a time, not more than </w:t>
      </w:r>
      <w:bookmarkStart w:id="0" w:name="_GoBack"/>
      <w:bookmarkEnd w:id="0"/>
      <w:r>
        <w:t xml:space="preserve">48 hours before the time fixed for the meeting, by which a person must be entered on the register in order to have the right to attend or vote at the meeting. Changes to entries on the register after the time so specified shall be disregarded in determining the rights of any person to attend or vote at the meeting, notwithstanding any provisions in the Statutes or the </w:t>
      </w:r>
      <w:r w:rsidR="00E23E20">
        <w:t>Articles</w:t>
      </w:r>
      <w:r>
        <w:t xml:space="preserve"> to the contrary.  </w:t>
      </w:r>
    </w:p>
    <w:p w14:paraId="1B8C0D8E" w14:textId="07424E4A" w:rsidR="004D09A6" w:rsidRDefault="004D09A6" w:rsidP="004D09A6">
      <w:pPr>
        <w:pStyle w:val="Body"/>
      </w:pPr>
      <w:r w:rsidRPr="004D09A6">
        <w:t xml:space="preserve">A proxy need not be a member of the Company and a member may appoint more than one proxy in relation to a meeting, provided that each proxy is appointed to exercise the rights attached to a different </w:t>
      </w:r>
      <w:r w:rsidR="00E23E20">
        <w:t>Share</w:t>
      </w:r>
      <w:r w:rsidRPr="004D09A6">
        <w:t xml:space="preserve"> or </w:t>
      </w:r>
      <w:r w:rsidR="00E23E20">
        <w:t>Shares</w:t>
      </w:r>
      <w:r w:rsidRPr="004D09A6">
        <w:t xml:space="preserve"> held by him. </w:t>
      </w:r>
    </w:p>
    <w:p w14:paraId="104908B1" w14:textId="77777777" w:rsidR="00014DE4" w:rsidRPr="00FD6EE5" w:rsidRDefault="007C07F2" w:rsidP="00014DE4">
      <w:pPr>
        <w:pStyle w:val="Body"/>
        <w:rPr>
          <w:b/>
        </w:rPr>
      </w:pPr>
      <w:r>
        <w:rPr>
          <w:b/>
        </w:rPr>
        <w:t xml:space="preserve">Dividend </w:t>
      </w:r>
      <w:r w:rsidR="00014DE4" w:rsidRPr="00FD6EE5">
        <w:rPr>
          <w:b/>
        </w:rPr>
        <w:t>rights</w:t>
      </w:r>
    </w:p>
    <w:p w14:paraId="0EDE6E9C" w14:textId="08983A91" w:rsidR="004D09A6" w:rsidRPr="004D09A6" w:rsidRDefault="004D09A6" w:rsidP="004D09A6">
      <w:pPr>
        <w:pStyle w:val="Body"/>
        <w:rPr>
          <w:iCs/>
        </w:rPr>
      </w:pPr>
      <w:r w:rsidRPr="004D09A6">
        <w:rPr>
          <w:iCs/>
        </w:rPr>
        <w:t>Subject to the provisions of the Law, the Company may, by ordinary resolution, declare a dividend to be paid to the members, according to their respective rights and interests, and may fix the time for payment of such dividend, but no dividend shall exceed the amount recommended by the board and no dividend shall be declared in excess of amounts standing to the credit of the Company's profit and loss account from time to time.</w:t>
      </w:r>
    </w:p>
    <w:p w14:paraId="06462281" w14:textId="77777777" w:rsidR="004D09A6" w:rsidRPr="004D09A6" w:rsidRDefault="004D09A6" w:rsidP="004D09A6">
      <w:pPr>
        <w:pStyle w:val="Body"/>
        <w:rPr>
          <w:iCs/>
        </w:rPr>
      </w:pPr>
      <w:r w:rsidRPr="004D09A6">
        <w:rPr>
          <w:iCs/>
        </w:rPr>
        <w:t>Subject to the provisions of the Law, the board may pay such interim dividends as appear to the board to be justified by the financial position of the Company and may also pay any dividend payable at a fixed rate at intervals settled by the board whenever the financial position of the Company, in the opinion of the board, justifies its payment.</w:t>
      </w:r>
    </w:p>
    <w:p w14:paraId="02ACF03F" w14:textId="512434D4" w:rsidR="004D09A6" w:rsidRPr="004D09A6" w:rsidRDefault="004D09A6" w:rsidP="004D09A6">
      <w:pPr>
        <w:pStyle w:val="Body"/>
        <w:rPr>
          <w:iCs/>
        </w:rPr>
      </w:pPr>
      <w:r w:rsidRPr="004D09A6">
        <w:rPr>
          <w:iCs/>
        </w:rPr>
        <w:t xml:space="preserve">Except insofar as the rights attaching to, or the terms of issue of, any </w:t>
      </w:r>
      <w:r w:rsidR="00E23E20">
        <w:rPr>
          <w:iCs/>
        </w:rPr>
        <w:t>Share</w:t>
      </w:r>
      <w:r w:rsidRPr="004D09A6">
        <w:rPr>
          <w:iCs/>
        </w:rPr>
        <w:t xml:space="preserve"> otherwise provide: </w:t>
      </w:r>
    </w:p>
    <w:p w14:paraId="114E32C8" w14:textId="0FD80CF6" w:rsidR="004D09A6" w:rsidRPr="004D09A6" w:rsidRDefault="004D09A6" w:rsidP="00E23E20">
      <w:pPr>
        <w:pStyle w:val="Body"/>
        <w:numPr>
          <w:ilvl w:val="0"/>
          <w:numId w:val="48"/>
        </w:numPr>
        <w:rPr>
          <w:iCs/>
        </w:rPr>
      </w:pPr>
      <w:r w:rsidRPr="004D09A6">
        <w:rPr>
          <w:iCs/>
        </w:rPr>
        <w:t xml:space="preserve">all dividends shall be declared and paid according to the amounts paid up on the </w:t>
      </w:r>
      <w:r w:rsidR="00E23E20">
        <w:rPr>
          <w:iCs/>
        </w:rPr>
        <w:t>Shares</w:t>
      </w:r>
      <w:r w:rsidRPr="004D09A6">
        <w:rPr>
          <w:iCs/>
        </w:rPr>
        <w:t xml:space="preserve"> in respect of which the dividend is paid, but no amount paid up on a </w:t>
      </w:r>
      <w:r w:rsidR="00E23E20">
        <w:rPr>
          <w:iCs/>
        </w:rPr>
        <w:t>Share</w:t>
      </w:r>
      <w:r w:rsidRPr="004D09A6">
        <w:rPr>
          <w:iCs/>
        </w:rPr>
        <w:t xml:space="preserve"> in advance of calls shall be treated for the purposes of th</w:t>
      </w:r>
      <w:r w:rsidR="00E23E20">
        <w:rPr>
          <w:iCs/>
        </w:rPr>
        <w:t>e</w:t>
      </w:r>
      <w:r w:rsidRPr="004D09A6">
        <w:rPr>
          <w:iCs/>
        </w:rPr>
        <w:t xml:space="preserve"> </w:t>
      </w:r>
      <w:r w:rsidR="00E23E20">
        <w:rPr>
          <w:iCs/>
        </w:rPr>
        <w:t>Articles</w:t>
      </w:r>
      <w:r w:rsidRPr="004D09A6">
        <w:rPr>
          <w:iCs/>
        </w:rPr>
        <w:t xml:space="preserve"> as paid up on the </w:t>
      </w:r>
      <w:r w:rsidR="00E23E20">
        <w:rPr>
          <w:iCs/>
        </w:rPr>
        <w:t>Share</w:t>
      </w:r>
      <w:r w:rsidRPr="004D09A6">
        <w:rPr>
          <w:iCs/>
        </w:rPr>
        <w:t xml:space="preserve">; </w:t>
      </w:r>
    </w:p>
    <w:p w14:paraId="7FFEEF28" w14:textId="1E9D11E6" w:rsidR="004D09A6" w:rsidRPr="004D09A6" w:rsidRDefault="004D09A6" w:rsidP="00E23E20">
      <w:pPr>
        <w:pStyle w:val="Body"/>
        <w:numPr>
          <w:ilvl w:val="0"/>
          <w:numId w:val="48"/>
        </w:numPr>
        <w:rPr>
          <w:iCs/>
        </w:rPr>
      </w:pPr>
      <w:r w:rsidRPr="004D09A6">
        <w:rPr>
          <w:iCs/>
        </w:rPr>
        <w:t xml:space="preserve">all dividends shall be apportioned and paid pro rata according to the amounts paid up on the </w:t>
      </w:r>
      <w:r w:rsidR="00E23E20">
        <w:rPr>
          <w:iCs/>
        </w:rPr>
        <w:t>Shares</w:t>
      </w:r>
      <w:r w:rsidRPr="004D09A6">
        <w:rPr>
          <w:iCs/>
        </w:rPr>
        <w:t xml:space="preserve"> during any portion or portions of the period in respect of which the dividend is paid; </w:t>
      </w:r>
    </w:p>
    <w:p w14:paraId="463DEF0D" w14:textId="7990C0E6" w:rsidR="004D09A6" w:rsidRPr="004D09A6" w:rsidRDefault="004D09A6" w:rsidP="00E23E20">
      <w:pPr>
        <w:pStyle w:val="Body"/>
        <w:numPr>
          <w:ilvl w:val="0"/>
          <w:numId w:val="48"/>
        </w:numPr>
        <w:rPr>
          <w:iCs/>
        </w:rPr>
      </w:pPr>
      <w:r w:rsidRPr="004D09A6">
        <w:rPr>
          <w:iCs/>
        </w:rPr>
        <w:t>any amount paid by the Company by way of dividend will be deemed to include any amount that the Company may be compelled by law to withhold or deduct; and</w:t>
      </w:r>
    </w:p>
    <w:p w14:paraId="52A4AB92" w14:textId="41451F2F" w:rsidR="004D09A6" w:rsidRPr="004D09A6" w:rsidRDefault="004D09A6" w:rsidP="00E23E20">
      <w:pPr>
        <w:pStyle w:val="Body"/>
        <w:numPr>
          <w:ilvl w:val="0"/>
          <w:numId w:val="48"/>
        </w:numPr>
        <w:rPr>
          <w:iCs/>
        </w:rPr>
      </w:pPr>
      <w:r w:rsidRPr="004D09A6">
        <w:rPr>
          <w:iCs/>
        </w:rPr>
        <w:t xml:space="preserve">dividends may be declared or paid in any currency. </w:t>
      </w:r>
    </w:p>
    <w:p w14:paraId="13683331" w14:textId="2DB64B70" w:rsidR="004D09A6" w:rsidRPr="004D09A6" w:rsidRDefault="004D09A6" w:rsidP="004D09A6">
      <w:pPr>
        <w:pStyle w:val="Body"/>
        <w:rPr>
          <w:iCs/>
        </w:rPr>
      </w:pPr>
      <w:r w:rsidRPr="004D09A6">
        <w:rPr>
          <w:iCs/>
        </w:rPr>
        <w:t xml:space="preserve">The board may agree with any member that dividends which may at any time or from time to time be declared or become due on his </w:t>
      </w:r>
      <w:r w:rsidR="00E23E20">
        <w:rPr>
          <w:iCs/>
        </w:rPr>
        <w:t>Shares</w:t>
      </w:r>
      <w:r w:rsidRPr="004D09A6">
        <w:rPr>
          <w:iCs/>
        </w:rPr>
        <w:t xml:space="preserve"> in one currency shall be paid or satisfied in another, and may agree the basis of conversion to be applied and how and when the amount to be paid in the </w:t>
      </w:r>
      <w:r w:rsidRPr="004D09A6">
        <w:rPr>
          <w:iCs/>
        </w:rPr>
        <w:lastRenderedPageBreak/>
        <w:t xml:space="preserve">other currency shall be calculated and paid and for the Company or any other person to bear any costs involved. </w:t>
      </w:r>
    </w:p>
    <w:p w14:paraId="2EAE64E3" w14:textId="5B02A4DB" w:rsidR="004D09A6" w:rsidRPr="004D09A6" w:rsidRDefault="004D09A6" w:rsidP="004D09A6">
      <w:pPr>
        <w:pStyle w:val="Body"/>
        <w:rPr>
          <w:iCs/>
        </w:rPr>
      </w:pPr>
      <w:r w:rsidRPr="004D09A6">
        <w:rPr>
          <w:iCs/>
        </w:rPr>
        <w:t xml:space="preserve">No dividend or other monies payable by the Company on or in respect of any </w:t>
      </w:r>
      <w:r w:rsidR="00E23E20">
        <w:rPr>
          <w:iCs/>
        </w:rPr>
        <w:t>Share</w:t>
      </w:r>
      <w:r w:rsidRPr="004D09A6">
        <w:rPr>
          <w:iCs/>
        </w:rPr>
        <w:t xml:space="preserve"> shall bear interest as against the Company unless otherwise provided by the rights attached to the </w:t>
      </w:r>
      <w:r w:rsidR="00E23E20">
        <w:rPr>
          <w:iCs/>
        </w:rPr>
        <w:t>Share</w:t>
      </w:r>
      <w:r w:rsidRPr="004D09A6">
        <w:rPr>
          <w:iCs/>
        </w:rPr>
        <w:t xml:space="preserve">. </w:t>
      </w:r>
    </w:p>
    <w:p w14:paraId="49C2C9BE" w14:textId="54DD953D" w:rsidR="004D09A6" w:rsidRPr="004D09A6" w:rsidRDefault="004D09A6" w:rsidP="004D09A6">
      <w:pPr>
        <w:pStyle w:val="Body"/>
        <w:rPr>
          <w:iCs/>
        </w:rPr>
      </w:pPr>
      <w:r w:rsidRPr="004D09A6">
        <w:rPr>
          <w:iCs/>
        </w:rPr>
        <w:t xml:space="preserve">The board may deduct from any dividend or other monies payable to any person (either alone or jointly with another) on or in respect of a </w:t>
      </w:r>
      <w:r w:rsidR="00E23E20">
        <w:rPr>
          <w:iCs/>
        </w:rPr>
        <w:t>Share</w:t>
      </w:r>
      <w:r w:rsidRPr="004D09A6">
        <w:rPr>
          <w:iCs/>
        </w:rPr>
        <w:t xml:space="preserve"> all such sums as may be due from him (either alone or jointly with another) to the Company on account of calls or otherwise in relation to </w:t>
      </w:r>
      <w:r w:rsidR="00E23E20">
        <w:rPr>
          <w:iCs/>
        </w:rPr>
        <w:t>Shares</w:t>
      </w:r>
      <w:r w:rsidRPr="004D09A6">
        <w:rPr>
          <w:iCs/>
        </w:rPr>
        <w:t xml:space="preserve"> of the </w:t>
      </w:r>
      <w:r>
        <w:rPr>
          <w:iCs/>
        </w:rPr>
        <w:t>Company.</w:t>
      </w:r>
    </w:p>
    <w:p w14:paraId="771F8ECB" w14:textId="19575912" w:rsidR="004D09A6" w:rsidRPr="004D09A6" w:rsidRDefault="004D09A6" w:rsidP="004D09A6">
      <w:pPr>
        <w:pStyle w:val="Body"/>
        <w:rPr>
          <w:iCs/>
        </w:rPr>
      </w:pPr>
      <w:r w:rsidRPr="004D09A6">
        <w:rPr>
          <w:iCs/>
        </w:rPr>
        <w:t xml:space="preserve">All unclaimed dividends, interest or other sums payable may be invested or otherwise made use of by the board for the benefit of the Company until claimed. All dividends unclaimed for a period of 12 years after having become due for payment shall be forfeited and cease to remain owing by the Company. The payment of any unclaimed dividend, interest or other sum payable by the Company on or in respect of any </w:t>
      </w:r>
      <w:r w:rsidR="00E23E20">
        <w:rPr>
          <w:iCs/>
        </w:rPr>
        <w:t>Share</w:t>
      </w:r>
      <w:r w:rsidRPr="004D09A6">
        <w:rPr>
          <w:iCs/>
        </w:rPr>
        <w:t xml:space="preserve"> into a separate account shall not constitute the Company a trustee in respect of it.</w:t>
      </w:r>
    </w:p>
    <w:p w14:paraId="448FBD1B" w14:textId="77777777" w:rsidR="007C07F2" w:rsidRDefault="007C07F2">
      <w:pPr>
        <w:pStyle w:val="Body"/>
        <w:rPr>
          <w:b/>
        </w:rPr>
      </w:pPr>
      <w:r>
        <w:rPr>
          <w:b/>
        </w:rPr>
        <w:t xml:space="preserve">Pre-emption rights </w:t>
      </w:r>
      <w:r w:rsidRPr="007C07F2">
        <w:rPr>
          <w:b/>
        </w:rPr>
        <w:t>in offers for subscription of securities of the same class</w:t>
      </w:r>
    </w:p>
    <w:p w14:paraId="130BF230" w14:textId="135BB1BC" w:rsidR="004D09A6" w:rsidRDefault="00C425D8" w:rsidP="004D09A6">
      <w:pPr>
        <w:pStyle w:val="Body"/>
      </w:pPr>
      <w:r w:rsidRPr="00E10763">
        <w:t xml:space="preserve">Any equity securities issued by the Company for cash must first be offered to the holders of the </w:t>
      </w:r>
      <w:r w:rsidR="00E23E20" w:rsidRPr="00E10763">
        <w:t>Shares</w:t>
      </w:r>
      <w:r w:rsidRPr="00E10763">
        <w:t xml:space="preserve"> in proportion to their </w:t>
      </w:r>
      <w:r w:rsidR="00E23E20" w:rsidRPr="00E10763">
        <w:t>Share</w:t>
      </w:r>
      <w:r w:rsidRPr="00E10763">
        <w:t xml:space="preserve">holdings under </w:t>
      </w:r>
      <w:r w:rsidR="00923C8B" w:rsidRPr="00E10763">
        <w:t xml:space="preserve">Article 7 of the Company’s Articles of Association  </w:t>
      </w:r>
      <w:r w:rsidRPr="00E10763">
        <w:t xml:space="preserve">. </w:t>
      </w:r>
      <w:r w:rsidR="00825140" w:rsidRPr="00E10763">
        <w:t>Such p</w:t>
      </w:r>
      <w:r w:rsidRPr="00E10763">
        <w:t xml:space="preserve">re-emption rights may be disapplied by a special resolution of the </w:t>
      </w:r>
      <w:r w:rsidR="00E23E20" w:rsidRPr="00E10763">
        <w:t>Share</w:t>
      </w:r>
      <w:r w:rsidRPr="00E10763">
        <w:t>holders</w:t>
      </w:r>
      <w:r w:rsidR="006525E5" w:rsidRPr="00E10763">
        <w:t xml:space="preserve"> that will specify the date on which the power will expire.</w:t>
      </w:r>
    </w:p>
    <w:p w14:paraId="38D3FE1D" w14:textId="092305F0" w:rsidR="004D09A6" w:rsidRDefault="004D09A6" w:rsidP="004D09A6">
      <w:pPr>
        <w:pStyle w:val="Body"/>
      </w:pPr>
      <w:r>
        <w:t>The Company shall not allot equity securities to a person on any terms unless:</w:t>
      </w:r>
    </w:p>
    <w:p w14:paraId="37C86532" w14:textId="6A4E0190" w:rsidR="004D09A6" w:rsidRDefault="004D09A6" w:rsidP="00E23E20">
      <w:pPr>
        <w:pStyle w:val="Body"/>
        <w:numPr>
          <w:ilvl w:val="0"/>
          <w:numId w:val="49"/>
        </w:numPr>
      </w:pPr>
      <w:r>
        <w:t xml:space="preserve">it has made an offer to each person who holds ordinary </w:t>
      </w:r>
      <w:r w:rsidR="00E23E20">
        <w:t>Shares</w:t>
      </w:r>
      <w:r>
        <w:t xml:space="preserve"> in the Company to allot to him on the same or more favourable terms a proportion of those securities that is as nearly as practicable equal to the proportion in nominal value held by him of the ordinary </w:t>
      </w:r>
      <w:r w:rsidR="00E23E20">
        <w:t>Share</w:t>
      </w:r>
      <w:r>
        <w:t xml:space="preserve"> capital of the Company; and </w:t>
      </w:r>
    </w:p>
    <w:p w14:paraId="6E95D69B" w14:textId="373181DB" w:rsidR="004D09A6" w:rsidRDefault="004D09A6" w:rsidP="00E23E20">
      <w:pPr>
        <w:pStyle w:val="Body"/>
        <w:numPr>
          <w:ilvl w:val="0"/>
          <w:numId w:val="49"/>
        </w:numPr>
      </w:pPr>
      <w:r>
        <w:t xml:space="preserve">the period during which any such offer may be accepted has expired or the Company has received notice of the acceptance or refusal of every offer so made. </w:t>
      </w:r>
    </w:p>
    <w:p w14:paraId="75578206" w14:textId="7CA23775" w:rsidR="004D09A6" w:rsidRDefault="004D09A6" w:rsidP="004D09A6">
      <w:pPr>
        <w:pStyle w:val="Body"/>
      </w:pPr>
      <w:r>
        <w:t xml:space="preserve">Subject (other than in relation to the sale of treasury </w:t>
      </w:r>
      <w:r w:rsidR="00E23E20">
        <w:t>Shares</w:t>
      </w:r>
      <w:r>
        <w:t xml:space="preserve">) to the board being generally authorised to allot relevant securities in accordance with </w:t>
      </w:r>
      <w:r w:rsidR="00E23E20">
        <w:t>the Articles</w:t>
      </w:r>
      <w:r>
        <w:t xml:space="preserve">, the Company may from time to time resolve, by special resolution, that the board be given power to allot equity securities wholly for cash and, on the passing of the resolution, the board shall have power to allot (pursuant to that authority) equity securities wholly for cash as if </w:t>
      </w:r>
      <w:r w:rsidR="00E23E20">
        <w:t>the Articles</w:t>
      </w:r>
      <w:r>
        <w:t xml:space="preserve"> did not apply to the allotment but that power shall be limited: </w:t>
      </w:r>
    </w:p>
    <w:p w14:paraId="36BC66CD" w14:textId="7358E1C5" w:rsidR="004D09A6" w:rsidRDefault="004D09A6" w:rsidP="00E23E20">
      <w:pPr>
        <w:pStyle w:val="Body"/>
        <w:numPr>
          <w:ilvl w:val="0"/>
          <w:numId w:val="50"/>
        </w:numPr>
      </w:pPr>
      <w:r>
        <w:t>to the allotment of equity securities in connection with a pre-emptive issue;</w:t>
      </w:r>
    </w:p>
    <w:p w14:paraId="195AB6B3" w14:textId="5662997B" w:rsidR="004D09A6" w:rsidRDefault="004D09A6" w:rsidP="00E23E20">
      <w:pPr>
        <w:pStyle w:val="Body"/>
        <w:numPr>
          <w:ilvl w:val="0"/>
          <w:numId w:val="50"/>
        </w:numPr>
      </w:pPr>
      <w:r>
        <w:t xml:space="preserve">to the allotment (other than in connection with a pre-emptive issue) of equity securities having a nominal amount not exceeding in aggregate the sum specified in the special resolution or a nominal amount not specified in the special resolution but which will be determined by the application of an equation or formula set out in the special resolution (which may be referred to in the special resolution as the Disapplication Amount); or </w:t>
      </w:r>
    </w:p>
    <w:p w14:paraId="234E65D6" w14:textId="0993105F" w:rsidR="004D09A6" w:rsidRDefault="004D09A6" w:rsidP="00E23E20">
      <w:pPr>
        <w:pStyle w:val="Body"/>
        <w:numPr>
          <w:ilvl w:val="0"/>
          <w:numId w:val="50"/>
        </w:numPr>
      </w:pPr>
      <w:r>
        <w:t xml:space="preserve">as otherwise specified in the relevant resolution, and unless previously revoked, that power shall (if so </w:t>
      </w:r>
      <w:r w:rsidRPr="00BD4455">
        <w:t xml:space="preserve">provided in the special resolution) expire on the date specified in the special resolution of the </w:t>
      </w:r>
      <w:proofErr w:type="gramStart"/>
      <w:r w:rsidRPr="00BD4455">
        <w:t>Company,</w:t>
      </w:r>
      <w:r w:rsidRPr="004D09A6">
        <w:t>.</w:t>
      </w:r>
      <w:proofErr w:type="gramEnd"/>
      <w:r>
        <w:t xml:space="preserve"> The Company may before the power expires make an offer or agreement which would or might require equity securities to be allotted after it expires.</w:t>
      </w:r>
    </w:p>
    <w:p w14:paraId="325F7315" w14:textId="77777777" w:rsidR="00913144" w:rsidRDefault="00913144">
      <w:pPr>
        <w:pStyle w:val="Body"/>
        <w:rPr>
          <w:b/>
        </w:rPr>
      </w:pPr>
    </w:p>
    <w:p w14:paraId="6A043875" w14:textId="2ECE1098" w:rsidR="007C07F2" w:rsidRDefault="007C07F2">
      <w:pPr>
        <w:pStyle w:val="Body"/>
        <w:rPr>
          <w:b/>
        </w:rPr>
      </w:pPr>
      <w:r>
        <w:rPr>
          <w:b/>
        </w:rPr>
        <w:lastRenderedPageBreak/>
        <w:t>R</w:t>
      </w:r>
      <w:r w:rsidRPr="007C07F2">
        <w:rPr>
          <w:b/>
        </w:rPr>
        <w:t>ight</w:t>
      </w:r>
      <w:r>
        <w:rPr>
          <w:b/>
        </w:rPr>
        <w:t>s</w:t>
      </w:r>
      <w:r w:rsidRPr="007C07F2">
        <w:rPr>
          <w:b/>
        </w:rPr>
        <w:t xml:space="preserve"> to </w:t>
      </w:r>
      <w:r w:rsidR="00E23E20">
        <w:rPr>
          <w:b/>
        </w:rPr>
        <w:t>Share</w:t>
      </w:r>
      <w:r w:rsidRPr="007C07F2">
        <w:rPr>
          <w:b/>
        </w:rPr>
        <w:t xml:space="preserve"> in the issuer’s profits</w:t>
      </w:r>
    </w:p>
    <w:p w14:paraId="3EF6BE17" w14:textId="6FE181E2" w:rsidR="007C07F2" w:rsidRPr="007C07F2" w:rsidRDefault="007C07F2">
      <w:pPr>
        <w:pStyle w:val="Body"/>
      </w:pPr>
      <w:r w:rsidRPr="007C07F2">
        <w:t xml:space="preserve">The </w:t>
      </w:r>
      <w:r w:rsidR="00E23E20">
        <w:t>Shares</w:t>
      </w:r>
      <w:r w:rsidRPr="007C07F2">
        <w:t xml:space="preserve"> do not carry any rights to </w:t>
      </w:r>
      <w:r w:rsidR="00E23E20">
        <w:t>Share</w:t>
      </w:r>
      <w:r w:rsidRPr="007C07F2">
        <w:t xml:space="preserve"> in the Company’s profits</w:t>
      </w:r>
      <w:r>
        <w:t>.</w:t>
      </w:r>
    </w:p>
    <w:p w14:paraId="1AE74D2D" w14:textId="7F50BFD7" w:rsidR="00952C38" w:rsidRDefault="007C07F2">
      <w:pPr>
        <w:pStyle w:val="Body"/>
        <w:rPr>
          <w:b/>
        </w:rPr>
      </w:pPr>
      <w:r>
        <w:rPr>
          <w:b/>
        </w:rPr>
        <w:t>R</w:t>
      </w:r>
      <w:r w:rsidRPr="007C07F2">
        <w:rPr>
          <w:b/>
        </w:rPr>
        <w:t xml:space="preserve">ights to </w:t>
      </w:r>
      <w:r w:rsidR="00E23E20">
        <w:rPr>
          <w:b/>
        </w:rPr>
        <w:t>Share</w:t>
      </w:r>
      <w:r w:rsidRPr="007C07F2">
        <w:rPr>
          <w:b/>
        </w:rPr>
        <w:t xml:space="preserve"> in any surplus in the event of liquidation</w:t>
      </w:r>
    </w:p>
    <w:p w14:paraId="36888280" w14:textId="69E7BA4A" w:rsidR="0057323C" w:rsidRDefault="00163F14">
      <w:pPr>
        <w:pStyle w:val="Body"/>
      </w:pPr>
      <w:r>
        <w:t xml:space="preserve">The </w:t>
      </w:r>
      <w:r w:rsidR="00E23E20">
        <w:t>Shares</w:t>
      </w:r>
      <w:r>
        <w:t xml:space="preserve"> do not carry any rights to </w:t>
      </w:r>
      <w:r w:rsidR="009D176D">
        <w:t>s</w:t>
      </w:r>
      <w:r w:rsidR="00E23E20">
        <w:t>hare</w:t>
      </w:r>
      <w:r w:rsidR="00C425D8">
        <w:t xml:space="preserve"> in any surplus </w:t>
      </w:r>
      <w:r w:rsidR="00A50E0F">
        <w:t xml:space="preserve">(including </w:t>
      </w:r>
      <w:r w:rsidR="00C425D8">
        <w:t>in the event of liquidation</w:t>
      </w:r>
      <w:r w:rsidR="00A50E0F">
        <w:t xml:space="preserve">) </w:t>
      </w:r>
      <w:r>
        <w:t xml:space="preserve">other than those </w:t>
      </w:r>
      <w:r w:rsidR="00A50E0F">
        <w:t>that exist as a matter of</w:t>
      </w:r>
      <w:r>
        <w:t xml:space="preserve"> law.</w:t>
      </w:r>
      <w:r w:rsidR="0057323C">
        <w:t xml:space="preserve"> </w:t>
      </w:r>
      <w:r w:rsidR="00E23E20" w:rsidRPr="00E23E20">
        <w:t xml:space="preserve">Subject to any particular rights or limitations for the time being attached to any </w:t>
      </w:r>
      <w:r w:rsidR="00E23E20">
        <w:t>Shares</w:t>
      </w:r>
      <w:r w:rsidR="00E23E20" w:rsidRPr="00E23E20">
        <w:t>, as may be specified in th</w:t>
      </w:r>
      <w:r w:rsidR="00E23E20">
        <w:t>e</w:t>
      </w:r>
      <w:r w:rsidR="00E23E20" w:rsidRPr="00E23E20">
        <w:t xml:space="preserve"> </w:t>
      </w:r>
      <w:r w:rsidR="00E23E20">
        <w:t>Articles</w:t>
      </w:r>
      <w:r w:rsidR="00E23E20" w:rsidRPr="00E23E20">
        <w:t xml:space="preserve"> or upon which such </w:t>
      </w:r>
      <w:r w:rsidR="00E23E20">
        <w:t>Shares</w:t>
      </w:r>
      <w:r w:rsidR="00E23E20" w:rsidRPr="00E23E20">
        <w:t xml:space="preserve"> may be issued, if the Company is wound up, the assets available for distribution among the members shall be distributed to the members pro rata to the number of </w:t>
      </w:r>
      <w:r w:rsidR="00E23E20">
        <w:t>Shares</w:t>
      </w:r>
      <w:r w:rsidR="00E23E20" w:rsidRPr="00E23E20">
        <w:t xml:space="preserve"> held by each member at the time of the commencement of the winding up. If any </w:t>
      </w:r>
      <w:r w:rsidR="00E23E20">
        <w:t>Share</w:t>
      </w:r>
      <w:r w:rsidR="00E23E20" w:rsidRPr="00E23E20">
        <w:t xml:space="preserve"> is not fully paid up, that </w:t>
      </w:r>
      <w:r w:rsidR="00E23E20">
        <w:t>Share</w:t>
      </w:r>
      <w:r w:rsidR="00E23E20" w:rsidRPr="00E23E20">
        <w:t xml:space="preserve"> shall only carry the right to receive a distribution calculated </w:t>
      </w:r>
      <w:proofErr w:type="gramStart"/>
      <w:r w:rsidR="00E23E20" w:rsidRPr="00E23E20">
        <w:t>on the basis of</w:t>
      </w:r>
      <w:proofErr w:type="gramEnd"/>
      <w:r w:rsidR="00E23E20" w:rsidRPr="00E23E20">
        <w:t xml:space="preserve"> the proportion that the amount paid up on that </w:t>
      </w:r>
      <w:r w:rsidR="00E23E20">
        <w:t>Share</w:t>
      </w:r>
      <w:r w:rsidR="00E23E20" w:rsidRPr="00E23E20">
        <w:t xml:space="preserve"> bears to the issue price of that </w:t>
      </w:r>
      <w:r w:rsidR="00E23E20">
        <w:t>Share</w:t>
      </w:r>
      <w:r w:rsidR="00E23E20" w:rsidRPr="00E23E20">
        <w:t>.</w:t>
      </w:r>
    </w:p>
    <w:p w14:paraId="4F25E8FE" w14:textId="77777777" w:rsidR="00FD6EE5" w:rsidRPr="009D176D" w:rsidRDefault="007C07F2">
      <w:pPr>
        <w:pStyle w:val="Body"/>
        <w:rPr>
          <w:b/>
        </w:rPr>
      </w:pPr>
      <w:r w:rsidRPr="009D176D">
        <w:rPr>
          <w:b/>
        </w:rPr>
        <w:t>Redemption provisions</w:t>
      </w:r>
      <w:r w:rsidR="00FD6EE5" w:rsidRPr="009D176D">
        <w:rPr>
          <w:b/>
        </w:rPr>
        <w:t>.</w:t>
      </w:r>
    </w:p>
    <w:p w14:paraId="7C6829CB" w14:textId="7F94F966" w:rsidR="00FD6EE5" w:rsidRPr="009D176D" w:rsidRDefault="00FD6EE5">
      <w:pPr>
        <w:pStyle w:val="Body"/>
      </w:pPr>
      <w:r w:rsidRPr="009D176D">
        <w:t xml:space="preserve">The </w:t>
      </w:r>
      <w:r w:rsidR="00E23E20" w:rsidRPr="009D176D">
        <w:t>Shares</w:t>
      </w:r>
      <w:r w:rsidRPr="009D176D">
        <w:t xml:space="preserve"> are not redeemable.</w:t>
      </w:r>
    </w:p>
    <w:p w14:paraId="43184290" w14:textId="77777777" w:rsidR="007C07F2" w:rsidRPr="009D176D" w:rsidRDefault="007C07F2">
      <w:pPr>
        <w:pStyle w:val="Body"/>
        <w:rPr>
          <w:b/>
        </w:rPr>
      </w:pPr>
      <w:r w:rsidRPr="009D176D">
        <w:rPr>
          <w:b/>
        </w:rPr>
        <w:t>Conversion provisions</w:t>
      </w:r>
    </w:p>
    <w:p w14:paraId="14BE64DC" w14:textId="16BA933F" w:rsidR="007C07F2" w:rsidRPr="007C07F2" w:rsidRDefault="007C07F2">
      <w:pPr>
        <w:pStyle w:val="Body"/>
      </w:pPr>
      <w:r w:rsidRPr="009D176D">
        <w:t xml:space="preserve">The </w:t>
      </w:r>
      <w:r w:rsidR="00E23E20" w:rsidRPr="009D176D">
        <w:t>Shares</w:t>
      </w:r>
      <w:r w:rsidRPr="009D176D">
        <w:t xml:space="preserve"> are not convertible.</w:t>
      </w:r>
    </w:p>
    <w:sectPr w:rsidR="007C07F2" w:rsidRPr="007C07F2" w:rsidSect="00014DE4">
      <w:headerReference w:type="default" r:id="rId8"/>
      <w:footerReference w:type="default" r:id="rId9"/>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E7818" w14:textId="77777777" w:rsidR="00DF4701" w:rsidRDefault="00DF4701">
      <w:r>
        <w:separator/>
      </w:r>
    </w:p>
  </w:endnote>
  <w:endnote w:type="continuationSeparator" w:id="0">
    <w:p w14:paraId="27CFC4A7" w14:textId="77777777" w:rsidR="00DF4701" w:rsidRDefault="00DF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F371" w14:textId="77777777" w:rsidR="00A50E0F" w:rsidRDefault="0057323C">
    <w:pPr>
      <w:pStyle w:val="DocExCode"/>
    </w:pPr>
    <w:r>
      <w:fldChar w:fldCharType="begin"/>
    </w:r>
    <w:r>
      <w:instrText xml:space="preserve"> DOCPROPERTY "Document number"  \* MERGEFORMAT </w:instrText>
    </w:r>
    <w:r>
      <w:fldChar w:fldCharType="end"/>
    </w:r>
    <w:r w:rsidR="00A50E0F">
      <w:t>/</w:t>
    </w:r>
    <w:r>
      <w:fldChar w:fldCharType="begin"/>
    </w:r>
    <w:r>
      <w:instrText xml:space="preserve"> DOCPROPERTY "Version"  \* MERGEFORMAT </w:instrText>
    </w:r>
    <w:r>
      <w:fldChar w:fldCharType="end"/>
    </w:r>
    <w:r w:rsidR="00A50E0F">
      <w:t>/</w:t>
    </w:r>
    <w:r>
      <w:fldChar w:fldCharType="begin"/>
    </w:r>
    <w:r>
      <w:instrText xml:space="preserve"> DOCPROPERTY "Last Modified"  \* MERGEFORMAT </w:instrText>
    </w:r>
    <w:r>
      <w:fldChar w:fldCharType="end"/>
    </w:r>
  </w:p>
  <w:p w14:paraId="486A034D" w14:textId="77777777" w:rsidR="00A50E0F" w:rsidRDefault="00A50E0F">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B97B62">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8608" w14:textId="77777777" w:rsidR="00DF4701" w:rsidRDefault="00DF4701">
      <w:r>
        <w:separator/>
      </w:r>
    </w:p>
  </w:footnote>
  <w:footnote w:type="continuationSeparator" w:id="0">
    <w:p w14:paraId="0A36AE0E" w14:textId="77777777" w:rsidR="00DF4701" w:rsidRDefault="00DF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F787" w14:textId="0A091B49" w:rsidR="00810705" w:rsidRDefault="00810705" w:rsidP="008C6A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DE2E39A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6BE23E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4F408C"/>
    <w:multiLevelType w:val="multilevel"/>
    <w:tmpl w:val="43044738"/>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84861"/>
    <w:multiLevelType w:val="multilevel"/>
    <w:tmpl w:val="9E0A533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ECF2ACC0"/>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116B7A43"/>
    <w:multiLevelType w:val="multilevel"/>
    <w:tmpl w:val="05BEB280"/>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15:restartNumberingAfterBreak="0">
    <w:nsid w:val="16143120"/>
    <w:multiLevelType w:val="multilevel"/>
    <w:tmpl w:val="DBACECDC"/>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574CD"/>
    <w:multiLevelType w:val="singleLevel"/>
    <w:tmpl w:val="F02C78C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8" w15:restartNumberingAfterBreak="0">
    <w:nsid w:val="21783C67"/>
    <w:multiLevelType w:val="multilevel"/>
    <w:tmpl w:val="E4DED80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C0E44"/>
    <w:multiLevelType w:val="multilevel"/>
    <w:tmpl w:val="F1D659BA"/>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08B8"/>
    <w:multiLevelType w:val="multilevel"/>
    <w:tmpl w:val="025CD5C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971282"/>
    <w:multiLevelType w:val="multilevel"/>
    <w:tmpl w:val="B6FEE12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5E6172F"/>
    <w:multiLevelType w:val="singleLevel"/>
    <w:tmpl w:val="0FEE59C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3" w15:restartNumberingAfterBreak="0">
    <w:nsid w:val="267224DB"/>
    <w:multiLevelType w:val="multilevel"/>
    <w:tmpl w:val="2244EBD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33636"/>
    <w:multiLevelType w:val="hybridMultilevel"/>
    <w:tmpl w:val="C28E6824"/>
    <w:lvl w:ilvl="0" w:tplc="0809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27E81D38"/>
    <w:multiLevelType w:val="multilevel"/>
    <w:tmpl w:val="15269158"/>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C7741"/>
    <w:multiLevelType w:val="hybridMultilevel"/>
    <w:tmpl w:val="7F6E32DA"/>
    <w:lvl w:ilvl="0" w:tplc="0809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34705D16"/>
    <w:multiLevelType w:val="singleLevel"/>
    <w:tmpl w:val="182810F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15:restartNumberingAfterBreak="0">
    <w:nsid w:val="34A5631E"/>
    <w:multiLevelType w:val="multilevel"/>
    <w:tmpl w:val="016E200E"/>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7E21890"/>
    <w:multiLevelType w:val="multilevel"/>
    <w:tmpl w:val="9756512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0E8EDA40"/>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15:restartNumberingAfterBreak="0">
    <w:nsid w:val="3FBC403A"/>
    <w:multiLevelType w:val="multilevel"/>
    <w:tmpl w:val="AAD07688"/>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0F127BD"/>
    <w:multiLevelType w:val="singleLevel"/>
    <w:tmpl w:val="4D30BF90"/>
    <w:lvl w:ilvl="0">
      <w:start w:val="1"/>
      <w:numFmt w:val="decimal"/>
      <w:pStyle w:val="Numeric3"/>
      <w:lvlText w:val="%1."/>
      <w:lvlJc w:val="left"/>
      <w:pPr>
        <w:tabs>
          <w:tab w:val="num" w:pos="1361"/>
        </w:tabs>
        <w:ind w:left="1361" w:hanging="737"/>
      </w:pPr>
      <w:rPr>
        <w:rFonts w:ascii="Arial" w:hAnsi="Arial" w:hint="default"/>
        <w:b w:val="0"/>
        <w:i w:val="0"/>
        <w:sz w:val="20"/>
      </w:rPr>
    </w:lvl>
  </w:abstractNum>
  <w:abstractNum w:abstractNumId="23" w15:restartNumberingAfterBreak="0">
    <w:nsid w:val="42B14279"/>
    <w:multiLevelType w:val="multilevel"/>
    <w:tmpl w:val="05C00030"/>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4" w15:restartNumberingAfterBreak="0">
    <w:nsid w:val="455925EF"/>
    <w:multiLevelType w:val="multilevel"/>
    <w:tmpl w:val="CA04B920"/>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A723D"/>
    <w:multiLevelType w:val="multilevel"/>
    <w:tmpl w:val="3E54738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7" w15:restartNumberingAfterBreak="0">
    <w:nsid w:val="4E6D7BFA"/>
    <w:multiLevelType w:val="singleLevel"/>
    <w:tmpl w:val="D12AB34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8" w15:restartNumberingAfterBreak="0">
    <w:nsid w:val="4EC22AA7"/>
    <w:multiLevelType w:val="singleLevel"/>
    <w:tmpl w:val="5156E1C0"/>
    <w:lvl w:ilvl="0">
      <w:start w:val="1"/>
      <w:numFmt w:val="decimal"/>
      <w:pStyle w:val="Numeric4"/>
      <w:lvlText w:val="%1."/>
      <w:lvlJc w:val="left"/>
      <w:pPr>
        <w:tabs>
          <w:tab w:val="num" w:pos="2041"/>
        </w:tabs>
        <w:ind w:left="2041" w:hanging="680"/>
      </w:pPr>
      <w:rPr>
        <w:rFonts w:ascii="Arial" w:hAnsi="Arial" w:hint="default"/>
        <w:b w:val="0"/>
        <w:i w:val="0"/>
        <w:sz w:val="20"/>
      </w:rPr>
    </w:lvl>
  </w:abstractNum>
  <w:abstractNum w:abstractNumId="29" w15:restartNumberingAfterBreak="0">
    <w:nsid w:val="512A7C3C"/>
    <w:multiLevelType w:val="singleLevel"/>
    <w:tmpl w:val="014AD95C"/>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B563AE"/>
    <w:multiLevelType w:val="hybridMultilevel"/>
    <w:tmpl w:val="D2E2D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F728E2"/>
    <w:multiLevelType w:val="multilevel"/>
    <w:tmpl w:val="6946323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63D21D1"/>
    <w:multiLevelType w:val="multilevel"/>
    <w:tmpl w:val="7A6CEB5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E26FEF"/>
    <w:multiLevelType w:val="singleLevel"/>
    <w:tmpl w:val="91829C6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4" w15:restartNumberingAfterBreak="0">
    <w:nsid w:val="5AF711EC"/>
    <w:multiLevelType w:val="singleLevel"/>
    <w:tmpl w:val="D88C121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5" w15:restartNumberingAfterBreak="0">
    <w:nsid w:val="5FCB4379"/>
    <w:multiLevelType w:val="multilevel"/>
    <w:tmpl w:val="C83057A6"/>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2215270"/>
    <w:multiLevelType w:val="singleLevel"/>
    <w:tmpl w:val="1BE4455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7" w15:restartNumberingAfterBreak="0">
    <w:nsid w:val="64C47EA1"/>
    <w:multiLevelType w:val="singleLevel"/>
    <w:tmpl w:val="0F0C823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8" w15:restartNumberingAfterBreak="0">
    <w:nsid w:val="69732B53"/>
    <w:multiLevelType w:val="multilevel"/>
    <w:tmpl w:val="42DC887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7F67AA"/>
    <w:multiLevelType w:val="multilevel"/>
    <w:tmpl w:val="E9F04ED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1D1232"/>
    <w:multiLevelType w:val="multilevel"/>
    <w:tmpl w:val="43128DC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1" w15:restartNumberingAfterBreak="0">
    <w:nsid w:val="6B502D22"/>
    <w:multiLevelType w:val="multilevel"/>
    <w:tmpl w:val="9D904874"/>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EA4D3C"/>
    <w:multiLevelType w:val="multilevel"/>
    <w:tmpl w:val="ECB698F4"/>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5255B9"/>
    <w:multiLevelType w:val="singleLevel"/>
    <w:tmpl w:val="25E2D6D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4" w15:restartNumberingAfterBreak="0">
    <w:nsid w:val="7169173D"/>
    <w:multiLevelType w:val="singleLevel"/>
    <w:tmpl w:val="0A2204E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5" w15:restartNumberingAfterBreak="0">
    <w:nsid w:val="73455C00"/>
    <w:multiLevelType w:val="singleLevel"/>
    <w:tmpl w:val="63FE6A3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6" w15:restartNumberingAfterBreak="0">
    <w:nsid w:val="785A5B88"/>
    <w:multiLevelType w:val="singleLevel"/>
    <w:tmpl w:val="D5C22338"/>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7" w15:restartNumberingAfterBreak="0">
    <w:nsid w:val="79A32C2E"/>
    <w:multiLevelType w:val="multilevel"/>
    <w:tmpl w:val="1BA26CFE"/>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65706D"/>
    <w:multiLevelType w:val="multilevel"/>
    <w:tmpl w:val="EDA8037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D04878"/>
    <w:multiLevelType w:val="multilevel"/>
    <w:tmpl w:val="3D36D1A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0"/>
  </w:num>
  <w:num w:numId="2">
    <w:abstractNumId w:val="1"/>
  </w:num>
  <w:num w:numId="3">
    <w:abstractNumId w:val="35"/>
  </w:num>
  <w:num w:numId="4">
    <w:abstractNumId w:val="4"/>
  </w:num>
  <w:num w:numId="5">
    <w:abstractNumId w:val="19"/>
  </w:num>
  <w:num w:numId="6">
    <w:abstractNumId w:val="5"/>
  </w:num>
  <w:num w:numId="7">
    <w:abstractNumId w:val="29"/>
  </w:num>
  <w:num w:numId="8">
    <w:abstractNumId w:val="17"/>
  </w:num>
  <w:num w:numId="9">
    <w:abstractNumId w:val="7"/>
  </w:num>
  <w:num w:numId="10">
    <w:abstractNumId w:val="27"/>
  </w:num>
  <w:num w:numId="11">
    <w:abstractNumId w:val="20"/>
  </w:num>
  <w:num w:numId="12">
    <w:abstractNumId w:val="34"/>
  </w:num>
  <w:num w:numId="13">
    <w:abstractNumId w:val="46"/>
  </w:num>
  <w:num w:numId="14">
    <w:abstractNumId w:val="36"/>
  </w:num>
  <w:num w:numId="15">
    <w:abstractNumId w:val="45"/>
  </w:num>
  <w:num w:numId="16">
    <w:abstractNumId w:val="43"/>
  </w:num>
  <w:num w:numId="17">
    <w:abstractNumId w:val="12"/>
  </w:num>
  <w:num w:numId="18">
    <w:abstractNumId w:val="37"/>
  </w:num>
  <w:num w:numId="19">
    <w:abstractNumId w:val="44"/>
  </w:num>
  <w:num w:numId="20">
    <w:abstractNumId w:val="33"/>
  </w:num>
  <w:num w:numId="21">
    <w:abstractNumId w:val="49"/>
  </w:num>
  <w:num w:numId="22">
    <w:abstractNumId w:val="0"/>
  </w:num>
  <w:num w:numId="23">
    <w:abstractNumId w:val="18"/>
  </w:num>
  <w:num w:numId="24">
    <w:abstractNumId w:val="39"/>
  </w:num>
  <w:num w:numId="25">
    <w:abstractNumId w:val="11"/>
  </w:num>
  <w:num w:numId="26">
    <w:abstractNumId w:val="21"/>
  </w:num>
  <w:num w:numId="27">
    <w:abstractNumId w:val="42"/>
  </w:num>
  <w:num w:numId="28">
    <w:abstractNumId w:val="10"/>
  </w:num>
  <w:num w:numId="29">
    <w:abstractNumId w:val="31"/>
  </w:num>
  <w:num w:numId="30">
    <w:abstractNumId w:val="41"/>
  </w:num>
  <w:num w:numId="31">
    <w:abstractNumId w:val="32"/>
  </w:num>
  <w:num w:numId="32">
    <w:abstractNumId w:val="38"/>
  </w:num>
  <w:num w:numId="33">
    <w:abstractNumId w:val="2"/>
  </w:num>
  <w:num w:numId="34">
    <w:abstractNumId w:val="3"/>
  </w:num>
  <w:num w:numId="35">
    <w:abstractNumId w:val="15"/>
  </w:num>
  <w:num w:numId="36">
    <w:abstractNumId w:val="25"/>
  </w:num>
  <w:num w:numId="37">
    <w:abstractNumId w:val="9"/>
  </w:num>
  <w:num w:numId="38">
    <w:abstractNumId w:val="48"/>
  </w:num>
  <w:num w:numId="39">
    <w:abstractNumId w:val="47"/>
  </w:num>
  <w:num w:numId="40">
    <w:abstractNumId w:val="24"/>
  </w:num>
  <w:num w:numId="41">
    <w:abstractNumId w:val="13"/>
  </w:num>
  <w:num w:numId="42">
    <w:abstractNumId w:val="6"/>
  </w:num>
  <w:num w:numId="43">
    <w:abstractNumId w:val="8"/>
  </w:num>
  <w:num w:numId="44">
    <w:abstractNumId w:val="22"/>
  </w:num>
  <w:num w:numId="45">
    <w:abstractNumId w:val="28"/>
  </w:num>
  <w:num w:numId="46">
    <w:abstractNumId w:val="26"/>
  </w:num>
  <w:num w:numId="47">
    <w:abstractNumId w:val="23"/>
  </w:num>
  <w:num w:numId="48">
    <w:abstractNumId w:val="16"/>
  </w:num>
  <w:num w:numId="49">
    <w:abstractNumId w:val="14"/>
  </w:num>
  <w:num w:numId="50">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HouseStyle"/>
  </w:docVars>
  <w:rsids>
    <w:rsidRoot w:val="00014DE4"/>
    <w:rsid w:val="00003A07"/>
    <w:rsid w:val="00006062"/>
    <w:rsid w:val="000079AF"/>
    <w:rsid w:val="00014DE4"/>
    <w:rsid w:val="00015D3B"/>
    <w:rsid w:val="000235EF"/>
    <w:rsid w:val="00050E42"/>
    <w:rsid w:val="00053619"/>
    <w:rsid w:val="00074212"/>
    <w:rsid w:val="00087DA3"/>
    <w:rsid w:val="0009597B"/>
    <w:rsid w:val="000D00CE"/>
    <w:rsid w:val="000D5311"/>
    <w:rsid w:val="000E6686"/>
    <w:rsid w:val="000E6F20"/>
    <w:rsid w:val="000F76E9"/>
    <w:rsid w:val="00113FB8"/>
    <w:rsid w:val="00115418"/>
    <w:rsid w:val="00133276"/>
    <w:rsid w:val="0014232F"/>
    <w:rsid w:val="00152BE7"/>
    <w:rsid w:val="00163F14"/>
    <w:rsid w:val="00165A49"/>
    <w:rsid w:val="0017782D"/>
    <w:rsid w:val="001951FA"/>
    <w:rsid w:val="00195EFD"/>
    <w:rsid w:val="001965A1"/>
    <w:rsid w:val="001A0085"/>
    <w:rsid w:val="001B200B"/>
    <w:rsid w:val="001B524C"/>
    <w:rsid w:val="001D064B"/>
    <w:rsid w:val="001D51E4"/>
    <w:rsid w:val="001E53DD"/>
    <w:rsid w:val="001E6836"/>
    <w:rsid w:val="00203AAA"/>
    <w:rsid w:val="00216A2A"/>
    <w:rsid w:val="002325EF"/>
    <w:rsid w:val="00234185"/>
    <w:rsid w:val="00240DCC"/>
    <w:rsid w:val="002478AD"/>
    <w:rsid w:val="00247F62"/>
    <w:rsid w:val="00296248"/>
    <w:rsid w:val="002A4A4B"/>
    <w:rsid w:val="002B45B9"/>
    <w:rsid w:val="002D1DAD"/>
    <w:rsid w:val="002D3BE7"/>
    <w:rsid w:val="002E1DA0"/>
    <w:rsid w:val="002F1D8B"/>
    <w:rsid w:val="0031059C"/>
    <w:rsid w:val="003138B0"/>
    <w:rsid w:val="003421C6"/>
    <w:rsid w:val="00362B05"/>
    <w:rsid w:val="003731B7"/>
    <w:rsid w:val="003817F1"/>
    <w:rsid w:val="00390A7B"/>
    <w:rsid w:val="003A6EED"/>
    <w:rsid w:val="003B098D"/>
    <w:rsid w:val="003C5624"/>
    <w:rsid w:val="003C73D0"/>
    <w:rsid w:val="003D6A51"/>
    <w:rsid w:val="003E7E2E"/>
    <w:rsid w:val="003F2EE7"/>
    <w:rsid w:val="003F5078"/>
    <w:rsid w:val="003F54C8"/>
    <w:rsid w:val="00405378"/>
    <w:rsid w:val="00411838"/>
    <w:rsid w:val="00434624"/>
    <w:rsid w:val="00434F8E"/>
    <w:rsid w:val="00440282"/>
    <w:rsid w:val="00440F8D"/>
    <w:rsid w:val="004435BD"/>
    <w:rsid w:val="00460E12"/>
    <w:rsid w:val="004622DC"/>
    <w:rsid w:val="00482CE3"/>
    <w:rsid w:val="004B6D8F"/>
    <w:rsid w:val="004C09E6"/>
    <w:rsid w:val="004D09A6"/>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34A8D"/>
    <w:rsid w:val="00543720"/>
    <w:rsid w:val="00565B06"/>
    <w:rsid w:val="0057323C"/>
    <w:rsid w:val="00574131"/>
    <w:rsid w:val="00581584"/>
    <w:rsid w:val="00590D96"/>
    <w:rsid w:val="005A4CCB"/>
    <w:rsid w:val="005A4ECE"/>
    <w:rsid w:val="005B136E"/>
    <w:rsid w:val="005B3D48"/>
    <w:rsid w:val="005B4294"/>
    <w:rsid w:val="005B7049"/>
    <w:rsid w:val="005C0117"/>
    <w:rsid w:val="005C6930"/>
    <w:rsid w:val="005D6A31"/>
    <w:rsid w:val="005D7121"/>
    <w:rsid w:val="005E2072"/>
    <w:rsid w:val="00600BE5"/>
    <w:rsid w:val="0060145E"/>
    <w:rsid w:val="00602B9A"/>
    <w:rsid w:val="006030EA"/>
    <w:rsid w:val="00615E9B"/>
    <w:rsid w:val="00615FF8"/>
    <w:rsid w:val="00616D18"/>
    <w:rsid w:val="00623ED5"/>
    <w:rsid w:val="00637DFF"/>
    <w:rsid w:val="00642B39"/>
    <w:rsid w:val="00650485"/>
    <w:rsid w:val="006519F7"/>
    <w:rsid w:val="006525E5"/>
    <w:rsid w:val="006733F1"/>
    <w:rsid w:val="006743D2"/>
    <w:rsid w:val="00674B5F"/>
    <w:rsid w:val="00683C8B"/>
    <w:rsid w:val="00687D21"/>
    <w:rsid w:val="00694DB1"/>
    <w:rsid w:val="006A6CBA"/>
    <w:rsid w:val="006B4F59"/>
    <w:rsid w:val="006C412F"/>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07F2"/>
    <w:rsid w:val="007C2245"/>
    <w:rsid w:val="007C2A67"/>
    <w:rsid w:val="007D267D"/>
    <w:rsid w:val="007D7F57"/>
    <w:rsid w:val="007E1C10"/>
    <w:rsid w:val="007E6B7A"/>
    <w:rsid w:val="008003EA"/>
    <w:rsid w:val="00806A5C"/>
    <w:rsid w:val="00810705"/>
    <w:rsid w:val="008147A5"/>
    <w:rsid w:val="0082205B"/>
    <w:rsid w:val="00825140"/>
    <w:rsid w:val="008301A4"/>
    <w:rsid w:val="008324C4"/>
    <w:rsid w:val="00833DA0"/>
    <w:rsid w:val="00843527"/>
    <w:rsid w:val="0085586B"/>
    <w:rsid w:val="00863758"/>
    <w:rsid w:val="008803AA"/>
    <w:rsid w:val="00887FCD"/>
    <w:rsid w:val="00893825"/>
    <w:rsid w:val="008A38AD"/>
    <w:rsid w:val="008A40EE"/>
    <w:rsid w:val="008A659C"/>
    <w:rsid w:val="008B03C3"/>
    <w:rsid w:val="008B2D5D"/>
    <w:rsid w:val="008C6AA1"/>
    <w:rsid w:val="008C75EB"/>
    <w:rsid w:val="008D12D8"/>
    <w:rsid w:val="00913144"/>
    <w:rsid w:val="00923C8B"/>
    <w:rsid w:val="009242C0"/>
    <w:rsid w:val="00932DA7"/>
    <w:rsid w:val="00952C38"/>
    <w:rsid w:val="009752E9"/>
    <w:rsid w:val="00982120"/>
    <w:rsid w:val="009A4647"/>
    <w:rsid w:val="009A4CEF"/>
    <w:rsid w:val="009A6787"/>
    <w:rsid w:val="009D14D7"/>
    <w:rsid w:val="009D176D"/>
    <w:rsid w:val="009D3554"/>
    <w:rsid w:val="009F4D84"/>
    <w:rsid w:val="009F52C8"/>
    <w:rsid w:val="00A121B3"/>
    <w:rsid w:val="00A141AE"/>
    <w:rsid w:val="00A22B83"/>
    <w:rsid w:val="00A2448B"/>
    <w:rsid w:val="00A50E0F"/>
    <w:rsid w:val="00A51E41"/>
    <w:rsid w:val="00A600EC"/>
    <w:rsid w:val="00A60E4F"/>
    <w:rsid w:val="00A72673"/>
    <w:rsid w:val="00A728DF"/>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3340F"/>
    <w:rsid w:val="00B33848"/>
    <w:rsid w:val="00B46A1F"/>
    <w:rsid w:val="00B51CDF"/>
    <w:rsid w:val="00B632A5"/>
    <w:rsid w:val="00B74F09"/>
    <w:rsid w:val="00B84C8D"/>
    <w:rsid w:val="00B86B1A"/>
    <w:rsid w:val="00B87C40"/>
    <w:rsid w:val="00B87EA1"/>
    <w:rsid w:val="00B90F06"/>
    <w:rsid w:val="00B97B62"/>
    <w:rsid w:val="00BA44F0"/>
    <w:rsid w:val="00BB5225"/>
    <w:rsid w:val="00BC4C4C"/>
    <w:rsid w:val="00BD4455"/>
    <w:rsid w:val="00BD7138"/>
    <w:rsid w:val="00BF25BE"/>
    <w:rsid w:val="00BF6739"/>
    <w:rsid w:val="00C0013A"/>
    <w:rsid w:val="00C00FB2"/>
    <w:rsid w:val="00C017A8"/>
    <w:rsid w:val="00C10BB6"/>
    <w:rsid w:val="00C27663"/>
    <w:rsid w:val="00C33CD6"/>
    <w:rsid w:val="00C37DBF"/>
    <w:rsid w:val="00C425D8"/>
    <w:rsid w:val="00C51796"/>
    <w:rsid w:val="00C77A29"/>
    <w:rsid w:val="00C81A43"/>
    <w:rsid w:val="00C82EB5"/>
    <w:rsid w:val="00C8302F"/>
    <w:rsid w:val="00CD71B5"/>
    <w:rsid w:val="00CE13A1"/>
    <w:rsid w:val="00CE3523"/>
    <w:rsid w:val="00CE6DD8"/>
    <w:rsid w:val="00D047CE"/>
    <w:rsid w:val="00D05BA7"/>
    <w:rsid w:val="00D070A0"/>
    <w:rsid w:val="00D155FF"/>
    <w:rsid w:val="00D266B2"/>
    <w:rsid w:val="00D60C45"/>
    <w:rsid w:val="00D652DD"/>
    <w:rsid w:val="00D72DFA"/>
    <w:rsid w:val="00D75C65"/>
    <w:rsid w:val="00DC18FB"/>
    <w:rsid w:val="00DC5282"/>
    <w:rsid w:val="00DD10A5"/>
    <w:rsid w:val="00DD4698"/>
    <w:rsid w:val="00DD5F98"/>
    <w:rsid w:val="00DF4701"/>
    <w:rsid w:val="00DF4E13"/>
    <w:rsid w:val="00E10763"/>
    <w:rsid w:val="00E118C5"/>
    <w:rsid w:val="00E12BAA"/>
    <w:rsid w:val="00E23E20"/>
    <w:rsid w:val="00E248BF"/>
    <w:rsid w:val="00E33738"/>
    <w:rsid w:val="00E34455"/>
    <w:rsid w:val="00E41987"/>
    <w:rsid w:val="00E47DF5"/>
    <w:rsid w:val="00E5155C"/>
    <w:rsid w:val="00E65C36"/>
    <w:rsid w:val="00E74D37"/>
    <w:rsid w:val="00E75E9F"/>
    <w:rsid w:val="00E8083A"/>
    <w:rsid w:val="00EA1326"/>
    <w:rsid w:val="00EB114E"/>
    <w:rsid w:val="00EC1F06"/>
    <w:rsid w:val="00EC285E"/>
    <w:rsid w:val="00ED045D"/>
    <w:rsid w:val="00EF0AFB"/>
    <w:rsid w:val="00EF5437"/>
    <w:rsid w:val="00F0384E"/>
    <w:rsid w:val="00F2618A"/>
    <w:rsid w:val="00F348AF"/>
    <w:rsid w:val="00F41205"/>
    <w:rsid w:val="00F456B3"/>
    <w:rsid w:val="00F504A9"/>
    <w:rsid w:val="00F55769"/>
    <w:rsid w:val="00F569B6"/>
    <w:rsid w:val="00F60953"/>
    <w:rsid w:val="00F75917"/>
    <w:rsid w:val="00F90AAB"/>
    <w:rsid w:val="00FA11F2"/>
    <w:rsid w:val="00FC11A8"/>
    <w:rsid w:val="00FC4994"/>
    <w:rsid w:val="00FD4883"/>
    <w:rsid w:val="00FD6EE5"/>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22CD5"/>
  <w15:docId w15:val="{85A33A67-4AAF-4E1B-918B-20E9A326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Cs w:val="24"/>
      <w:lang w:eastAsia="en-US"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link w:val="Body1Char"/>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link w:val="Level3Char"/>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19"/>
      </w:numPr>
      <w:spacing w:after="140" w:line="290" w:lineRule="auto"/>
      <w:jc w:val="both"/>
    </w:pPr>
    <w:rPr>
      <w:kern w:val="20"/>
      <w:szCs w:val="20"/>
    </w:rPr>
  </w:style>
  <w:style w:type="paragraph" w:customStyle="1" w:styleId="alpha3">
    <w:name w:val="alpha 3"/>
    <w:basedOn w:val="Normal"/>
    <w:pPr>
      <w:numPr>
        <w:numId w:val="8"/>
      </w:numPr>
      <w:spacing w:after="140" w:line="290" w:lineRule="auto"/>
      <w:jc w:val="both"/>
    </w:pPr>
    <w:rPr>
      <w:kern w:val="20"/>
      <w:szCs w:val="20"/>
    </w:rPr>
  </w:style>
  <w:style w:type="paragraph" w:customStyle="1" w:styleId="alpha4">
    <w:name w:val="alpha 4"/>
    <w:basedOn w:val="Normal"/>
    <w:pPr>
      <w:numPr>
        <w:numId w:val="9"/>
      </w:numPr>
      <w:spacing w:after="140" w:line="290" w:lineRule="auto"/>
      <w:jc w:val="both"/>
    </w:pPr>
    <w:rPr>
      <w:kern w:val="20"/>
      <w:szCs w:val="20"/>
    </w:rPr>
  </w:style>
  <w:style w:type="paragraph" w:customStyle="1" w:styleId="alpha5">
    <w:name w:val="alpha 5"/>
    <w:basedOn w:val="Normal"/>
    <w:pPr>
      <w:numPr>
        <w:numId w:val="10"/>
      </w:numPr>
      <w:spacing w:after="140" w:line="290" w:lineRule="auto"/>
      <w:jc w:val="both"/>
    </w:pPr>
    <w:rPr>
      <w:kern w:val="20"/>
      <w:szCs w:val="20"/>
    </w:rPr>
  </w:style>
  <w:style w:type="paragraph" w:customStyle="1" w:styleId="alpha6">
    <w:name w:val="alpha 6"/>
    <w:basedOn w:val="Normal"/>
    <w:pPr>
      <w:numPr>
        <w:numId w:val="11"/>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szCs w:val="20"/>
    </w:rPr>
  </w:style>
  <w:style w:type="paragraph" w:customStyle="1" w:styleId="roman2">
    <w:name w:val="roman 2"/>
    <w:basedOn w:val="Normal"/>
    <w:pPr>
      <w:numPr>
        <w:numId w:val="13"/>
      </w:numPr>
      <w:spacing w:after="140" w:line="290" w:lineRule="auto"/>
      <w:jc w:val="both"/>
    </w:pPr>
    <w:rPr>
      <w:kern w:val="20"/>
      <w:szCs w:val="20"/>
    </w:rPr>
  </w:style>
  <w:style w:type="paragraph" w:customStyle="1" w:styleId="roman3">
    <w:name w:val="roman 3"/>
    <w:basedOn w:val="Normal"/>
    <w:pPr>
      <w:numPr>
        <w:numId w:val="14"/>
      </w:numPr>
      <w:spacing w:after="140" w:line="290" w:lineRule="auto"/>
      <w:jc w:val="both"/>
    </w:pPr>
    <w:rPr>
      <w:kern w:val="20"/>
      <w:szCs w:val="20"/>
    </w:rPr>
  </w:style>
  <w:style w:type="paragraph" w:customStyle="1" w:styleId="roman4">
    <w:name w:val="roman 4"/>
    <w:basedOn w:val="Normal"/>
    <w:pPr>
      <w:numPr>
        <w:numId w:val="20"/>
      </w:numPr>
      <w:spacing w:after="140" w:line="290" w:lineRule="auto"/>
      <w:jc w:val="both"/>
    </w:pPr>
    <w:rPr>
      <w:kern w:val="20"/>
      <w:szCs w:val="20"/>
    </w:rPr>
  </w:style>
  <w:style w:type="paragraph" w:customStyle="1" w:styleId="roman5">
    <w:name w:val="roman 5"/>
    <w:basedOn w:val="Normal"/>
    <w:pPr>
      <w:numPr>
        <w:numId w:val="15"/>
      </w:numPr>
      <w:spacing w:after="140" w:line="290" w:lineRule="auto"/>
      <w:jc w:val="both"/>
    </w:pPr>
    <w:rPr>
      <w:kern w:val="20"/>
      <w:szCs w:val="20"/>
    </w:rPr>
  </w:style>
  <w:style w:type="paragraph" w:customStyle="1" w:styleId="roman6">
    <w:name w:val="roman 6"/>
    <w:basedOn w:val="Normal"/>
    <w:pPr>
      <w:numPr>
        <w:numId w:val="16"/>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link w:val="CommentTextChar"/>
    <w:semiHidden/>
    <w:rPr>
      <w:szCs w:val="20"/>
    </w:rPr>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szCs w:val="20"/>
    </w:rPr>
  </w:style>
  <w:style w:type="paragraph" w:customStyle="1" w:styleId="zFSco-names">
    <w:name w:val="zFSco-names"/>
    <w:basedOn w:val="Normal"/>
    <w:next w:val="zFSand"/>
    <w:pPr>
      <w:spacing w:before="120" w:after="120" w:line="290" w:lineRule="auto"/>
      <w:jc w:val="center"/>
    </w:pPr>
    <w:rPr>
      <w:rFonts w:eastAsia="SimSun"/>
      <w:kern w:val="24"/>
      <w:sz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szCs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szCs w:val="20"/>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 w:type="paragraph" w:customStyle="1" w:styleId="Numeric3">
    <w:name w:val="Numeric 3"/>
    <w:basedOn w:val="Normal"/>
    <w:rsid w:val="00163F14"/>
    <w:pPr>
      <w:numPr>
        <w:numId w:val="44"/>
      </w:numPr>
      <w:tabs>
        <w:tab w:val="clear" w:pos="1361"/>
        <w:tab w:val="num" w:pos="2041"/>
      </w:tabs>
      <w:spacing w:after="120" w:line="336" w:lineRule="auto"/>
      <w:ind w:left="2041" w:hanging="680"/>
    </w:pPr>
    <w:rPr>
      <w:w w:val="105"/>
      <w:kern w:val="20"/>
      <w:szCs w:val="20"/>
    </w:rPr>
  </w:style>
  <w:style w:type="paragraph" w:customStyle="1" w:styleId="Numeric4">
    <w:name w:val="Numeric 4"/>
    <w:basedOn w:val="Numeric3"/>
    <w:rsid w:val="00163F14"/>
    <w:pPr>
      <w:numPr>
        <w:numId w:val="45"/>
      </w:numPr>
      <w:tabs>
        <w:tab w:val="clear" w:pos="2041"/>
        <w:tab w:val="num" w:pos="2722"/>
      </w:tabs>
      <w:ind w:left="2722" w:hanging="681"/>
    </w:pPr>
  </w:style>
  <w:style w:type="paragraph" w:customStyle="1" w:styleId="NotesOnly">
    <w:name w:val="Notes Only"/>
    <w:basedOn w:val="Normal"/>
    <w:rsid w:val="00163F14"/>
    <w:pPr>
      <w:tabs>
        <w:tab w:val="left" w:pos="624"/>
      </w:tabs>
      <w:spacing w:before="180"/>
      <w:jc w:val="both"/>
    </w:pPr>
    <w:rPr>
      <w:w w:val="105"/>
      <w:kern w:val="20"/>
      <w:szCs w:val="20"/>
    </w:rPr>
  </w:style>
  <w:style w:type="paragraph" w:customStyle="1" w:styleId="Notesonlyfooter">
    <w:name w:val="Notes only footer"/>
    <w:basedOn w:val="BodyText"/>
    <w:rsid w:val="00163F14"/>
    <w:pPr>
      <w:pBdr>
        <w:top w:val="single" w:sz="4" w:space="1" w:color="auto"/>
      </w:pBdr>
      <w:spacing w:after="0" w:line="336" w:lineRule="auto"/>
      <w:ind w:left="567"/>
      <w:jc w:val="both"/>
    </w:pPr>
    <w:rPr>
      <w:w w:val="105"/>
      <w:kern w:val="20"/>
      <w:sz w:val="17"/>
      <w:szCs w:val="20"/>
    </w:rPr>
  </w:style>
  <w:style w:type="paragraph" w:customStyle="1" w:styleId="ListArabic4">
    <w:name w:val="List Arabic 4"/>
    <w:basedOn w:val="Normal"/>
    <w:next w:val="Normal"/>
    <w:rsid w:val="00163F14"/>
    <w:pPr>
      <w:numPr>
        <w:ilvl w:val="3"/>
        <w:numId w:val="47"/>
      </w:numPr>
      <w:tabs>
        <w:tab w:val="left" w:pos="76"/>
      </w:tabs>
      <w:spacing w:after="200" w:line="288" w:lineRule="auto"/>
      <w:jc w:val="both"/>
    </w:pPr>
    <w:rPr>
      <w:rFonts w:ascii="CG Times" w:hAnsi="CG Times"/>
      <w:sz w:val="22"/>
      <w:szCs w:val="20"/>
    </w:rPr>
  </w:style>
  <w:style w:type="paragraph" w:customStyle="1" w:styleId="ListLegal1">
    <w:name w:val="List Legal 1"/>
    <w:basedOn w:val="Normal"/>
    <w:next w:val="BodyText"/>
    <w:rsid w:val="00163F14"/>
    <w:pPr>
      <w:numPr>
        <w:numId w:val="47"/>
      </w:numPr>
      <w:tabs>
        <w:tab w:val="left" w:pos="22"/>
      </w:tabs>
      <w:spacing w:after="200" w:line="288" w:lineRule="auto"/>
      <w:jc w:val="both"/>
    </w:pPr>
    <w:rPr>
      <w:rFonts w:ascii="CG Times" w:hAnsi="CG Times"/>
      <w:sz w:val="22"/>
      <w:szCs w:val="20"/>
    </w:rPr>
  </w:style>
  <w:style w:type="paragraph" w:customStyle="1" w:styleId="ListLegal2">
    <w:name w:val="List Legal 2"/>
    <w:basedOn w:val="Normal"/>
    <w:next w:val="BodyText"/>
    <w:rsid w:val="00163F14"/>
    <w:pPr>
      <w:numPr>
        <w:ilvl w:val="1"/>
        <w:numId w:val="47"/>
      </w:numPr>
      <w:tabs>
        <w:tab w:val="left" w:pos="22"/>
      </w:tabs>
      <w:spacing w:after="200" w:line="288" w:lineRule="auto"/>
      <w:jc w:val="both"/>
    </w:pPr>
    <w:rPr>
      <w:rFonts w:ascii="CG Times" w:hAnsi="CG Times"/>
      <w:sz w:val="22"/>
      <w:szCs w:val="20"/>
    </w:rPr>
  </w:style>
  <w:style w:type="paragraph" w:customStyle="1" w:styleId="ListLegal3">
    <w:name w:val="List Legal 3"/>
    <w:basedOn w:val="Normal"/>
    <w:next w:val="BodyText2"/>
    <w:rsid w:val="00163F14"/>
    <w:pPr>
      <w:numPr>
        <w:ilvl w:val="2"/>
        <w:numId w:val="47"/>
      </w:numPr>
      <w:tabs>
        <w:tab w:val="left" w:pos="40"/>
      </w:tabs>
      <w:spacing w:after="200" w:line="288" w:lineRule="auto"/>
      <w:jc w:val="both"/>
    </w:pPr>
    <w:rPr>
      <w:rFonts w:ascii="CG Times" w:hAnsi="CG Times"/>
      <w:sz w:val="22"/>
      <w:szCs w:val="20"/>
    </w:rPr>
  </w:style>
  <w:style w:type="paragraph" w:customStyle="1" w:styleId="Notesnumeric">
    <w:name w:val="Notes numeric"/>
    <w:basedOn w:val="Normal"/>
    <w:rsid w:val="00163F14"/>
    <w:pPr>
      <w:numPr>
        <w:numId w:val="46"/>
      </w:numPr>
      <w:spacing w:before="180" w:line="336" w:lineRule="auto"/>
      <w:jc w:val="both"/>
    </w:pPr>
    <w:rPr>
      <w:w w:val="105"/>
      <w:kern w:val="20"/>
      <w:szCs w:val="20"/>
    </w:rPr>
  </w:style>
  <w:style w:type="table" w:styleId="TableGrid">
    <w:name w:val="Table Grid"/>
    <w:basedOn w:val="TableNormal"/>
    <w:rsid w:val="00163F14"/>
    <w:pPr>
      <w:spacing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3F14"/>
    <w:pPr>
      <w:spacing w:after="120"/>
    </w:pPr>
  </w:style>
  <w:style w:type="paragraph" w:styleId="BodyText2">
    <w:name w:val="Body Text 2"/>
    <w:basedOn w:val="Normal"/>
    <w:rsid w:val="00163F14"/>
    <w:pPr>
      <w:spacing w:after="120" w:line="480" w:lineRule="auto"/>
    </w:pPr>
  </w:style>
  <w:style w:type="paragraph" w:styleId="BalloonText">
    <w:name w:val="Balloon Text"/>
    <w:basedOn w:val="Normal"/>
    <w:link w:val="BalloonTextChar"/>
    <w:rsid w:val="00C425D8"/>
    <w:rPr>
      <w:rFonts w:ascii="Segoe UI" w:hAnsi="Segoe UI" w:cs="Segoe UI"/>
      <w:sz w:val="18"/>
      <w:szCs w:val="18"/>
    </w:rPr>
  </w:style>
  <w:style w:type="character" w:customStyle="1" w:styleId="BalloonTextChar">
    <w:name w:val="Balloon Text Char"/>
    <w:basedOn w:val="DefaultParagraphFont"/>
    <w:link w:val="BalloonText"/>
    <w:rsid w:val="00C425D8"/>
    <w:rPr>
      <w:rFonts w:ascii="Segoe UI" w:hAnsi="Segoe UI" w:cs="Segoe UI"/>
      <w:sz w:val="18"/>
      <w:szCs w:val="18"/>
      <w:lang w:eastAsia="en-US" w:bidi="ar-SA"/>
    </w:rPr>
  </w:style>
  <w:style w:type="character" w:customStyle="1" w:styleId="Body1Char">
    <w:name w:val="Body 1 Char"/>
    <w:link w:val="Body1"/>
    <w:locked/>
    <w:rsid w:val="00A72673"/>
    <w:rPr>
      <w:rFonts w:ascii="Arial" w:hAnsi="Arial"/>
      <w:kern w:val="20"/>
      <w:szCs w:val="24"/>
      <w:lang w:eastAsia="en-US" w:bidi="ar-SA"/>
    </w:rPr>
  </w:style>
  <w:style w:type="character" w:customStyle="1" w:styleId="BodyChar">
    <w:name w:val="Body Char"/>
    <w:link w:val="Body"/>
    <w:locked/>
    <w:rsid w:val="00A72673"/>
    <w:rPr>
      <w:rFonts w:ascii="Arial" w:hAnsi="Arial"/>
      <w:kern w:val="20"/>
      <w:szCs w:val="24"/>
      <w:lang w:eastAsia="en-US" w:bidi="ar-SA"/>
    </w:rPr>
  </w:style>
  <w:style w:type="character" w:customStyle="1" w:styleId="Level3Char">
    <w:name w:val="Level 3 Char"/>
    <w:link w:val="Level3"/>
    <w:locked/>
    <w:rsid w:val="00B86B1A"/>
    <w:rPr>
      <w:rFonts w:ascii="Arial" w:hAnsi="Arial"/>
      <w:kern w:val="20"/>
      <w:szCs w:val="28"/>
      <w:lang w:eastAsia="en-US" w:bidi="ar-SA"/>
    </w:rPr>
  </w:style>
  <w:style w:type="paragraph" w:customStyle="1" w:styleId="Default">
    <w:name w:val="Default"/>
    <w:rsid w:val="004D09A6"/>
    <w:pPr>
      <w:autoSpaceDE w:val="0"/>
      <w:autoSpaceDN w:val="0"/>
      <w:adjustRightInd w:val="0"/>
    </w:pPr>
    <w:rPr>
      <w:rFonts w:ascii="Verdana" w:eastAsiaTheme="minorHAnsi" w:hAnsi="Verdana" w:cs="Verdana"/>
      <w:color w:val="000000"/>
      <w:sz w:val="24"/>
      <w:szCs w:val="24"/>
      <w:lang w:eastAsia="en-US" w:bidi="ar-SA"/>
    </w:rPr>
  </w:style>
  <w:style w:type="character" w:styleId="CommentReference">
    <w:name w:val="annotation reference"/>
    <w:basedOn w:val="DefaultParagraphFont"/>
    <w:semiHidden/>
    <w:unhideWhenUsed/>
    <w:rsid w:val="00913144"/>
    <w:rPr>
      <w:sz w:val="16"/>
      <w:szCs w:val="16"/>
    </w:rPr>
  </w:style>
  <w:style w:type="paragraph" w:styleId="CommentSubject">
    <w:name w:val="annotation subject"/>
    <w:basedOn w:val="CommentText"/>
    <w:next w:val="CommentText"/>
    <w:link w:val="CommentSubjectChar"/>
    <w:semiHidden/>
    <w:unhideWhenUsed/>
    <w:rsid w:val="00913144"/>
    <w:rPr>
      <w:b/>
      <w:bCs/>
    </w:rPr>
  </w:style>
  <w:style w:type="character" w:customStyle="1" w:styleId="CommentTextChar">
    <w:name w:val="Comment Text Char"/>
    <w:basedOn w:val="DefaultParagraphFont"/>
    <w:link w:val="CommentText"/>
    <w:semiHidden/>
    <w:rsid w:val="00913144"/>
    <w:rPr>
      <w:rFonts w:ascii="Arial" w:hAnsi="Arial"/>
      <w:lang w:eastAsia="en-US" w:bidi="ar-SA"/>
    </w:rPr>
  </w:style>
  <w:style w:type="character" w:customStyle="1" w:styleId="CommentSubjectChar">
    <w:name w:val="Comment Subject Char"/>
    <w:basedOn w:val="CommentTextChar"/>
    <w:link w:val="CommentSubject"/>
    <w:semiHidden/>
    <w:rsid w:val="00913144"/>
    <w:rPr>
      <w:rFonts w:ascii="Arial" w:hAnsi="Arial"/>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B934-B515-4A7B-ACE3-2F56CF05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HouseStyle.dotx</Template>
  <TotalTime>0</TotalTime>
  <Pages>3</Pages>
  <Words>1390</Words>
  <Characters>6380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7755</CharactersWithSpaces>
  <SharedDoc>false</SharedDoc>
  <HLinks>
    <vt:vector size="12" baseType="variant">
      <vt:variant>
        <vt:i4>7208972</vt:i4>
      </vt:variant>
      <vt:variant>
        <vt:i4>3</vt:i4>
      </vt:variant>
      <vt:variant>
        <vt:i4>0</vt:i4>
      </vt:variant>
      <vt:variant>
        <vt:i4>5</vt:i4>
      </vt:variant>
      <vt:variant>
        <vt:lpwstr>http://www.opsi.gov.uk/si/si2009/uksi_20090388_en_1</vt:lpwstr>
      </vt:variant>
      <vt:variant>
        <vt:lpwstr/>
      </vt:variant>
      <vt:variant>
        <vt:i4>1703968</vt:i4>
      </vt:variant>
      <vt:variant>
        <vt:i4>0</vt:i4>
      </vt:variant>
      <vt:variant>
        <vt:i4>0</vt:i4>
      </vt:variant>
      <vt:variant>
        <vt:i4>5</vt:i4>
      </vt:variant>
      <vt:variant>
        <vt:lpwstr>http://linkdoc/documentumservices/ilink.asp?Docbase=docbase4_prod&amp;DocNumber=A00072915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Eleanor Bridden</cp:lastModifiedBy>
  <cp:revision>5</cp:revision>
  <cp:lastPrinted>2009-10-09T11:50:00Z</cp:lastPrinted>
  <dcterms:created xsi:type="dcterms:W3CDTF">2020-04-23T15:03:00Z</dcterms:created>
  <dcterms:modified xsi:type="dcterms:W3CDTF">2020-04-27T15:16:00Z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
  </property>
  <property fmtid="{D5CDD505-2E9C-101B-9397-08002B2CF9AE}" pid="16" name="Version">
    <vt:lpwstr/>
  </property>
  <property fmtid="{D5CDD505-2E9C-101B-9397-08002B2CF9AE}" pid="17" name="Last Modified">
    <vt:lpwstr/>
  </property>
  <property fmtid="{D5CDD505-2E9C-101B-9397-08002B2CF9AE}" pid="18" name="Mode">
    <vt:lpwstr>Export</vt:lpwstr>
  </property>
  <property fmtid="{D5CDD505-2E9C-101B-9397-08002B2CF9AE}" pid="19" name="DEDocumentLocation">
    <vt:lpwstr>C:\Users\lreeve\Documents\Documentum\Export\NSM share summary rights LR9.2.docx</vt:lpwstr>
  </property>
  <property fmtid="{D5CDD505-2E9C-101B-9397-08002B2CF9AE}" pid="20" name="Client Code">
    <vt:lpwstr/>
  </property>
  <property fmtid="{D5CDD505-2E9C-101B-9397-08002B2CF9AE}" pid="21" name="Matter Number">
    <vt:lpwstr/>
  </property>
  <property fmtid="{D5CDD505-2E9C-101B-9397-08002B2CF9AE}" pid="22" name="ObjectID">
    <vt:lpwstr/>
  </property>
</Properties>
</file>