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43F1E" w14:textId="21F070A9" w:rsidR="00F36A67" w:rsidRPr="005D33C2" w:rsidRDefault="00D42004" w:rsidP="005D33C2">
      <w:pPr>
        <w:pBdr>
          <w:top w:val="nil"/>
          <w:left w:val="nil"/>
          <w:bottom w:val="nil"/>
          <w:right w:val="nil"/>
          <w:between w:val="nil"/>
        </w:pBdr>
        <w:tabs>
          <w:tab w:val="left" w:pos="1169"/>
        </w:tabs>
        <w:spacing w:after="240" w:line="276" w:lineRule="auto"/>
        <w:ind w:left="1168" w:right="1287"/>
        <w:jc w:val="center"/>
        <w:rPr>
          <w:rFonts w:ascii="Urbanist" w:eastAsia="Urbanist" w:hAnsi="Urbanist" w:cs="Urbanist"/>
          <w:color w:val="000000"/>
        </w:rPr>
      </w:pPr>
      <w:r w:rsidRPr="005D33C2">
        <w:rPr>
          <w:rFonts w:ascii="Urbanist" w:eastAsia="Urbanist" w:hAnsi="Urbanist" w:cs="Urbanist"/>
          <w:b/>
          <w:color w:val="6864E7"/>
          <w:sz w:val="32"/>
          <w:szCs w:val="32"/>
        </w:rPr>
        <w:t>Nombre d’actions et droits de vote</w:t>
      </w:r>
    </w:p>
    <w:p w14:paraId="57903A58" w14:textId="5A50E185" w:rsidR="00D42004" w:rsidRPr="005D33C2" w:rsidRDefault="00D42004" w:rsidP="005D33C2">
      <w:pPr>
        <w:pBdr>
          <w:top w:val="nil"/>
          <w:left w:val="nil"/>
          <w:bottom w:val="nil"/>
          <w:right w:val="nil"/>
          <w:between w:val="nil"/>
        </w:pBdr>
        <w:tabs>
          <w:tab w:val="left" w:pos="1169"/>
        </w:tabs>
        <w:spacing w:after="360" w:line="276" w:lineRule="auto"/>
        <w:ind w:left="1168" w:right="1287"/>
        <w:jc w:val="center"/>
        <w:rPr>
          <w:rFonts w:ascii="Urbanist" w:eastAsia="Urbanist" w:hAnsi="Urbanist" w:cs="Urbanist"/>
          <w:b/>
          <w:color w:val="6864E7"/>
          <w:sz w:val="32"/>
          <w:szCs w:val="32"/>
        </w:rPr>
      </w:pPr>
      <w:r w:rsidRPr="005D33C2">
        <w:rPr>
          <w:rFonts w:ascii="Urbanist" w:eastAsia="Urbanist" w:hAnsi="Urbanist" w:cs="Urbanist"/>
          <w:b/>
          <w:color w:val="6864E7"/>
          <w:sz w:val="32"/>
          <w:szCs w:val="32"/>
        </w:rPr>
        <w:t>Date d’arrêté : 31/05/2026</w:t>
      </w:r>
      <w:r w:rsidR="005D33C2" w:rsidRPr="005D33C2">
        <w:rPr>
          <w:rFonts w:ascii="Urbanist" w:eastAsia="Urbanist" w:hAnsi="Urbanist" w:cs="Urbanist"/>
          <w:b/>
          <w:color w:val="6864E7"/>
          <w:sz w:val="32"/>
          <w:szCs w:val="32"/>
        </w:rPr>
        <w:br/>
      </w:r>
      <w:r w:rsidRPr="005D33C2">
        <w:rPr>
          <w:rFonts w:ascii="Urbanist" w:eastAsia="Urbanist" w:hAnsi="Urbanist" w:cs="Urbanist"/>
          <w:b/>
          <w:color w:val="6864E7"/>
          <w:sz w:val="32"/>
          <w:szCs w:val="32"/>
        </w:rPr>
        <w:t>Article 223-16 du règlement général de l’AMF</w:t>
      </w:r>
    </w:p>
    <w:p w14:paraId="0E67E313" w14:textId="5DC2F89A" w:rsidR="005D33C2" w:rsidRDefault="005D33C2" w:rsidP="005D33C2">
      <w:pPr>
        <w:widowControl/>
        <w:spacing w:before="120" w:after="120" w:line="276" w:lineRule="auto"/>
        <w:jc w:val="both"/>
        <w:rPr>
          <w:rFonts w:ascii="Urbanist" w:eastAsia="Urbanist" w:hAnsi="Urbanist" w:cs="Urbanist"/>
          <w:color w:val="280364"/>
        </w:rPr>
      </w:pPr>
      <w:r>
        <w:rPr>
          <w:rFonts w:ascii="Urbanist" w:eastAsia="Urbanist" w:hAnsi="Urbanist" w:cs="Urbanist"/>
          <w:color w:val="280364"/>
        </w:rPr>
        <w:t xml:space="preserve">Information réglementée – Paris, le </w:t>
      </w:r>
      <w:r w:rsidR="00B46653">
        <w:rPr>
          <w:rFonts w:ascii="Urbanist" w:eastAsia="Urbanist" w:hAnsi="Urbanist" w:cs="Urbanist"/>
          <w:color w:val="280364"/>
        </w:rPr>
        <w:t>5</w:t>
      </w:r>
      <w:r>
        <w:rPr>
          <w:rFonts w:ascii="Urbanist" w:eastAsia="Urbanist" w:hAnsi="Urbanist" w:cs="Urbanist"/>
          <w:color w:val="280364"/>
        </w:rPr>
        <w:t xml:space="preserve"> juin 2026.</w:t>
      </w:r>
    </w:p>
    <w:p w14:paraId="08D72AD0" w14:textId="20483D64" w:rsidR="005D33C2" w:rsidRDefault="005D33C2" w:rsidP="005D33C2">
      <w:pPr>
        <w:widowControl/>
        <w:spacing w:before="120" w:after="120" w:line="276" w:lineRule="auto"/>
        <w:jc w:val="both"/>
        <w:rPr>
          <w:rFonts w:ascii="Urbanist" w:eastAsia="Urbanist" w:hAnsi="Urbanist" w:cs="Urbanist"/>
          <w:color w:val="280364"/>
        </w:rPr>
      </w:pPr>
      <w:r>
        <w:rPr>
          <w:rFonts w:ascii="Urbanist" w:eastAsia="Urbanist" w:hAnsi="Urbanist" w:cs="Urbanist"/>
          <w:color w:val="280364"/>
        </w:rPr>
        <w:t>C</w:t>
      </w:r>
      <w:r w:rsidRPr="005D33C2">
        <w:rPr>
          <w:rFonts w:ascii="Urbanist" w:eastAsia="Urbanist" w:hAnsi="Urbanist" w:cs="Urbanist"/>
          <w:color w:val="280364"/>
        </w:rPr>
        <w:t>onformément aux articles L. 233-8 II du Code de commerce et 223-16 du Règlement général de l'AMF, HiPay Group publi</w:t>
      </w:r>
      <w:r>
        <w:rPr>
          <w:rFonts w:ascii="Urbanist" w:eastAsia="Urbanist" w:hAnsi="Urbanist" w:cs="Urbanist"/>
          <w:color w:val="280364"/>
        </w:rPr>
        <w:t xml:space="preserve">e </w:t>
      </w:r>
      <w:r w:rsidRPr="005D33C2">
        <w:rPr>
          <w:rFonts w:ascii="Urbanist" w:eastAsia="Urbanist" w:hAnsi="Urbanist" w:cs="Urbanist"/>
          <w:color w:val="280364"/>
        </w:rPr>
        <w:t>les informations relatives à la structure de son capital au 31 mai 2026 : 6</w:t>
      </w:r>
      <w:r>
        <w:rPr>
          <w:rFonts w:ascii="Urbanist" w:eastAsia="Urbanist" w:hAnsi="Urbanist" w:cs="Urbanist"/>
          <w:color w:val="280364"/>
        </w:rPr>
        <w:t> </w:t>
      </w:r>
      <w:r w:rsidRPr="005D33C2">
        <w:rPr>
          <w:rFonts w:ascii="Urbanist" w:eastAsia="Urbanist" w:hAnsi="Urbanist" w:cs="Urbanist"/>
          <w:color w:val="280364"/>
        </w:rPr>
        <w:t>313</w:t>
      </w:r>
      <w:r>
        <w:rPr>
          <w:rFonts w:ascii="Urbanist" w:eastAsia="Urbanist" w:hAnsi="Urbanist" w:cs="Urbanist"/>
          <w:color w:val="280364"/>
        </w:rPr>
        <w:t> </w:t>
      </w:r>
      <w:r w:rsidRPr="005D33C2">
        <w:rPr>
          <w:rFonts w:ascii="Urbanist" w:eastAsia="Urbanist" w:hAnsi="Urbanist" w:cs="Urbanist"/>
          <w:color w:val="280364"/>
        </w:rPr>
        <w:t>974</w:t>
      </w:r>
      <w:r>
        <w:rPr>
          <w:rFonts w:ascii="Urbanist" w:eastAsia="Urbanist" w:hAnsi="Urbanist" w:cs="Urbanist"/>
          <w:color w:val="280364"/>
        </w:rPr>
        <w:t> </w:t>
      </w:r>
      <w:r w:rsidRPr="005D33C2">
        <w:rPr>
          <w:rFonts w:ascii="Urbanist" w:eastAsia="Urbanist" w:hAnsi="Urbanist" w:cs="Urbanist"/>
          <w:color w:val="280364"/>
        </w:rPr>
        <w:t>actions composant le capital social, 6 880 211 droits de vote théoriques et 6 872 931 droits de vote exerçables en assemblée générale.</w:t>
      </w:r>
    </w:p>
    <w:p w14:paraId="1B460192" w14:textId="77777777" w:rsidR="005D33C2" w:rsidRPr="005D33C2" w:rsidRDefault="005D33C2" w:rsidP="005D33C2">
      <w:pPr>
        <w:widowControl/>
        <w:spacing w:before="120" w:after="120" w:line="276" w:lineRule="auto"/>
        <w:jc w:val="both"/>
        <w:rPr>
          <w:rFonts w:ascii="Urbanist" w:eastAsia="Urbanist" w:hAnsi="Urbanist" w:cs="Urbanist"/>
          <w:color w:val="280364"/>
        </w:rPr>
      </w:pPr>
    </w:p>
    <w:tbl>
      <w:tblPr>
        <w:tblW w:w="6220" w:type="dxa"/>
        <w:jc w:val="center"/>
        <w:tblCellMar>
          <w:left w:w="70" w:type="dxa"/>
          <w:right w:w="70" w:type="dxa"/>
        </w:tblCellMar>
        <w:tblLook w:val="04A0" w:firstRow="1" w:lastRow="0" w:firstColumn="1" w:lastColumn="0" w:noHBand="0" w:noVBand="1"/>
      </w:tblPr>
      <w:tblGrid>
        <w:gridCol w:w="4960"/>
        <w:gridCol w:w="1260"/>
      </w:tblGrid>
      <w:tr w:rsidR="005D33C2" w:rsidRPr="005D33C2" w14:paraId="6DC8EFF8" w14:textId="77777777" w:rsidTr="005D33C2">
        <w:trPr>
          <w:trHeight w:val="300"/>
          <w:jc w:val="center"/>
        </w:trPr>
        <w:tc>
          <w:tcPr>
            <w:tcW w:w="4960" w:type="dxa"/>
            <w:tcBorders>
              <w:top w:val="single" w:sz="4" w:space="0" w:color="auto"/>
              <w:left w:val="nil"/>
              <w:bottom w:val="nil"/>
              <w:right w:val="nil"/>
            </w:tcBorders>
            <w:noWrap/>
            <w:vAlign w:val="bottom"/>
            <w:hideMark/>
          </w:tcPr>
          <w:p w14:paraId="1DE7B2EA" w14:textId="77777777" w:rsidR="005D33C2" w:rsidRPr="005D33C2" w:rsidRDefault="005D33C2" w:rsidP="005D33C2">
            <w:pPr>
              <w:widowControl/>
              <w:rPr>
                <w:rFonts w:ascii="Calibri" w:eastAsia="Times New Roman" w:hAnsi="Calibri" w:cs="Calibri"/>
                <w:b/>
                <w:bCs/>
              </w:rPr>
            </w:pPr>
            <w:r w:rsidRPr="005D33C2">
              <w:rPr>
                <w:rFonts w:ascii="Calibri" w:eastAsia="Times New Roman" w:hAnsi="Calibri" w:cs="Calibri"/>
                <w:b/>
                <w:bCs/>
              </w:rPr>
              <w:t>Actions du capital</w:t>
            </w:r>
          </w:p>
        </w:tc>
        <w:tc>
          <w:tcPr>
            <w:tcW w:w="1260" w:type="dxa"/>
            <w:tcBorders>
              <w:top w:val="single" w:sz="4" w:space="0" w:color="auto"/>
              <w:left w:val="nil"/>
              <w:bottom w:val="nil"/>
              <w:right w:val="nil"/>
            </w:tcBorders>
            <w:noWrap/>
            <w:vAlign w:val="bottom"/>
            <w:hideMark/>
          </w:tcPr>
          <w:p w14:paraId="5CC78868" w14:textId="77777777" w:rsidR="005D33C2" w:rsidRPr="005D33C2" w:rsidRDefault="005D33C2" w:rsidP="005D33C2">
            <w:pPr>
              <w:widowControl/>
              <w:jc w:val="right"/>
              <w:rPr>
                <w:rFonts w:ascii="Calibri" w:eastAsia="Times New Roman" w:hAnsi="Calibri" w:cs="Calibri"/>
                <w:b/>
                <w:bCs/>
              </w:rPr>
            </w:pPr>
            <w:r w:rsidRPr="005D33C2">
              <w:rPr>
                <w:rFonts w:ascii="Calibri" w:eastAsia="Times New Roman" w:hAnsi="Calibri" w:cs="Calibri"/>
                <w:b/>
                <w:bCs/>
              </w:rPr>
              <w:t xml:space="preserve">6 313 974 </w:t>
            </w:r>
          </w:p>
        </w:tc>
      </w:tr>
      <w:tr w:rsidR="005D33C2" w:rsidRPr="005D33C2" w14:paraId="3F7F5B7A" w14:textId="77777777" w:rsidTr="005D33C2">
        <w:trPr>
          <w:trHeight w:val="315"/>
          <w:jc w:val="center"/>
        </w:trPr>
        <w:tc>
          <w:tcPr>
            <w:tcW w:w="4960" w:type="dxa"/>
            <w:tcBorders>
              <w:top w:val="nil"/>
              <w:left w:val="nil"/>
              <w:bottom w:val="single" w:sz="8" w:space="0" w:color="auto"/>
              <w:right w:val="nil"/>
            </w:tcBorders>
            <w:noWrap/>
            <w:vAlign w:val="bottom"/>
            <w:hideMark/>
          </w:tcPr>
          <w:p w14:paraId="50AAF667" w14:textId="77777777" w:rsidR="005D33C2" w:rsidRPr="005D33C2" w:rsidRDefault="005D33C2" w:rsidP="005D33C2">
            <w:pPr>
              <w:widowControl/>
              <w:rPr>
                <w:rFonts w:ascii="Calibri" w:eastAsia="Times New Roman" w:hAnsi="Calibri" w:cs="Calibri"/>
                <w:color w:val="000000"/>
              </w:rPr>
            </w:pPr>
            <w:r w:rsidRPr="005D33C2">
              <w:rPr>
                <w:rFonts w:ascii="Calibri" w:eastAsia="Times New Roman" w:hAnsi="Calibri" w:cs="Calibri"/>
                <w:color w:val="000000"/>
              </w:rPr>
              <w:t>Droits de vote théoriques</w:t>
            </w:r>
          </w:p>
        </w:tc>
        <w:tc>
          <w:tcPr>
            <w:tcW w:w="1260" w:type="dxa"/>
            <w:tcBorders>
              <w:top w:val="nil"/>
              <w:left w:val="nil"/>
              <w:bottom w:val="single" w:sz="8" w:space="0" w:color="auto"/>
              <w:right w:val="nil"/>
            </w:tcBorders>
            <w:noWrap/>
            <w:vAlign w:val="bottom"/>
            <w:hideMark/>
          </w:tcPr>
          <w:p w14:paraId="49BBAA41" w14:textId="77777777" w:rsidR="005D33C2" w:rsidRPr="005D33C2" w:rsidRDefault="005D33C2" w:rsidP="005D33C2">
            <w:pPr>
              <w:widowControl/>
              <w:jc w:val="right"/>
              <w:rPr>
                <w:rFonts w:ascii="Calibri" w:eastAsia="Times New Roman" w:hAnsi="Calibri" w:cs="Calibri"/>
                <w:color w:val="000000"/>
              </w:rPr>
            </w:pPr>
            <w:r w:rsidRPr="005D33C2">
              <w:rPr>
                <w:rFonts w:ascii="Calibri" w:eastAsia="Times New Roman" w:hAnsi="Calibri" w:cs="Calibri"/>
                <w:color w:val="000000"/>
              </w:rPr>
              <w:t xml:space="preserve">6 880 211 </w:t>
            </w:r>
          </w:p>
        </w:tc>
      </w:tr>
      <w:tr w:rsidR="005D33C2" w:rsidRPr="005D33C2" w14:paraId="15351058" w14:textId="77777777" w:rsidTr="005D33C2">
        <w:trPr>
          <w:trHeight w:val="300"/>
          <w:jc w:val="center"/>
        </w:trPr>
        <w:tc>
          <w:tcPr>
            <w:tcW w:w="4960" w:type="dxa"/>
            <w:tcBorders>
              <w:top w:val="nil"/>
              <w:left w:val="nil"/>
              <w:bottom w:val="nil"/>
              <w:right w:val="nil"/>
            </w:tcBorders>
            <w:noWrap/>
            <w:vAlign w:val="bottom"/>
            <w:hideMark/>
          </w:tcPr>
          <w:p w14:paraId="13E52553" w14:textId="77777777" w:rsidR="005D33C2" w:rsidRPr="005D33C2" w:rsidRDefault="005D33C2" w:rsidP="005D33C2">
            <w:pPr>
              <w:widowControl/>
              <w:jc w:val="right"/>
              <w:rPr>
                <w:rFonts w:ascii="Calibri" w:eastAsia="Times New Roman" w:hAnsi="Calibri" w:cs="Calibri"/>
                <w:color w:val="000000"/>
              </w:rPr>
            </w:pPr>
          </w:p>
        </w:tc>
        <w:tc>
          <w:tcPr>
            <w:tcW w:w="1260" w:type="dxa"/>
            <w:tcBorders>
              <w:top w:val="nil"/>
              <w:left w:val="nil"/>
              <w:bottom w:val="nil"/>
              <w:right w:val="nil"/>
            </w:tcBorders>
            <w:noWrap/>
            <w:vAlign w:val="bottom"/>
            <w:hideMark/>
          </w:tcPr>
          <w:p w14:paraId="58D59800" w14:textId="77777777" w:rsidR="005D33C2" w:rsidRPr="005D33C2" w:rsidRDefault="005D33C2" w:rsidP="005D33C2">
            <w:pPr>
              <w:widowControl/>
              <w:rPr>
                <w:rFonts w:ascii="Times New Roman" w:eastAsia="Times New Roman" w:hAnsi="Times New Roman" w:cs="Times New Roman"/>
                <w:sz w:val="20"/>
                <w:szCs w:val="20"/>
              </w:rPr>
            </w:pPr>
          </w:p>
        </w:tc>
      </w:tr>
      <w:tr w:rsidR="005D33C2" w:rsidRPr="005D33C2" w14:paraId="3C6548BF" w14:textId="77777777" w:rsidTr="005D33C2">
        <w:trPr>
          <w:trHeight w:val="300"/>
          <w:jc w:val="center"/>
        </w:trPr>
        <w:tc>
          <w:tcPr>
            <w:tcW w:w="4960" w:type="dxa"/>
            <w:tcBorders>
              <w:top w:val="single" w:sz="4" w:space="0" w:color="auto"/>
              <w:left w:val="nil"/>
              <w:bottom w:val="single" w:sz="4" w:space="0" w:color="auto"/>
              <w:right w:val="nil"/>
            </w:tcBorders>
            <w:noWrap/>
            <w:vAlign w:val="bottom"/>
            <w:hideMark/>
          </w:tcPr>
          <w:p w14:paraId="2FC0B95D" w14:textId="77777777" w:rsidR="005D33C2" w:rsidRPr="005D33C2" w:rsidRDefault="005D33C2" w:rsidP="005D33C2">
            <w:pPr>
              <w:widowControl/>
              <w:rPr>
                <w:rFonts w:ascii="Calibri" w:eastAsia="Times New Roman" w:hAnsi="Calibri" w:cs="Calibri"/>
                <w:color w:val="000000"/>
              </w:rPr>
            </w:pPr>
            <w:r w:rsidRPr="005D33C2">
              <w:rPr>
                <w:rFonts w:ascii="Calibri" w:eastAsia="Times New Roman" w:hAnsi="Calibri" w:cs="Calibri"/>
                <w:color w:val="000000"/>
              </w:rPr>
              <w:t>Actions privées de droits de vote (autodétention)</w:t>
            </w:r>
          </w:p>
        </w:tc>
        <w:tc>
          <w:tcPr>
            <w:tcW w:w="1260" w:type="dxa"/>
            <w:tcBorders>
              <w:top w:val="single" w:sz="4" w:space="0" w:color="auto"/>
              <w:left w:val="nil"/>
              <w:bottom w:val="single" w:sz="4" w:space="0" w:color="auto"/>
              <w:right w:val="nil"/>
            </w:tcBorders>
            <w:noWrap/>
            <w:vAlign w:val="bottom"/>
            <w:hideMark/>
          </w:tcPr>
          <w:p w14:paraId="0F9403DF" w14:textId="77777777" w:rsidR="005D33C2" w:rsidRPr="005D33C2" w:rsidRDefault="005D33C2" w:rsidP="005D33C2">
            <w:pPr>
              <w:widowControl/>
              <w:jc w:val="right"/>
              <w:rPr>
                <w:rFonts w:ascii="Calibri" w:eastAsia="Times New Roman" w:hAnsi="Calibri" w:cs="Calibri"/>
                <w:color w:val="000000"/>
              </w:rPr>
            </w:pPr>
            <w:r w:rsidRPr="005D33C2">
              <w:rPr>
                <w:rFonts w:ascii="Calibri" w:eastAsia="Times New Roman" w:hAnsi="Calibri" w:cs="Calibri"/>
                <w:color w:val="000000"/>
              </w:rPr>
              <w:t xml:space="preserve">7 280 </w:t>
            </w:r>
          </w:p>
        </w:tc>
      </w:tr>
      <w:tr w:rsidR="005D33C2" w:rsidRPr="005D33C2" w14:paraId="57947327" w14:textId="77777777" w:rsidTr="005D33C2">
        <w:trPr>
          <w:trHeight w:val="300"/>
          <w:jc w:val="center"/>
        </w:trPr>
        <w:tc>
          <w:tcPr>
            <w:tcW w:w="4960" w:type="dxa"/>
            <w:tcBorders>
              <w:top w:val="nil"/>
              <w:left w:val="nil"/>
              <w:bottom w:val="nil"/>
              <w:right w:val="nil"/>
            </w:tcBorders>
            <w:noWrap/>
            <w:vAlign w:val="bottom"/>
            <w:hideMark/>
          </w:tcPr>
          <w:p w14:paraId="14A48CD9" w14:textId="77777777" w:rsidR="005D33C2" w:rsidRPr="005D33C2" w:rsidRDefault="005D33C2" w:rsidP="005D33C2">
            <w:pPr>
              <w:widowControl/>
              <w:jc w:val="right"/>
              <w:rPr>
                <w:rFonts w:ascii="Calibri" w:eastAsia="Times New Roman" w:hAnsi="Calibri" w:cs="Calibri"/>
                <w:color w:val="000000"/>
              </w:rPr>
            </w:pPr>
          </w:p>
        </w:tc>
        <w:tc>
          <w:tcPr>
            <w:tcW w:w="1260" w:type="dxa"/>
            <w:tcBorders>
              <w:top w:val="nil"/>
              <w:left w:val="nil"/>
              <w:bottom w:val="nil"/>
              <w:right w:val="nil"/>
            </w:tcBorders>
            <w:noWrap/>
            <w:vAlign w:val="bottom"/>
            <w:hideMark/>
          </w:tcPr>
          <w:p w14:paraId="07BC22EC" w14:textId="77777777" w:rsidR="005D33C2" w:rsidRPr="005D33C2" w:rsidRDefault="005D33C2" w:rsidP="005D33C2">
            <w:pPr>
              <w:widowControl/>
              <w:rPr>
                <w:rFonts w:ascii="Times New Roman" w:eastAsia="Times New Roman" w:hAnsi="Times New Roman" w:cs="Times New Roman"/>
                <w:sz w:val="20"/>
                <w:szCs w:val="20"/>
              </w:rPr>
            </w:pPr>
          </w:p>
        </w:tc>
      </w:tr>
      <w:tr w:rsidR="005D33C2" w:rsidRPr="005D33C2" w14:paraId="42F0B939" w14:textId="77777777" w:rsidTr="005D33C2">
        <w:trPr>
          <w:trHeight w:val="315"/>
          <w:jc w:val="center"/>
        </w:trPr>
        <w:tc>
          <w:tcPr>
            <w:tcW w:w="4960" w:type="dxa"/>
            <w:tcBorders>
              <w:top w:val="single" w:sz="4" w:space="0" w:color="auto"/>
              <w:left w:val="nil"/>
              <w:bottom w:val="single" w:sz="8" w:space="0" w:color="auto"/>
              <w:right w:val="nil"/>
            </w:tcBorders>
            <w:shd w:val="clear" w:color="000000" w:fill="6666FF"/>
            <w:noWrap/>
            <w:vAlign w:val="bottom"/>
            <w:hideMark/>
          </w:tcPr>
          <w:p w14:paraId="75127A94" w14:textId="77777777" w:rsidR="005D33C2" w:rsidRPr="005D33C2" w:rsidRDefault="005D33C2" w:rsidP="005D33C2">
            <w:pPr>
              <w:widowControl/>
              <w:rPr>
                <w:rFonts w:ascii="Calibri" w:eastAsia="Times New Roman" w:hAnsi="Calibri" w:cs="Calibri"/>
                <w:b/>
                <w:bCs/>
                <w:color w:val="FFFFFF"/>
              </w:rPr>
            </w:pPr>
            <w:r w:rsidRPr="005D33C2">
              <w:rPr>
                <w:rFonts w:ascii="Calibri" w:eastAsia="Times New Roman" w:hAnsi="Calibri" w:cs="Calibri"/>
                <w:b/>
                <w:bCs/>
                <w:color w:val="FFFFFF"/>
              </w:rPr>
              <w:t>Droits de vote exerçables</w:t>
            </w:r>
          </w:p>
        </w:tc>
        <w:tc>
          <w:tcPr>
            <w:tcW w:w="1260" w:type="dxa"/>
            <w:tcBorders>
              <w:top w:val="single" w:sz="4" w:space="0" w:color="auto"/>
              <w:left w:val="nil"/>
              <w:bottom w:val="single" w:sz="8" w:space="0" w:color="auto"/>
              <w:right w:val="nil"/>
            </w:tcBorders>
            <w:shd w:val="clear" w:color="000000" w:fill="6666FF"/>
            <w:noWrap/>
            <w:vAlign w:val="bottom"/>
            <w:hideMark/>
          </w:tcPr>
          <w:p w14:paraId="60F570AE" w14:textId="77777777" w:rsidR="005D33C2" w:rsidRPr="005D33C2" w:rsidRDefault="005D33C2" w:rsidP="005D33C2">
            <w:pPr>
              <w:widowControl/>
              <w:jc w:val="right"/>
              <w:rPr>
                <w:rFonts w:ascii="Calibri" w:eastAsia="Times New Roman" w:hAnsi="Calibri" w:cs="Calibri"/>
                <w:b/>
                <w:bCs/>
                <w:color w:val="FFFFFF"/>
              </w:rPr>
            </w:pPr>
            <w:r w:rsidRPr="005D33C2">
              <w:rPr>
                <w:rFonts w:ascii="Calibri" w:eastAsia="Times New Roman" w:hAnsi="Calibri" w:cs="Calibri"/>
                <w:b/>
                <w:bCs/>
                <w:color w:val="FFFFFF"/>
              </w:rPr>
              <w:t xml:space="preserve">6 872 931 </w:t>
            </w:r>
          </w:p>
        </w:tc>
      </w:tr>
    </w:tbl>
    <w:p w14:paraId="25579C3E" w14:textId="77777777" w:rsidR="005D33C2" w:rsidRDefault="005D33C2" w:rsidP="005D33C2">
      <w:pPr>
        <w:widowControl/>
        <w:spacing w:before="200" w:after="80" w:line="276" w:lineRule="auto"/>
        <w:jc w:val="both"/>
        <w:rPr>
          <w:rFonts w:ascii="Urbanist" w:eastAsia="Urbanist" w:hAnsi="Urbanist" w:cs="Urbanist"/>
          <w:color w:val="280364"/>
        </w:rPr>
      </w:pPr>
    </w:p>
    <w:p w14:paraId="5E958200" w14:textId="04CF7211" w:rsidR="005D33C2" w:rsidRPr="005D33C2" w:rsidRDefault="005D33C2" w:rsidP="005D33C2">
      <w:pPr>
        <w:widowControl/>
        <w:spacing w:before="200" w:after="80" w:line="276" w:lineRule="auto"/>
        <w:jc w:val="both"/>
        <w:rPr>
          <w:rFonts w:ascii="Urbanist" w:eastAsia="Urbanist" w:hAnsi="Urbanist" w:cs="Urbanist"/>
          <w:color w:val="280364"/>
        </w:rPr>
      </w:pPr>
      <w:r w:rsidRPr="005D33C2">
        <w:rPr>
          <w:rFonts w:ascii="Urbanist" w:eastAsia="Urbanist" w:hAnsi="Urbanist" w:cs="Urbanist"/>
          <w:color w:val="280364"/>
        </w:rPr>
        <w:t>Ces informations tiennent compte des opérations réalisées dans le cadre du programme de rachat d'actions autorisé par l'assemblée générale du 4 juin 2025 et mis en œuvre par le conseil d'administration le 23 février 2026.</w:t>
      </w:r>
    </w:p>
    <w:p w14:paraId="1CC29D0D" w14:textId="77777777" w:rsidR="005D33C2" w:rsidRPr="00543DE4" w:rsidRDefault="005D33C2">
      <w:pPr>
        <w:pBdr>
          <w:top w:val="nil"/>
          <w:left w:val="nil"/>
          <w:bottom w:val="nil"/>
          <w:right w:val="nil"/>
          <w:between w:val="nil"/>
        </w:pBdr>
        <w:rPr>
          <w:rFonts w:ascii="Urbanist" w:eastAsia="Urbanist" w:hAnsi="Urbanist" w:cs="Urbanist"/>
          <w:sz w:val="16"/>
          <w:szCs w:val="16"/>
        </w:rPr>
      </w:pPr>
    </w:p>
    <w:p w14:paraId="1449103C" w14:textId="77777777" w:rsidR="00F36A67" w:rsidRPr="00543DE4" w:rsidRDefault="00000000">
      <w:pPr>
        <w:pBdr>
          <w:top w:val="nil"/>
          <w:left w:val="nil"/>
          <w:bottom w:val="nil"/>
          <w:right w:val="nil"/>
          <w:between w:val="nil"/>
        </w:pBdr>
        <w:spacing w:before="6"/>
        <w:rPr>
          <w:rFonts w:ascii="Urbanist" w:eastAsia="Urbanist" w:hAnsi="Urbanist" w:cs="Urbanist"/>
          <w:color w:val="000000"/>
          <w:sz w:val="11"/>
          <w:szCs w:val="11"/>
        </w:rPr>
      </w:pPr>
      <w:r>
        <w:rPr>
          <w:rFonts w:ascii="Urbanist" w:hAnsi="Urbanist"/>
          <w:noProof/>
        </w:rPr>
        <mc:AlternateContent>
          <mc:Choice Requires="wps">
            <w:drawing>
              <wp:anchor distT="0" distB="0" distL="0" distR="0" simplePos="0" relativeHeight="251658240" behindDoc="0" locked="0" layoutInCell="1" hidden="0" allowOverlap="1" wp14:anchorId="1455D3AF" wp14:editId="3BA6A43D">
                <wp:simplePos x="0" y="0"/>
                <wp:positionH relativeFrom="column">
                  <wp:posOffset>-12699</wp:posOffset>
                </wp:positionH>
                <wp:positionV relativeFrom="paragraph">
                  <wp:posOffset>38100</wp:posOffset>
                </wp:positionV>
                <wp:extent cx="5755005" cy="60325"/>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2492310" y="3773968"/>
                          <a:ext cx="5707380" cy="12065"/>
                        </a:xfrm>
                        <a:prstGeom prst="rect">
                          <a:avLst/>
                        </a:prstGeom>
                        <a:solidFill>
                          <a:srgbClr val="BABBBB"/>
                        </a:solidFill>
                        <a:ln>
                          <a:noFill/>
                        </a:ln>
                      </wps:spPr>
                      <wps:txbx>
                        <w:txbxContent>
                          <w:p w14:paraId="5295092C" w14:textId="77777777" w:rsidR="00F36A67" w:rsidRDefault="00F36A67">
                            <w:pPr>
                              <w:textDirection w:val="btLr"/>
                            </w:pPr>
                          </w:p>
                        </w:txbxContent>
                      </wps:txbx>
                      <wps:bodyPr spcFirstLastPara="1" wrap="square" lIns="91425" tIns="91425" rIns="91425" bIns="91425" anchor="ctr" anchorCtr="0">
                        <a:noAutofit/>
                      </wps:bodyPr>
                    </wps:wsp>
                  </a:graphicData>
                </a:graphic>
              </wp:anchor>
            </w:drawing>
          </mc:Choice>
          <mc:Fallback>
            <w:pict>
              <v:rect w14:anchorId="1455D3AF" id="Rectangle 1" o:spid="_x0000_s1026" style="position:absolute;margin-left:-1pt;margin-top:3pt;width:453.15pt;height:4.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" fillcolor="#babbbb" stroked="f">
                <v:textbox inset="2.53958mm,2.53958mm,2.53958mm,2.53958mm">
                  <w:txbxContent>
                    <w:p w14:paraId="5295092C" w14:textId="77777777" w:rsidR="00F36A67" w:rsidRDefault="00F36A67">
                      <w:pPr>
                        <w:textDirection w:val="btLr"/>
                      </w:pPr>
                    </w:p>
                  </w:txbxContent>
                </v:textbox>
                <w10:wrap type="topAndBottom"/>
              </v:rect>
            </w:pict>
          </mc:Fallback>
        </mc:AlternateContent>
      </w:r>
    </w:p>
    <w:p w14:paraId="52009C8C" w14:textId="77777777" w:rsidR="00F36A67" w:rsidRPr="00543DE4" w:rsidRDefault="00F36A67">
      <w:pPr>
        <w:spacing w:before="94"/>
        <w:rPr>
          <w:rFonts w:ascii="Urbanist" w:eastAsia="Urbanist" w:hAnsi="Urbanist" w:cs="Urbanist"/>
          <w:sz w:val="18"/>
          <w:szCs w:val="18"/>
        </w:rPr>
      </w:pPr>
    </w:p>
    <w:p w14:paraId="7C827D06" w14:textId="77777777" w:rsidR="00F36A67" w:rsidRPr="00543DE4" w:rsidRDefault="00000000">
      <w:pPr>
        <w:widowControl/>
        <w:spacing w:line="276" w:lineRule="auto"/>
        <w:jc w:val="both"/>
        <w:rPr>
          <w:rFonts w:ascii="Urbanist" w:eastAsia="Urbanist" w:hAnsi="Urbanist" w:cs="Urbanist"/>
          <w:b/>
          <w:color w:val="6864E7"/>
        </w:rPr>
      </w:pPr>
      <w:r>
        <w:rPr>
          <w:rFonts w:ascii="Urbanist" w:eastAsia="Urbanist" w:hAnsi="Urbanist" w:cs="Urbanist"/>
          <w:b/>
          <w:color w:val="6864E7"/>
        </w:rPr>
        <w:t>À propos de HiPay</w:t>
      </w:r>
    </w:p>
    <w:p w14:paraId="35034B0A" w14:textId="77777777" w:rsidR="00F36A67" w:rsidRPr="00543DE4" w:rsidRDefault="00000000">
      <w:pPr>
        <w:widowControl/>
        <w:spacing w:line="276" w:lineRule="auto"/>
        <w:jc w:val="both"/>
        <w:rPr>
          <w:rFonts w:ascii="Urbanist" w:eastAsia="Urbanist" w:hAnsi="Urbanist" w:cs="Urbanist"/>
          <w:color w:val="280364"/>
        </w:rPr>
      </w:pPr>
      <w:r>
        <w:rPr>
          <w:rFonts w:ascii="Urbanist" w:eastAsia="Urbanist" w:hAnsi="Urbanist" w:cs="Urbanist"/>
          <w:color w:val="280364"/>
        </w:rPr>
        <w:t>HiPay est un prestataire de services de paiement global. En exploitant la puissance des données de paiement, nous participons à la croissance de nos marchands en leur donnant une vision à 360° de leurs activités.</w:t>
      </w:r>
    </w:p>
    <w:p w14:paraId="5A627BD9" w14:textId="77777777" w:rsidR="00F36A67" w:rsidRPr="00543DE4" w:rsidRDefault="00F36A67">
      <w:pPr>
        <w:widowControl/>
        <w:spacing w:line="276" w:lineRule="auto"/>
        <w:jc w:val="both"/>
        <w:rPr>
          <w:rFonts w:ascii="Urbanist" w:eastAsia="Urbanist" w:hAnsi="Urbanist" w:cs="Urbanist"/>
          <w:color w:val="280364"/>
          <w:sz w:val="16"/>
          <w:szCs w:val="16"/>
        </w:rPr>
      </w:pPr>
    </w:p>
    <w:p w14:paraId="0F361D09" w14:textId="77777777" w:rsidR="00F36A67" w:rsidRPr="00543DE4" w:rsidRDefault="00000000">
      <w:pPr>
        <w:widowControl/>
        <w:spacing w:line="276" w:lineRule="auto"/>
        <w:jc w:val="both"/>
        <w:rPr>
          <w:rFonts w:ascii="Urbanist" w:eastAsia="Urbanist" w:hAnsi="Urbanist" w:cs="Urbanist"/>
          <w:color w:val="280364"/>
        </w:rPr>
      </w:pPr>
      <w:r>
        <w:rPr>
          <w:rFonts w:ascii="Urbanist" w:eastAsia="Urbanist" w:hAnsi="Urbanist" w:cs="Urbanist"/>
          <w:color w:val="280364"/>
        </w:rPr>
        <w:t>Plus d’informations sur</w:t>
      </w:r>
      <w:r>
        <w:rPr>
          <w:rFonts w:ascii="Urbanist" w:eastAsia="Urbanist" w:hAnsi="Urbanist" w:cs="Urbanist"/>
        </w:rPr>
        <w:t xml:space="preserve"> </w:t>
      </w:r>
      <w:hyperlink r:id="rId8">
        <w:r w:rsidR="00F36A67">
          <w:rPr>
            <w:rFonts w:ascii="Urbanist" w:eastAsia="Urbanist" w:hAnsi="Urbanist" w:cs="Urbanist"/>
            <w:color w:val="6864E7"/>
            <w:u w:val="single"/>
          </w:rPr>
          <w:t>hipay.com</w:t>
        </w:r>
      </w:hyperlink>
      <w:r>
        <w:rPr>
          <w:rFonts w:ascii="Urbanist" w:eastAsia="Urbanist" w:hAnsi="Urbanist" w:cs="Urbanist"/>
        </w:rPr>
        <w:t xml:space="preserve">. </w:t>
      </w:r>
      <w:r>
        <w:rPr>
          <w:rFonts w:ascii="Urbanist" w:eastAsia="Urbanist" w:hAnsi="Urbanist" w:cs="Urbanist"/>
          <w:color w:val="280364"/>
        </w:rPr>
        <w:t xml:space="preserve">Retrouvez-nous également sur </w:t>
      </w:r>
      <w:hyperlink r:id="rId9">
        <w:r w:rsidR="00F36A67">
          <w:rPr>
            <w:rFonts w:ascii="Urbanist" w:eastAsia="Urbanist" w:hAnsi="Urbanist" w:cs="Urbanist"/>
            <w:color w:val="6864E7"/>
            <w:u w:val="single"/>
          </w:rPr>
          <w:t>LinkedIn</w:t>
        </w:r>
      </w:hyperlink>
      <w:r>
        <w:rPr>
          <w:rFonts w:ascii="Urbanist" w:eastAsia="Urbanist" w:hAnsi="Urbanist" w:cs="Urbanist"/>
          <w:color w:val="280364"/>
        </w:rPr>
        <w:t>.</w:t>
      </w:r>
    </w:p>
    <w:p w14:paraId="2A0496A5" w14:textId="77777777" w:rsidR="00F36A67" w:rsidRPr="00543DE4" w:rsidRDefault="00000000">
      <w:pPr>
        <w:widowControl/>
        <w:spacing w:line="276" w:lineRule="auto"/>
        <w:jc w:val="both"/>
        <w:rPr>
          <w:rFonts w:ascii="Urbanist" w:eastAsia="Urbanist" w:hAnsi="Urbanist" w:cs="Urbanist"/>
          <w:color w:val="280364"/>
          <w:sz w:val="18"/>
          <w:szCs w:val="18"/>
        </w:rPr>
      </w:pPr>
      <w:r>
        <w:rPr>
          <w:rFonts w:ascii="Urbanist" w:eastAsia="Urbanist" w:hAnsi="Urbanist" w:cs="Urbanist"/>
          <w:color w:val="280364"/>
        </w:rPr>
        <w:t>HiPay Group est coté sur Euronext Growth (code ISIN : FR0012821916 – ALHYP).</w:t>
      </w:r>
    </w:p>
    <w:p w14:paraId="0D141083" w14:textId="77777777" w:rsidR="00F36A67" w:rsidRPr="00543DE4" w:rsidRDefault="00F36A67">
      <w:pPr>
        <w:pBdr>
          <w:top w:val="nil"/>
          <w:left w:val="nil"/>
          <w:bottom w:val="nil"/>
          <w:right w:val="nil"/>
          <w:between w:val="nil"/>
        </w:pBdr>
        <w:spacing w:before="2"/>
        <w:rPr>
          <w:rFonts w:ascii="Urbanist" w:eastAsia="Urbanist" w:hAnsi="Urbanist" w:cs="Urbanist"/>
          <w:color w:val="000000"/>
          <w:sz w:val="14"/>
          <w:szCs w:val="14"/>
        </w:rPr>
      </w:pPr>
    </w:p>
    <w:tbl>
      <w:tblPr>
        <w:tblStyle w:val="a0"/>
        <w:tblW w:w="3900" w:type="dxa"/>
        <w:tblInd w:w="0" w:type="dxa"/>
        <w:tblLayout w:type="fixed"/>
        <w:tblLook w:val="0000" w:firstRow="0" w:lastRow="0" w:firstColumn="0" w:lastColumn="0" w:noHBand="0" w:noVBand="0"/>
      </w:tblPr>
      <w:tblGrid>
        <w:gridCol w:w="3900"/>
      </w:tblGrid>
      <w:tr w:rsidR="00F36A67" w:rsidRPr="00543DE4" w14:paraId="454222C4" w14:textId="77777777">
        <w:trPr>
          <w:trHeight w:val="440"/>
        </w:trPr>
        <w:tc>
          <w:tcPr>
            <w:tcW w:w="3900" w:type="dxa"/>
          </w:tcPr>
          <w:p w14:paraId="55CA1987" w14:textId="77777777" w:rsidR="00F36A67" w:rsidRPr="00543DE4" w:rsidRDefault="00000000">
            <w:pPr>
              <w:spacing w:before="119"/>
              <w:ind w:right="-35"/>
              <w:rPr>
                <w:rFonts w:ascii="Urbanist" w:eastAsia="Urbanist" w:hAnsi="Urbanist" w:cs="Urbanist"/>
                <w:b/>
                <w:color w:val="6864E7"/>
              </w:rPr>
            </w:pPr>
            <w:r>
              <w:rPr>
                <w:rFonts w:ascii="Urbanist" w:eastAsia="Urbanist" w:hAnsi="Urbanist" w:cs="Urbanist"/>
                <w:b/>
                <w:color w:val="6864E7"/>
              </w:rPr>
              <w:t>Relations Investisseurs</w:t>
            </w:r>
          </w:p>
        </w:tc>
      </w:tr>
      <w:tr w:rsidR="00F36A67" w:rsidRPr="00D42004" w14:paraId="31C28227" w14:textId="77777777">
        <w:trPr>
          <w:trHeight w:val="935"/>
        </w:trPr>
        <w:tc>
          <w:tcPr>
            <w:tcW w:w="3900" w:type="dxa"/>
          </w:tcPr>
          <w:p w14:paraId="153C8110" w14:textId="77777777" w:rsidR="00F36A67" w:rsidRPr="00543DE4" w:rsidRDefault="00000000">
            <w:pPr>
              <w:keepNext/>
              <w:keepLines/>
              <w:jc w:val="both"/>
              <w:rPr>
                <w:rFonts w:ascii="Urbanist" w:eastAsia="Urbanist" w:hAnsi="Urbanist" w:cs="Urbanist"/>
                <w:color w:val="280364"/>
                <w:lang w:val="en-GB"/>
              </w:rPr>
            </w:pPr>
            <w:r>
              <w:rPr>
                <w:rFonts w:ascii="Urbanist" w:eastAsia="Urbanist" w:hAnsi="Urbanist" w:cs="Urbanist"/>
                <w:b/>
                <w:color w:val="280364"/>
                <w:lang w:val="en-GB"/>
              </w:rPr>
              <w:t>Eric Meynard (DGA)</w:t>
            </w:r>
          </w:p>
          <w:p w14:paraId="4D2FFDB5" w14:textId="77777777" w:rsidR="00F36A67" w:rsidRPr="00543DE4" w:rsidRDefault="00000000">
            <w:pPr>
              <w:keepNext/>
              <w:keepLines/>
              <w:jc w:val="both"/>
              <w:rPr>
                <w:rFonts w:ascii="Urbanist" w:eastAsia="Urbanist" w:hAnsi="Urbanist" w:cs="Urbanist"/>
                <w:color w:val="280364"/>
                <w:lang w:val="en-GB"/>
              </w:rPr>
            </w:pPr>
            <w:r>
              <w:rPr>
                <w:rFonts w:ascii="Urbanist" w:eastAsia="Urbanist" w:hAnsi="Urbanist" w:cs="Urbanist"/>
                <w:color w:val="280364"/>
                <w:lang w:val="en-GB"/>
              </w:rPr>
              <w:t>+33 (0)6 98 04 33 07</w:t>
            </w:r>
          </w:p>
          <w:p w14:paraId="4524D9C0" w14:textId="77777777" w:rsidR="00F36A67" w:rsidRPr="00543DE4" w:rsidRDefault="00F36A67">
            <w:pPr>
              <w:spacing w:before="103" w:line="187" w:lineRule="auto"/>
              <w:ind w:right="-35"/>
              <w:rPr>
                <w:rFonts w:ascii="Urbanist" w:eastAsia="Urbanist" w:hAnsi="Urbanist" w:cs="Urbanist"/>
                <w:color w:val="6864E7"/>
                <w:lang w:val="en-GB"/>
              </w:rPr>
            </w:pPr>
            <w:hyperlink r:id="rId10">
              <w:r>
                <w:rPr>
                  <w:rFonts w:ascii="Urbanist" w:eastAsia="Urbanist" w:hAnsi="Urbanist" w:cs="Urbanist"/>
                  <w:color w:val="6864E7"/>
                  <w:u w:val="single"/>
                  <w:lang w:val="en-GB"/>
                </w:rPr>
                <w:t>emeynard@hipay.com</w:t>
              </w:r>
            </w:hyperlink>
            <w:r>
              <w:rPr>
                <w:rFonts w:ascii="Urbanist" w:eastAsia="Urbanist" w:hAnsi="Urbanist" w:cs="Urbanist"/>
                <w:color w:val="6864E7"/>
                <w:lang w:val="en-GB"/>
              </w:rPr>
              <w:t xml:space="preserve"> </w:t>
            </w:r>
          </w:p>
        </w:tc>
      </w:tr>
    </w:tbl>
    <w:p w14:paraId="0E07DF1F" w14:textId="77777777" w:rsidR="00F36A67" w:rsidRPr="00543DE4" w:rsidRDefault="00F36A67">
      <w:pPr>
        <w:pBdr>
          <w:top w:val="nil"/>
          <w:left w:val="nil"/>
          <w:bottom w:val="nil"/>
          <w:right w:val="nil"/>
          <w:between w:val="nil"/>
        </w:pBdr>
        <w:spacing w:before="13"/>
        <w:rPr>
          <w:rFonts w:ascii="Urbanist" w:eastAsia="Urbanist" w:hAnsi="Urbanist" w:cs="Urbanist"/>
          <w:color w:val="000000"/>
          <w:sz w:val="17"/>
          <w:szCs w:val="17"/>
          <w:lang w:val="en-GB"/>
        </w:rPr>
      </w:pPr>
    </w:p>
    <w:p w14:paraId="5F0770A4" w14:textId="77777777" w:rsidR="00F36A67" w:rsidRPr="00240DF1" w:rsidRDefault="00000000">
      <w:pPr>
        <w:spacing w:line="360" w:lineRule="auto"/>
        <w:ind w:right="99"/>
        <w:jc w:val="both"/>
        <w:rPr>
          <w:rFonts w:ascii="Urbanist" w:eastAsia="Urbanist" w:hAnsi="Urbanist" w:cs="Urbanist"/>
          <w:i/>
          <w:color w:val="7E7E7E"/>
          <w:sz w:val="14"/>
          <w:szCs w:val="14"/>
        </w:rPr>
      </w:pPr>
      <w:r>
        <w:rPr>
          <w:rFonts w:ascii="Urbanist" w:eastAsia="Urbanist" w:hAnsi="Urbanist" w:cs="Urbanist"/>
          <w:i/>
          <w:color w:val="7E7E7E"/>
          <w:sz w:val="15"/>
          <w:szCs w:val="15"/>
        </w:rPr>
        <w:t xml:space="preserve">Ce communiqué ne constitue pas une offre de vente ou la sollicitation d’une offre d’achat de titres HIPAY. Si vous souhaitez obtenir des informations plus complètes sur HiPay Group, nous vous invitons à vous reporter à notre site Internet </w:t>
      </w:r>
      <w:hyperlink r:id="rId11">
        <w:r w:rsidR="00F36A67">
          <w:rPr>
            <w:rFonts w:ascii="Urbanist" w:eastAsia="Urbanist" w:hAnsi="Urbanist" w:cs="Urbanist"/>
            <w:i/>
            <w:color w:val="7E7E7E"/>
            <w:sz w:val="15"/>
            <w:szCs w:val="15"/>
            <w:u w:val="single"/>
          </w:rPr>
          <w:t>hipay.com</w:t>
        </w:r>
      </w:hyperlink>
      <w:hyperlink r:id="rId12">
        <w:r w:rsidR="00F36A67">
          <w:rPr>
            <w:rFonts w:ascii="Urbanist" w:eastAsia="Urbanist" w:hAnsi="Urbanist" w:cs="Urbanist"/>
            <w:i/>
            <w:color w:val="7E7E7E"/>
            <w:sz w:val="15"/>
            <w:szCs w:val="15"/>
          </w:rPr>
          <w:t xml:space="preserve">, </w:t>
        </w:r>
      </w:hyperlink>
      <w:r>
        <w:rPr>
          <w:rFonts w:ascii="Urbanist" w:eastAsia="Urbanist" w:hAnsi="Urbanist" w:cs="Urbanist"/>
          <w:i/>
          <w:color w:val="7E7E7E"/>
          <w:sz w:val="15"/>
          <w:szCs w:val="15"/>
        </w:rPr>
        <w:t>rubrique Investisseurs. Ce communiqué peut contenir certaines déclarations de nature prévisionnelle. Bien que HiPay Group estime que ces déclarations reposent sur des hypothèses raisonnables à la date de publication du présent communiqué, elles sont par nature soumises à des risques et incertitudes pouvant donner lieu à un écart entre les chiffres réels et ceux indiqués ou induits dans ces déclarations. HiPay Group opère dans un secteur des plus évolutifs au sein duquel de nouveaux facteurs de risques peuvent émerger. HiPay Group ne prend en aucune manière l'obligation d'actualiser ces déclarations de nature prévisionnelle en fonction de nouvelles informations, évènements ou autres circonstances.</w:t>
      </w:r>
    </w:p>
    <w:sectPr w:rsidR="00F36A67" w:rsidRPr="00240DF1" w:rsidSect="003058F6">
      <w:headerReference w:type="default" r:id="rId13"/>
      <w:footerReference w:type="even" r:id="rId14"/>
      <w:footerReference w:type="default" r:id="rId15"/>
      <w:pgSz w:w="11910" w:h="16840"/>
      <w:pgMar w:top="1701" w:right="995" w:bottom="993" w:left="993" w:header="426" w:footer="4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11840" w14:textId="77777777" w:rsidR="001C4418" w:rsidRDefault="001C4418">
      <w:r>
        <w:separator/>
      </w:r>
    </w:p>
  </w:endnote>
  <w:endnote w:type="continuationSeparator" w:id="0">
    <w:p w14:paraId="2785EBC3" w14:textId="77777777" w:rsidR="001C4418" w:rsidRDefault="001C4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23686F8-0EE7-4BF9-B86F-014C3D284814}"/>
    <w:embedBold r:id="rId2" w:fontKey="{1932705D-ECEA-48D1-AF68-4CAF87976AA1}"/>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MT">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06646697-62F2-4E1D-BDB2-4611BC76BE64}"/>
    <w:embedItalic r:id="rId4" w:fontKey="{424CB299-06F9-4EAB-82E8-524AC01D6CB5}"/>
  </w:font>
  <w:font w:name="Urbanist">
    <w:altName w:val="Calibri"/>
    <w:charset w:val="00"/>
    <w:family w:val="auto"/>
    <w:pitch w:val="default"/>
    <w:embedRegular r:id="rId5" w:fontKey="{8FE0F110-4A2F-4CA8-82D3-C7C244E81B01}"/>
    <w:embedBold r:id="rId6" w:fontKey="{750E4A5F-C0F6-4A84-87E7-991AAEFF689F}"/>
    <w:embedItalic r:id="rId7" w:fontKey="{0C82FC4C-D734-4FC0-92B2-63CD4CE16BF0}"/>
  </w:font>
  <w:font w:name="Cambria">
    <w:panose1 w:val="02040503050406030204"/>
    <w:charset w:val="00"/>
    <w:family w:val="roman"/>
    <w:pitch w:val="variable"/>
    <w:sig w:usb0="E00006FF" w:usb1="420024FF" w:usb2="02000000" w:usb3="00000000" w:csb0="0000019F" w:csb1="00000000"/>
    <w:embedRegular r:id="rId8" w:fontKey="{B8B8C80C-1896-49DF-AE33-270B589340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9691F" w14:textId="77777777" w:rsidR="00F36A67"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F52CD29" w14:textId="77777777" w:rsidR="00F36A67" w:rsidRDefault="00F36A67">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2233F" w14:textId="77777777" w:rsidR="00F36A67" w:rsidRDefault="00000000">
    <w:pPr>
      <w:pBdr>
        <w:top w:val="nil"/>
        <w:left w:val="nil"/>
        <w:bottom w:val="nil"/>
        <w:right w:val="nil"/>
        <w:between w:val="nil"/>
      </w:pBdr>
      <w:tabs>
        <w:tab w:val="center" w:pos="4536"/>
        <w:tab w:val="right" w:pos="9072"/>
      </w:tabs>
      <w:jc w:val="right"/>
      <w:rPr>
        <w:rFonts w:ascii="Urbanist" w:eastAsia="Urbanist" w:hAnsi="Urbanist" w:cs="Urbanist"/>
        <w:color w:val="280364"/>
      </w:rPr>
    </w:pPr>
    <w:r>
      <w:rPr>
        <w:rFonts w:ascii="Urbanist" w:eastAsia="Urbanist" w:hAnsi="Urbanist" w:cs="Urbanist"/>
        <w:color w:val="280364"/>
      </w:rPr>
      <w:fldChar w:fldCharType="begin"/>
    </w:r>
    <w:r>
      <w:rPr>
        <w:rFonts w:ascii="Urbanist" w:eastAsia="Urbanist" w:hAnsi="Urbanist" w:cs="Urbanist"/>
        <w:color w:val="280364"/>
      </w:rPr>
      <w:instrText>PAGE</w:instrText>
    </w:r>
    <w:r>
      <w:rPr>
        <w:rFonts w:ascii="Urbanist" w:eastAsia="Urbanist" w:hAnsi="Urbanist" w:cs="Urbanist"/>
        <w:color w:val="280364"/>
      </w:rPr>
      <w:fldChar w:fldCharType="separate"/>
    </w:r>
    <w:r w:rsidR="00020F12">
      <w:rPr>
        <w:rFonts w:ascii="Urbanist" w:eastAsia="Urbanist" w:hAnsi="Urbanist" w:cs="Urbanist"/>
        <w:noProof/>
        <w:color w:val="280364"/>
      </w:rPr>
      <w:t>1</w:t>
    </w:r>
    <w:r>
      <w:rPr>
        <w:rFonts w:ascii="Urbanist" w:eastAsia="Urbanist" w:hAnsi="Urbanist" w:cs="Urbanist"/>
        <w:color w:val="28036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78C00" w14:textId="77777777" w:rsidR="001C4418" w:rsidRDefault="001C4418">
      <w:r>
        <w:separator/>
      </w:r>
    </w:p>
  </w:footnote>
  <w:footnote w:type="continuationSeparator" w:id="0">
    <w:p w14:paraId="15A7E4A5" w14:textId="77777777" w:rsidR="001C4418" w:rsidRDefault="001C44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8E9A2" w14:textId="77777777" w:rsidR="00F36A67" w:rsidRDefault="00000000">
    <w:pPr>
      <w:spacing w:before="12"/>
      <w:ind w:left="20" w:firstLine="20"/>
      <w:jc w:val="right"/>
      <w:rPr>
        <w:color w:val="000000"/>
        <w:sz w:val="20"/>
        <w:szCs w:val="20"/>
      </w:rPr>
    </w:pPr>
    <w:r>
      <w:rPr>
        <w:noProof/>
      </w:rPr>
      <w:drawing>
        <wp:anchor distT="114300" distB="114300" distL="114300" distR="114300" simplePos="0" relativeHeight="251658240" behindDoc="1" locked="0" layoutInCell="1" hidden="0" allowOverlap="1" wp14:anchorId="26CE8D46" wp14:editId="5D0E8567">
          <wp:simplePos x="0" y="0"/>
          <wp:positionH relativeFrom="column">
            <wp:posOffset>47626</wp:posOffset>
          </wp:positionH>
          <wp:positionV relativeFrom="paragraph">
            <wp:posOffset>38101</wp:posOffset>
          </wp:positionV>
          <wp:extent cx="1400492" cy="364625"/>
          <wp:effectExtent l="0" t="0" r="0" b="0"/>
          <wp:wrapNone/>
          <wp:docPr id="2793542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00492" cy="364625"/>
                  </a:xfrm>
                  <a:prstGeom prst="rect">
                    <a:avLst/>
                  </a:prstGeom>
                  <a:ln/>
                </pic:spPr>
              </pic:pic>
            </a:graphicData>
          </a:graphic>
        </wp:anchor>
      </w:drawing>
    </w:r>
  </w:p>
  <w:p w14:paraId="77C79FB3" w14:textId="77777777" w:rsidR="00F36A67" w:rsidRDefault="00000000">
    <w:pPr>
      <w:spacing w:before="12"/>
      <w:ind w:left="20" w:firstLine="20"/>
      <w:jc w:val="right"/>
      <w:rPr>
        <w:rFonts w:ascii="Urbanist" w:eastAsia="Urbanist" w:hAnsi="Urbanist" w:cs="Urbanist"/>
        <w:color w:val="280364"/>
        <w:sz w:val="20"/>
        <w:szCs w:val="20"/>
      </w:rPr>
    </w:pPr>
    <w:r>
      <w:rPr>
        <w:rFonts w:ascii="Urbanist" w:eastAsia="Urbanist" w:hAnsi="Urbanist" w:cs="Urbanist"/>
        <w:color w:val="280364"/>
        <w:sz w:val="20"/>
        <w:szCs w:val="20"/>
      </w:rPr>
      <w:t>Communiqué de presse</w:t>
    </w:r>
  </w:p>
  <w:p w14:paraId="40468A8B" w14:textId="77777777" w:rsidR="00F36A67" w:rsidRDefault="00F36A67">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612A2"/>
    <w:multiLevelType w:val="multilevel"/>
    <w:tmpl w:val="271E0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9572FC"/>
    <w:multiLevelType w:val="multilevel"/>
    <w:tmpl w:val="FAF8B308"/>
    <w:lvl w:ilvl="0">
      <w:numFmt w:val="bullet"/>
      <w:lvlText w:val="●"/>
      <w:lvlJc w:val="left"/>
      <w:pPr>
        <w:ind w:left="1167" w:hanging="286"/>
      </w:pPr>
      <w:rPr>
        <w:rFonts w:ascii="Calibri" w:eastAsia="Calibri" w:hAnsi="Calibri" w:cs="Calibri"/>
        <w:sz w:val="22"/>
        <w:szCs w:val="22"/>
      </w:rPr>
    </w:lvl>
    <w:lvl w:ilvl="1">
      <w:numFmt w:val="bullet"/>
      <w:lvlText w:val="•"/>
      <w:lvlJc w:val="left"/>
      <w:pPr>
        <w:ind w:left="2026" w:hanging="286"/>
      </w:pPr>
    </w:lvl>
    <w:lvl w:ilvl="2">
      <w:numFmt w:val="bullet"/>
      <w:lvlText w:val="•"/>
      <w:lvlJc w:val="left"/>
      <w:pPr>
        <w:ind w:left="2893" w:hanging="286"/>
      </w:pPr>
    </w:lvl>
    <w:lvl w:ilvl="3">
      <w:numFmt w:val="bullet"/>
      <w:lvlText w:val="•"/>
      <w:lvlJc w:val="left"/>
      <w:pPr>
        <w:ind w:left="3759" w:hanging="286"/>
      </w:pPr>
    </w:lvl>
    <w:lvl w:ilvl="4">
      <w:numFmt w:val="bullet"/>
      <w:lvlText w:val="•"/>
      <w:lvlJc w:val="left"/>
      <w:pPr>
        <w:ind w:left="4626" w:hanging="286"/>
      </w:pPr>
    </w:lvl>
    <w:lvl w:ilvl="5">
      <w:numFmt w:val="bullet"/>
      <w:lvlText w:val="•"/>
      <w:lvlJc w:val="left"/>
      <w:pPr>
        <w:ind w:left="5493" w:hanging="286"/>
      </w:pPr>
    </w:lvl>
    <w:lvl w:ilvl="6">
      <w:numFmt w:val="bullet"/>
      <w:lvlText w:val="•"/>
      <w:lvlJc w:val="left"/>
      <w:pPr>
        <w:ind w:left="6359" w:hanging="286"/>
      </w:pPr>
    </w:lvl>
    <w:lvl w:ilvl="7">
      <w:numFmt w:val="bullet"/>
      <w:lvlText w:val="•"/>
      <w:lvlJc w:val="left"/>
      <w:pPr>
        <w:ind w:left="7226" w:hanging="286"/>
      </w:pPr>
    </w:lvl>
    <w:lvl w:ilvl="8">
      <w:numFmt w:val="bullet"/>
      <w:lvlText w:val="•"/>
      <w:lvlJc w:val="left"/>
      <w:pPr>
        <w:ind w:left="8093" w:hanging="286"/>
      </w:pPr>
    </w:lvl>
  </w:abstractNum>
  <w:abstractNum w:abstractNumId="2" w15:restartNumberingAfterBreak="0">
    <w:nsid w:val="6210424E"/>
    <w:multiLevelType w:val="multilevel"/>
    <w:tmpl w:val="C8063638"/>
    <w:lvl w:ilvl="0">
      <w:start w:val="1"/>
      <w:numFmt w:val="bullet"/>
      <w:lvlText w:val="●"/>
      <w:lvlJc w:val="left"/>
      <w:pPr>
        <w:ind w:left="720" w:hanging="360"/>
      </w:pPr>
      <w:rPr>
        <w:color w:val="280364"/>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7A5507"/>
    <w:multiLevelType w:val="multilevel"/>
    <w:tmpl w:val="8C4EF9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15309793">
    <w:abstractNumId w:val="0"/>
  </w:num>
  <w:num w:numId="2" w16cid:durableId="1530559090">
    <w:abstractNumId w:val="3"/>
  </w:num>
  <w:num w:numId="3" w16cid:durableId="264729938">
    <w:abstractNumId w:val="1"/>
  </w:num>
  <w:num w:numId="4" w16cid:durableId="1266959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A67"/>
    <w:rsid w:val="00001FF8"/>
    <w:rsid w:val="00016A2C"/>
    <w:rsid w:val="00020F12"/>
    <w:rsid w:val="00022C4A"/>
    <w:rsid w:val="00023D4B"/>
    <w:rsid w:val="00024AF1"/>
    <w:rsid w:val="00052423"/>
    <w:rsid w:val="00077E9B"/>
    <w:rsid w:val="00080473"/>
    <w:rsid w:val="000848F2"/>
    <w:rsid w:val="000D13DC"/>
    <w:rsid w:val="000E5AB1"/>
    <w:rsid w:val="00124DC5"/>
    <w:rsid w:val="00150521"/>
    <w:rsid w:val="00150B0B"/>
    <w:rsid w:val="00193A94"/>
    <w:rsid w:val="001B45A4"/>
    <w:rsid w:val="001B6285"/>
    <w:rsid w:val="001C4418"/>
    <w:rsid w:val="001C4602"/>
    <w:rsid w:val="001C5C7F"/>
    <w:rsid w:val="001D27E2"/>
    <w:rsid w:val="00233422"/>
    <w:rsid w:val="00240ACD"/>
    <w:rsid w:val="00240DF1"/>
    <w:rsid w:val="00284856"/>
    <w:rsid w:val="0029657C"/>
    <w:rsid w:val="002A43DA"/>
    <w:rsid w:val="002F0A1A"/>
    <w:rsid w:val="003058F6"/>
    <w:rsid w:val="00335A2D"/>
    <w:rsid w:val="0034102B"/>
    <w:rsid w:val="00341DE6"/>
    <w:rsid w:val="003662A7"/>
    <w:rsid w:val="00370113"/>
    <w:rsid w:val="00397228"/>
    <w:rsid w:val="003B24AE"/>
    <w:rsid w:val="00404211"/>
    <w:rsid w:val="00431768"/>
    <w:rsid w:val="00443FE4"/>
    <w:rsid w:val="00472F98"/>
    <w:rsid w:val="004776C1"/>
    <w:rsid w:val="00486DDC"/>
    <w:rsid w:val="004A0589"/>
    <w:rsid w:val="004A72F7"/>
    <w:rsid w:val="004B1F81"/>
    <w:rsid w:val="004C1214"/>
    <w:rsid w:val="004D1746"/>
    <w:rsid w:val="00500CF3"/>
    <w:rsid w:val="0052493F"/>
    <w:rsid w:val="00541A13"/>
    <w:rsid w:val="00543DE4"/>
    <w:rsid w:val="00552434"/>
    <w:rsid w:val="00561961"/>
    <w:rsid w:val="00562A26"/>
    <w:rsid w:val="00567239"/>
    <w:rsid w:val="00597DA0"/>
    <w:rsid w:val="005A2464"/>
    <w:rsid w:val="005C1C73"/>
    <w:rsid w:val="005D33C2"/>
    <w:rsid w:val="005E4705"/>
    <w:rsid w:val="00620DED"/>
    <w:rsid w:val="006222D3"/>
    <w:rsid w:val="00630D98"/>
    <w:rsid w:val="00645DC7"/>
    <w:rsid w:val="006633DA"/>
    <w:rsid w:val="00677077"/>
    <w:rsid w:val="00682F60"/>
    <w:rsid w:val="00685A28"/>
    <w:rsid w:val="006C6937"/>
    <w:rsid w:val="006D037C"/>
    <w:rsid w:val="0070684C"/>
    <w:rsid w:val="007437E9"/>
    <w:rsid w:val="007745B2"/>
    <w:rsid w:val="007922A8"/>
    <w:rsid w:val="007A53DE"/>
    <w:rsid w:val="007A649A"/>
    <w:rsid w:val="007C28B9"/>
    <w:rsid w:val="007D30C1"/>
    <w:rsid w:val="007F503C"/>
    <w:rsid w:val="00813053"/>
    <w:rsid w:val="008938FD"/>
    <w:rsid w:val="008C5DA9"/>
    <w:rsid w:val="00903DA6"/>
    <w:rsid w:val="00915170"/>
    <w:rsid w:val="009330B0"/>
    <w:rsid w:val="00947188"/>
    <w:rsid w:val="009E2DD0"/>
    <w:rsid w:val="00A175BE"/>
    <w:rsid w:val="00A417BD"/>
    <w:rsid w:val="00A45C7F"/>
    <w:rsid w:val="00A70A10"/>
    <w:rsid w:val="00A71D8D"/>
    <w:rsid w:val="00AE385F"/>
    <w:rsid w:val="00B46653"/>
    <w:rsid w:val="00B62960"/>
    <w:rsid w:val="00B70D88"/>
    <w:rsid w:val="00B86066"/>
    <w:rsid w:val="00C304F3"/>
    <w:rsid w:val="00C40861"/>
    <w:rsid w:val="00C427BD"/>
    <w:rsid w:val="00C4524A"/>
    <w:rsid w:val="00C7116C"/>
    <w:rsid w:val="00C77E1A"/>
    <w:rsid w:val="00C8071F"/>
    <w:rsid w:val="00C84A8F"/>
    <w:rsid w:val="00CA4F44"/>
    <w:rsid w:val="00D06524"/>
    <w:rsid w:val="00D41D91"/>
    <w:rsid w:val="00D42004"/>
    <w:rsid w:val="00D56CAB"/>
    <w:rsid w:val="00D650D6"/>
    <w:rsid w:val="00D73897"/>
    <w:rsid w:val="00DF0913"/>
    <w:rsid w:val="00E02AC9"/>
    <w:rsid w:val="00E1040E"/>
    <w:rsid w:val="00E17B14"/>
    <w:rsid w:val="00E3582C"/>
    <w:rsid w:val="00E80EE8"/>
    <w:rsid w:val="00E867F4"/>
    <w:rsid w:val="00EB1855"/>
    <w:rsid w:val="00EC6ECD"/>
    <w:rsid w:val="00EE5437"/>
    <w:rsid w:val="00EF28BB"/>
    <w:rsid w:val="00EF5BCD"/>
    <w:rsid w:val="00F14021"/>
    <w:rsid w:val="00F214B9"/>
    <w:rsid w:val="00F36A67"/>
    <w:rsid w:val="00F4327D"/>
    <w:rsid w:val="00F61C9B"/>
    <w:rsid w:val="00F96615"/>
    <w:rsid w:val="00FA2681"/>
    <w:rsid w:val="00FE16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47FB1"/>
  <w15:docId w15:val="{4FBC4106-5E10-4491-B2B9-433FDAE3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MT" w:eastAsia="Arial MT" w:hAnsi="Arial MT" w:cs="Arial MT"/>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ind w:left="316"/>
      <w:outlineLvl w:val="0"/>
    </w:pPr>
    <w:rPr>
      <w:rFonts w:ascii="Arial" w:eastAsia="Arial" w:hAnsi="Arial" w:cs="Arial"/>
      <w:b/>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spacing w:before="169"/>
      <w:ind w:left="1115" w:right="1519" w:hanging="2"/>
      <w:jc w:val="center"/>
    </w:pPr>
    <w:rPr>
      <w:rFonts w:ascii="Arial" w:eastAsia="Arial" w:hAnsi="Arial" w:cs="Arial"/>
      <w:b/>
      <w:sz w:val="44"/>
      <w:szCs w:val="4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Commentaire">
    <w:name w:val="annotation text"/>
    <w:basedOn w:val="Normal"/>
    <w:link w:val="CommentaireCar"/>
    <w:uiPriority w:val="99"/>
    <w:unhideWhenUsed/>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020F12"/>
    <w:pPr>
      <w:tabs>
        <w:tab w:val="center" w:pos="4536"/>
        <w:tab w:val="right" w:pos="9072"/>
      </w:tabs>
    </w:pPr>
  </w:style>
  <w:style w:type="character" w:customStyle="1" w:styleId="En-tteCar">
    <w:name w:val="En-tête Car"/>
    <w:basedOn w:val="Policepardfaut"/>
    <w:link w:val="En-tte"/>
    <w:uiPriority w:val="99"/>
    <w:rsid w:val="00020F12"/>
  </w:style>
  <w:style w:type="paragraph" w:styleId="Pieddepage">
    <w:name w:val="footer"/>
    <w:basedOn w:val="Normal"/>
    <w:link w:val="PieddepageCar"/>
    <w:uiPriority w:val="99"/>
    <w:unhideWhenUsed/>
    <w:rsid w:val="00020F12"/>
    <w:pPr>
      <w:tabs>
        <w:tab w:val="center" w:pos="4536"/>
        <w:tab w:val="right" w:pos="9072"/>
      </w:tabs>
    </w:pPr>
  </w:style>
  <w:style w:type="character" w:customStyle="1" w:styleId="PieddepageCar">
    <w:name w:val="Pied de page Car"/>
    <w:basedOn w:val="Policepardfaut"/>
    <w:link w:val="Pieddepage"/>
    <w:uiPriority w:val="99"/>
    <w:rsid w:val="00020F12"/>
  </w:style>
  <w:style w:type="paragraph" w:styleId="Objetducommentaire">
    <w:name w:val="annotation subject"/>
    <w:basedOn w:val="Commentaire"/>
    <w:next w:val="Commentaire"/>
    <w:link w:val="ObjetducommentaireCar"/>
    <w:uiPriority w:val="99"/>
    <w:semiHidden/>
    <w:unhideWhenUsed/>
    <w:rsid w:val="00C77E1A"/>
    <w:rPr>
      <w:b/>
      <w:bCs/>
    </w:rPr>
  </w:style>
  <w:style w:type="character" w:customStyle="1" w:styleId="ObjetducommentaireCar">
    <w:name w:val="Objet du commentaire Car"/>
    <w:basedOn w:val="CommentaireCar"/>
    <w:link w:val="Objetducommentaire"/>
    <w:uiPriority w:val="99"/>
    <w:semiHidden/>
    <w:rsid w:val="00C77E1A"/>
    <w:rPr>
      <w:b/>
      <w:bCs/>
      <w:sz w:val="20"/>
      <w:szCs w:val="20"/>
    </w:rPr>
  </w:style>
  <w:style w:type="paragraph" w:styleId="Notedebasdepage">
    <w:name w:val="footnote text"/>
    <w:basedOn w:val="Normal"/>
    <w:link w:val="NotedebasdepageCar"/>
    <w:uiPriority w:val="99"/>
    <w:semiHidden/>
    <w:unhideWhenUsed/>
    <w:rsid w:val="00240DF1"/>
    <w:rPr>
      <w:sz w:val="20"/>
      <w:szCs w:val="20"/>
    </w:rPr>
  </w:style>
  <w:style w:type="character" w:customStyle="1" w:styleId="NotedebasdepageCar">
    <w:name w:val="Note de bas de page Car"/>
    <w:basedOn w:val="Policepardfaut"/>
    <w:link w:val="Notedebasdepage"/>
    <w:uiPriority w:val="99"/>
    <w:semiHidden/>
    <w:rsid w:val="00240DF1"/>
    <w:rPr>
      <w:sz w:val="20"/>
      <w:szCs w:val="20"/>
    </w:rPr>
  </w:style>
  <w:style w:type="character" w:styleId="Appelnotedebasdep">
    <w:name w:val="footnote reference"/>
    <w:basedOn w:val="Policepardfaut"/>
    <w:uiPriority w:val="99"/>
    <w:semiHidden/>
    <w:unhideWhenUsed/>
    <w:rsid w:val="00240DF1"/>
    <w:rPr>
      <w:vertAlign w:val="superscript"/>
    </w:rPr>
  </w:style>
  <w:style w:type="paragraph" w:styleId="Rvision">
    <w:name w:val="Revision"/>
    <w:hidden/>
    <w:uiPriority w:val="99"/>
    <w:semiHidden/>
    <w:rsid w:val="00E80EE8"/>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027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pay.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hipa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pay.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emeynard@hipay.com" TargetMode="External"/><Relationship Id="rId4" Type="http://schemas.openxmlformats.org/officeDocument/2006/relationships/settings" Target="settings.xml"/><Relationship Id="rId9" Type="http://schemas.openxmlformats.org/officeDocument/2006/relationships/hyperlink" Target="https://www.linkedin.com/company/hipa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0B8C6-D1DE-440F-8534-9E73426EA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389</Words>
  <Characters>2142</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MEYNARD</dc:creator>
  <cp:lastModifiedBy>Zoe PARAIN PEROTTO</cp:lastModifiedBy>
  <cp:revision>5</cp:revision>
  <cp:lastPrinted>2026-06-05T07:22:00Z</cp:lastPrinted>
  <dcterms:created xsi:type="dcterms:W3CDTF">2026-06-03T08:49:00Z</dcterms:created>
  <dcterms:modified xsi:type="dcterms:W3CDTF">2026-06-05T07:23:00Z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2022-02-16T00:00:00Z</vt:lpwstr>
  </property>
  <property fmtid="{D5CDD505-2E9C-101B-9397-08002B2CF9AE}" pid="3" name="Creator">
    <vt:lpwstr>Acrobat PDFMaker 21 pour Word</vt:lpwstr>
  </property>
  <property fmtid="{D5CDD505-2E9C-101B-9397-08002B2CF9AE}" pid="4" name="Created">
    <vt:lpwstr>2021-02-24T00:00:00Z</vt:lpwstr>
  </property>
</Properties>
</file>